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B575016" w14:textId="77777777" w:rsidR="00A84453" w:rsidRDefault="00522BDC">
      <w:pPr>
        <w:spacing w:line="360" w:lineRule="auto"/>
        <w:jc w:val="center"/>
        <w:rPr>
          <w:b/>
        </w:rPr>
      </w:pPr>
      <w:bookmarkStart w:id="0" w:name="_gjdgxs" w:colFirst="0" w:colLast="0"/>
      <w:bookmarkEnd w:id="0"/>
      <w:r>
        <w:rPr>
          <w:noProof/>
        </w:rPr>
        <w:drawing>
          <wp:inline distT="0" distB="0" distL="0" distR="0" wp14:anchorId="6B575069" wp14:editId="6B57506A">
            <wp:extent cx="2390775" cy="1133475"/>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6"/>
                    <a:srcRect/>
                    <a:stretch>
                      <a:fillRect/>
                    </a:stretch>
                  </pic:blipFill>
                  <pic:spPr>
                    <a:xfrm>
                      <a:off x="0" y="0"/>
                      <a:ext cx="2390775" cy="1133475"/>
                    </a:xfrm>
                    <a:prstGeom prst="rect">
                      <a:avLst/>
                    </a:prstGeom>
                    <a:ln/>
                  </pic:spPr>
                </pic:pic>
              </a:graphicData>
            </a:graphic>
          </wp:inline>
        </w:drawing>
      </w:r>
    </w:p>
    <w:p w14:paraId="6B575017" w14:textId="77777777" w:rsidR="00A84453" w:rsidRDefault="00522BDC">
      <w:pPr>
        <w:spacing w:line="360" w:lineRule="auto"/>
        <w:jc w:val="center"/>
        <w:rPr>
          <w:b/>
          <w:sz w:val="28"/>
          <w:szCs w:val="28"/>
        </w:rPr>
      </w:pPr>
      <w:r>
        <w:rPr>
          <w:b/>
          <w:sz w:val="28"/>
          <w:szCs w:val="28"/>
        </w:rPr>
        <w:t>LCBB6002</w:t>
      </w:r>
    </w:p>
    <w:p w14:paraId="6B575018" w14:textId="77777777" w:rsidR="00A84453" w:rsidRDefault="00522BDC">
      <w:pPr>
        <w:spacing w:line="360" w:lineRule="auto"/>
        <w:jc w:val="center"/>
        <w:rPr>
          <w:b/>
          <w:sz w:val="28"/>
          <w:szCs w:val="28"/>
        </w:rPr>
      </w:pPr>
      <w:r>
        <w:rPr>
          <w:b/>
          <w:sz w:val="28"/>
          <w:szCs w:val="28"/>
        </w:rPr>
        <w:t>International Financial Management</w:t>
      </w:r>
    </w:p>
    <w:p w14:paraId="6B575019" w14:textId="77777777" w:rsidR="00A84453" w:rsidRDefault="00522BDC">
      <w:pPr>
        <w:spacing w:line="360" w:lineRule="auto"/>
        <w:jc w:val="center"/>
        <w:rPr>
          <w:b/>
          <w:sz w:val="28"/>
          <w:szCs w:val="28"/>
        </w:rPr>
      </w:pPr>
      <w:r>
        <w:rPr>
          <w:b/>
          <w:sz w:val="28"/>
          <w:szCs w:val="28"/>
        </w:rPr>
        <w:t>Component 1</w:t>
      </w:r>
    </w:p>
    <w:p w14:paraId="6B57501A" w14:textId="77777777" w:rsidR="00A84453" w:rsidRDefault="00522BDC">
      <w:pPr>
        <w:spacing w:line="360" w:lineRule="auto"/>
        <w:jc w:val="center"/>
        <w:rPr>
          <w:b/>
          <w:sz w:val="28"/>
          <w:szCs w:val="28"/>
        </w:rPr>
      </w:pPr>
      <w:r>
        <w:rPr>
          <w:b/>
          <w:sz w:val="28"/>
          <w:szCs w:val="28"/>
        </w:rPr>
        <w:t>Coursework: Written Report</w:t>
      </w:r>
    </w:p>
    <w:p w14:paraId="6B57501B" w14:textId="77777777" w:rsidR="00A84453" w:rsidRDefault="00A84453">
      <w:pPr>
        <w:spacing w:line="360" w:lineRule="auto"/>
        <w:rPr>
          <w:b/>
        </w:rPr>
      </w:pPr>
    </w:p>
    <w:p w14:paraId="6B57501C" w14:textId="77777777" w:rsidR="00A84453" w:rsidRDefault="00A84453">
      <w:pPr>
        <w:spacing w:line="360" w:lineRule="auto"/>
        <w:rPr>
          <w:b/>
        </w:rPr>
      </w:pPr>
    </w:p>
    <w:p w14:paraId="6B57501D" w14:textId="1E7445E7" w:rsidR="00A84453" w:rsidRDefault="008A56C6">
      <w:pPr>
        <w:spacing w:line="360" w:lineRule="auto"/>
        <w:rPr>
          <w:b/>
        </w:rPr>
      </w:pPr>
      <w:r>
        <w:rPr>
          <w:b/>
        </w:rPr>
        <w:t xml:space="preserve">                                                Student Name:  Gina VELICU</w:t>
      </w:r>
    </w:p>
    <w:p w14:paraId="3F28705C" w14:textId="03A7471C" w:rsidR="008A56C6" w:rsidRDefault="008A56C6">
      <w:pPr>
        <w:spacing w:line="360" w:lineRule="auto"/>
        <w:rPr>
          <w:b/>
        </w:rPr>
      </w:pPr>
      <w:r>
        <w:rPr>
          <w:b/>
        </w:rPr>
        <w:t xml:space="preserve">                                                Student ID:        20</w:t>
      </w:r>
      <w:r w:rsidR="00522BDC">
        <w:rPr>
          <w:b/>
        </w:rPr>
        <w:t>28707</w:t>
      </w:r>
    </w:p>
    <w:p w14:paraId="6B57501E" w14:textId="77777777" w:rsidR="00A84453" w:rsidRDefault="00A84453">
      <w:pPr>
        <w:spacing w:line="360" w:lineRule="auto"/>
        <w:rPr>
          <w:b/>
        </w:rPr>
      </w:pPr>
    </w:p>
    <w:p w14:paraId="6B57501F" w14:textId="77777777" w:rsidR="00A84453" w:rsidRDefault="00A84453">
      <w:pPr>
        <w:spacing w:line="360" w:lineRule="auto"/>
        <w:rPr>
          <w:b/>
        </w:rPr>
      </w:pPr>
    </w:p>
    <w:p w14:paraId="6B575020" w14:textId="77777777" w:rsidR="00A84453" w:rsidRDefault="00A84453">
      <w:pPr>
        <w:spacing w:line="360" w:lineRule="auto"/>
        <w:rPr>
          <w:b/>
        </w:rPr>
      </w:pPr>
    </w:p>
    <w:p w14:paraId="6B575021" w14:textId="77777777" w:rsidR="00A84453" w:rsidRDefault="00A84453">
      <w:pPr>
        <w:spacing w:line="360" w:lineRule="auto"/>
        <w:rPr>
          <w:b/>
        </w:rPr>
      </w:pPr>
    </w:p>
    <w:p w14:paraId="6B575022" w14:textId="77777777" w:rsidR="00A84453" w:rsidRDefault="00A84453">
      <w:pPr>
        <w:spacing w:line="360" w:lineRule="auto"/>
        <w:rPr>
          <w:b/>
        </w:rPr>
      </w:pPr>
    </w:p>
    <w:p w14:paraId="6B575023" w14:textId="77777777" w:rsidR="00A84453" w:rsidRDefault="00A84453">
      <w:pPr>
        <w:spacing w:line="360" w:lineRule="auto"/>
        <w:rPr>
          <w:b/>
        </w:rPr>
      </w:pPr>
    </w:p>
    <w:p w14:paraId="6B575024" w14:textId="77777777" w:rsidR="00A84453" w:rsidRDefault="00A84453">
      <w:pPr>
        <w:spacing w:line="360" w:lineRule="auto"/>
        <w:rPr>
          <w:b/>
        </w:rPr>
      </w:pPr>
    </w:p>
    <w:p w14:paraId="6B575025" w14:textId="77777777" w:rsidR="00A84453" w:rsidRDefault="00A84453">
      <w:pPr>
        <w:spacing w:line="360" w:lineRule="auto"/>
        <w:rPr>
          <w:b/>
        </w:rPr>
        <w:sectPr w:rsidR="00A84453">
          <w:headerReference w:type="even" r:id="rId7"/>
          <w:headerReference w:type="default" r:id="rId8"/>
          <w:footerReference w:type="even" r:id="rId9"/>
          <w:footerReference w:type="default" r:id="rId10"/>
          <w:headerReference w:type="first" r:id="rId11"/>
          <w:footerReference w:type="first" r:id="rId12"/>
          <w:pgSz w:w="12240" w:h="15840"/>
          <w:pgMar w:top="1440" w:right="1440" w:bottom="1440" w:left="1440" w:header="720" w:footer="720" w:gutter="0"/>
          <w:pgNumType w:start="1"/>
          <w:cols w:space="720"/>
        </w:sectPr>
      </w:pPr>
    </w:p>
    <w:p w14:paraId="6B575026" w14:textId="77777777" w:rsidR="00A84453" w:rsidRDefault="00A84453">
      <w:pPr>
        <w:spacing w:line="360" w:lineRule="auto"/>
        <w:rPr>
          <w:b/>
        </w:rPr>
      </w:pPr>
    </w:p>
    <w:p w14:paraId="6B575027" w14:textId="77777777" w:rsidR="00A84453" w:rsidRDefault="00522BDC">
      <w:pPr>
        <w:keepNext/>
        <w:keepLines/>
        <w:pBdr>
          <w:top w:val="nil"/>
          <w:left w:val="nil"/>
          <w:bottom w:val="nil"/>
          <w:right w:val="nil"/>
          <w:between w:val="nil"/>
        </w:pBdr>
        <w:spacing w:before="240" w:after="0"/>
        <w:jc w:val="left"/>
        <w:rPr>
          <w:rFonts w:ascii="Calibri" w:eastAsia="Calibri" w:hAnsi="Calibri" w:cs="Calibri"/>
          <w:color w:val="000000"/>
          <w:sz w:val="32"/>
          <w:szCs w:val="32"/>
        </w:rPr>
      </w:pPr>
      <w:r>
        <w:rPr>
          <w:rFonts w:ascii="Calibri" w:eastAsia="Calibri" w:hAnsi="Calibri" w:cs="Calibri"/>
          <w:color w:val="000000"/>
          <w:sz w:val="32"/>
          <w:szCs w:val="32"/>
        </w:rPr>
        <w:t>Table of Contents</w:t>
      </w:r>
    </w:p>
    <w:sdt>
      <w:sdtPr>
        <w:id w:val="-97175897"/>
        <w:docPartObj>
          <w:docPartGallery w:val="Table of Contents"/>
          <w:docPartUnique/>
        </w:docPartObj>
      </w:sdtPr>
      <w:sdtEndPr/>
      <w:sdtContent>
        <w:p w14:paraId="6B575028" w14:textId="77777777" w:rsidR="00A84453" w:rsidRDefault="00522BDC">
          <w:pPr>
            <w:pBdr>
              <w:top w:val="nil"/>
              <w:left w:val="nil"/>
              <w:bottom w:val="nil"/>
              <w:right w:val="nil"/>
              <w:between w:val="nil"/>
            </w:pBdr>
            <w:tabs>
              <w:tab w:val="right" w:leader="dot" w:pos="9350"/>
            </w:tabs>
            <w:spacing w:after="100"/>
            <w:rPr>
              <w:rFonts w:ascii="Calibri" w:eastAsia="Calibri" w:hAnsi="Calibri" w:cs="Calibri"/>
              <w:color w:val="000000"/>
              <w:sz w:val="22"/>
              <w:szCs w:val="22"/>
            </w:rPr>
          </w:pPr>
          <w:r>
            <w:fldChar w:fldCharType="begin"/>
          </w:r>
          <w:r>
            <w:instrText xml:space="preserve"> TOC \h \u \z \t "Heading 1,1,Heading 2,2,Heading 3,3,"</w:instrText>
          </w:r>
          <w:r>
            <w:fldChar w:fldCharType="separate"/>
          </w:r>
          <w:hyperlink w:anchor="_30j0zll">
            <w:r>
              <w:rPr>
                <w:color w:val="000000"/>
              </w:rPr>
              <w:t>Introduction</w:t>
            </w:r>
            <w:r>
              <w:rPr>
                <w:color w:val="000000"/>
              </w:rPr>
              <w:tab/>
              <w:t>3</w:t>
            </w:r>
          </w:hyperlink>
        </w:p>
        <w:p w14:paraId="6B575029" w14:textId="77777777" w:rsidR="00A84453" w:rsidRDefault="00522BDC">
          <w:pPr>
            <w:pBdr>
              <w:top w:val="nil"/>
              <w:left w:val="nil"/>
              <w:bottom w:val="nil"/>
              <w:right w:val="nil"/>
              <w:between w:val="nil"/>
            </w:pBdr>
            <w:tabs>
              <w:tab w:val="right" w:leader="dot" w:pos="9350"/>
            </w:tabs>
            <w:spacing w:after="100"/>
            <w:rPr>
              <w:rFonts w:ascii="Calibri" w:eastAsia="Calibri" w:hAnsi="Calibri" w:cs="Calibri"/>
              <w:color w:val="000000"/>
              <w:sz w:val="22"/>
              <w:szCs w:val="22"/>
            </w:rPr>
          </w:pPr>
          <w:hyperlink w:anchor="_1fob9te">
            <w:r>
              <w:rPr>
                <w:color w:val="000000"/>
              </w:rPr>
              <w:t>Foreign exchange risk</w:t>
            </w:r>
            <w:r>
              <w:rPr>
                <w:color w:val="000000"/>
              </w:rPr>
              <w:tab/>
              <w:t>4</w:t>
            </w:r>
          </w:hyperlink>
        </w:p>
        <w:p w14:paraId="6B57502A" w14:textId="77777777" w:rsidR="00A84453" w:rsidRDefault="00522BDC">
          <w:pPr>
            <w:pBdr>
              <w:top w:val="nil"/>
              <w:left w:val="nil"/>
              <w:bottom w:val="nil"/>
              <w:right w:val="nil"/>
              <w:between w:val="nil"/>
            </w:pBdr>
            <w:tabs>
              <w:tab w:val="right" w:leader="dot" w:pos="9350"/>
            </w:tabs>
            <w:spacing w:after="100"/>
            <w:rPr>
              <w:rFonts w:ascii="Calibri" w:eastAsia="Calibri" w:hAnsi="Calibri" w:cs="Calibri"/>
              <w:color w:val="000000"/>
              <w:sz w:val="22"/>
              <w:szCs w:val="22"/>
            </w:rPr>
          </w:pPr>
          <w:hyperlink w:anchor="_2et92p0">
            <w:r>
              <w:rPr>
                <w:color w:val="000000"/>
              </w:rPr>
              <w:t>Strategies Used by Multinational Companies in Managing Exchange Risk</w:t>
            </w:r>
            <w:r>
              <w:rPr>
                <w:color w:val="000000"/>
              </w:rPr>
              <w:tab/>
              <w:t>6</w:t>
            </w:r>
          </w:hyperlink>
        </w:p>
        <w:p w14:paraId="6B57502B" w14:textId="77777777" w:rsidR="00A84453" w:rsidRDefault="00522BDC">
          <w:pPr>
            <w:pBdr>
              <w:top w:val="nil"/>
              <w:left w:val="nil"/>
              <w:bottom w:val="nil"/>
              <w:right w:val="nil"/>
              <w:between w:val="nil"/>
            </w:pBdr>
            <w:tabs>
              <w:tab w:val="right" w:leader="dot" w:pos="9350"/>
            </w:tabs>
            <w:spacing w:after="100"/>
            <w:ind w:left="240"/>
            <w:rPr>
              <w:rFonts w:ascii="Calibri" w:eastAsia="Calibri" w:hAnsi="Calibri" w:cs="Calibri"/>
              <w:color w:val="000000"/>
              <w:sz w:val="22"/>
              <w:szCs w:val="22"/>
            </w:rPr>
          </w:pPr>
          <w:hyperlink w:anchor="_tyjcwt">
            <w:r>
              <w:rPr>
                <w:color w:val="000000"/>
              </w:rPr>
              <w:t>Hedging strategies</w:t>
            </w:r>
            <w:r>
              <w:rPr>
                <w:color w:val="000000"/>
              </w:rPr>
              <w:tab/>
              <w:t>6</w:t>
            </w:r>
          </w:hyperlink>
        </w:p>
        <w:p w14:paraId="6B57502C" w14:textId="77777777" w:rsidR="00A84453" w:rsidRDefault="00522BDC">
          <w:pPr>
            <w:pBdr>
              <w:top w:val="nil"/>
              <w:left w:val="nil"/>
              <w:bottom w:val="nil"/>
              <w:right w:val="nil"/>
              <w:between w:val="nil"/>
            </w:pBdr>
            <w:tabs>
              <w:tab w:val="right" w:leader="dot" w:pos="9350"/>
            </w:tabs>
            <w:spacing w:after="100"/>
            <w:ind w:left="240"/>
            <w:rPr>
              <w:rFonts w:ascii="Calibri" w:eastAsia="Calibri" w:hAnsi="Calibri" w:cs="Calibri"/>
              <w:color w:val="000000"/>
              <w:sz w:val="22"/>
              <w:szCs w:val="22"/>
            </w:rPr>
          </w:pPr>
          <w:hyperlink w:anchor="_3dy6vkm">
            <w:r>
              <w:rPr>
                <w:color w:val="000000"/>
              </w:rPr>
              <w:t>Operational strategies.</w:t>
            </w:r>
            <w:r>
              <w:rPr>
                <w:color w:val="000000"/>
              </w:rPr>
              <w:tab/>
              <w:t>6</w:t>
            </w:r>
          </w:hyperlink>
        </w:p>
        <w:p w14:paraId="6B57502D" w14:textId="77777777" w:rsidR="00A84453" w:rsidRDefault="00522BDC">
          <w:pPr>
            <w:pBdr>
              <w:top w:val="nil"/>
              <w:left w:val="nil"/>
              <w:bottom w:val="nil"/>
              <w:right w:val="nil"/>
              <w:between w:val="nil"/>
            </w:pBdr>
            <w:tabs>
              <w:tab w:val="right" w:leader="dot" w:pos="9350"/>
            </w:tabs>
            <w:spacing w:after="100"/>
            <w:ind w:left="240"/>
            <w:rPr>
              <w:rFonts w:ascii="Calibri" w:eastAsia="Calibri" w:hAnsi="Calibri" w:cs="Calibri"/>
              <w:color w:val="000000"/>
              <w:sz w:val="22"/>
              <w:szCs w:val="22"/>
            </w:rPr>
          </w:pPr>
          <w:hyperlink w:anchor="_1t3h5sf">
            <w:r>
              <w:rPr>
                <w:color w:val="000000"/>
              </w:rPr>
              <w:t>Economic strategies</w:t>
            </w:r>
            <w:r>
              <w:rPr>
                <w:color w:val="000000"/>
              </w:rPr>
              <w:tab/>
              <w:t>6</w:t>
            </w:r>
          </w:hyperlink>
        </w:p>
        <w:p w14:paraId="6B57502E" w14:textId="77777777" w:rsidR="00A84453" w:rsidRDefault="00522BDC">
          <w:pPr>
            <w:pBdr>
              <w:top w:val="nil"/>
              <w:left w:val="nil"/>
              <w:bottom w:val="nil"/>
              <w:right w:val="nil"/>
              <w:between w:val="nil"/>
            </w:pBdr>
            <w:tabs>
              <w:tab w:val="right" w:leader="dot" w:pos="9350"/>
            </w:tabs>
            <w:spacing w:after="100"/>
            <w:rPr>
              <w:rFonts w:ascii="Calibri" w:eastAsia="Calibri" w:hAnsi="Calibri" w:cs="Calibri"/>
              <w:color w:val="000000"/>
              <w:sz w:val="22"/>
              <w:szCs w:val="22"/>
            </w:rPr>
          </w:pPr>
          <w:hyperlink w:anchor="_4d34og8">
            <w:r>
              <w:rPr>
                <w:color w:val="000000"/>
              </w:rPr>
              <w:t>Critical analysis of the strategies</w:t>
            </w:r>
            <w:r>
              <w:rPr>
                <w:color w:val="000000"/>
              </w:rPr>
              <w:tab/>
              <w:t>8</w:t>
            </w:r>
          </w:hyperlink>
        </w:p>
        <w:p w14:paraId="6B57502F" w14:textId="77777777" w:rsidR="00A84453" w:rsidRDefault="00522BDC">
          <w:pPr>
            <w:pBdr>
              <w:top w:val="nil"/>
              <w:left w:val="nil"/>
              <w:bottom w:val="nil"/>
              <w:right w:val="nil"/>
              <w:between w:val="nil"/>
            </w:pBdr>
            <w:tabs>
              <w:tab w:val="right" w:leader="dot" w:pos="9350"/>
            </w:tabs>
            <w:spacing w:after="100"/>
            <w:rPr>
              <w:rFonts w:ascii="Calibri" w:eastAsia="Calibri" w:hAnsi="Calibri" w:cs="Calibri"/>
              <w:color w:val="000000"/>
              <w:sz w:val="22"/>
              <w:szCs w:val="22"/>
            </w:rPr>
          </w:pPr>
          <w:hyperlink w:anchor="_2s8eyo1">
            <w:r>
              <w:rPr>
                <w:color w:val="000000"/>
              </w:rPr>
              <w:t>Research Findings and Product Examples</w:t>
            </w:r>
            <w:r>
              <w:rPr>
                <w:color w:val="000000"/>
              </w:rPr>
              <w:tab/>
              <w:t>10</w:t>
            </w:r>
          </w:hyperlink>
        </w:p>
        <w:p w14:paraId="6B575030" w14:textId="77777777" w:rsidR="00A84453" w:rsidRDefault="00522BDC">
          <w:pPr>
            <w:pBdr>
              <w:top w:val="nil"/>
              <w:left w:val="nil"/>
              <w:bottom w:val="nil"/>
              <w:right w:val="nil"/>
              <w:between w:val="nil"/>
            </w:pBdr>
            <w:tabs>
              <w:tab w:val="right" w:leader="dot" w:pos="9350"/>
            </w:tabs>
            <w:spacing w:after="100"/>
            <w:rPr>
              <w:rFonts w:ascii="Calibri" w:eastAsia="Calibri" w:hAnsi="Calibri" w:cs="Calibri"/>
              <w:color w:val="000000"/>
              <w:sz w:val="22"/>
              <w:szCs w:val="22"/>
            </w:rPr>
          </w:pPr>
          <w:hyperlink w:anchor="_17dp8vu">
            <w:r>
              <w:rPr>
                <w:color w:val="000000"/>
              </w:rPr>
              <w:t>Conclusion</w:t>
            </w:r>
            <w:r>
              <w:rPr>
                <w:color w:val="000000"/>
              </w:rPr>
              <w:tab/>
              <w:t>11</w:t>
            </w:r>
          </w:hyperlink>
        </w:p>
        <w:p w14:paraId="6B575031" w14:textId="77777777" w:rsidR="00A84453" w:rsidRDefault="00522BDC">
          <w:pPr>
            <w:pBdr>
              <w:top w:val="nil"/>
              <w:left w:val="nil"/>
              <w:bottom w:val="nil"/>
              <w:right w:val="nil"/>
              <w:between w:val="nil"/>
            </w:pBdr>
            <w:tabs>
              <w:tab w:val="right" w:leader="dot" w:pos="9350"/>
            </w:tabs>
            <w:spacing w:after="100"/>
            <w:rPr>
              <w:rFonts w:ascii="Calibri" w:eastAsia="Calibri" w:hAnsi="Calibri" w:cs="Calibri"/>
              <w:color w:val="000000"/>
              <w:sz w:val="22"/>
              <w:szCs w:val="22"/>
            </w:rPr>
          </w:pPr>
          <w:hyperlink w:anchor="_3rdcrjn">
            <w:r>
              <w:rPr>
                <w:color w:val="000000"/>
              </w:rPr>
              <w:t>References</w:t>
            </w:r>
            <w:r>
              <w:rPr>
                <w:color w:val="000000"/>
              </w:rPr>
              <w:tab/>
              <w:t>12</w:t>
            </w:r>
          </w:hyperlink>
        </w:p>
        <w:p w14:paraId="6B575032" w14:textId="77777777" w:rsidR="00A84453" w:rsidRDefault="00522BDC">
          <w:r>
            <w:fldChar w:fldCharType="end"/>
          </w:r>
        </w:p>
      </w:sdtContent>
    </w:sdt>
    <w:p w14:paraId="6B575033" w14:textId="77777777" w:rsidR="00A84453" w:rsidRDefault="00A84453">
      <w:pPr>
        <w:pStyle w:val="Heading1"/>
        <w:sectPr w:rsidR="00A84453">
          <w:pgSz w:w="12240" w:h="15840"/>
          <w:pgMar w:top="1440" w:right="1440" w:bottom="1440" w:left="1440" w:header="720" w:footer="720" w:gutter="0"/>
          <w:cols w:space="720"/>
        </w:sectPr>
      </w:pPr>
    </w:p>
    <w:p w14:paraId="6B575034" w14:textId="77777777" w:rsidR="00A84453" w:rsidRDefault="00522BDC">
      <w:pPr>
        <w:pStyle w:val="Heading1"/>
      </w:pPr>
      <w:bookmarkStart w:id="1" w:name="_30j0zll" w:colFirst="0" w:colLast="0"/>
      <w:bookmarkEnd w:id="1"/>
      <w:r>
        <w:lastRenderedPageBreak/>
        <w:t>Introduction</w:t>
      </w:r>
    </w:p>
    <w:p w14:paraId="6B575035" w14:textId="77777777" w:rsidR="00A84453" w:rsidRDefault="00522BDC">
      <w:pPr>
        <w:spacing w:line="360" w:lineRule="auto"/>
        <w:sectPr w:rsidR="00A84453">
          <w:pgSz w:w="12240" w:h="15840"/>
          <w:pgMar w:top="1440" w:right="1440" w:bottom="1440" w:left="1440" w:header="720" w:footer="720" w:gutter="0"/>
          <w:cols w:space="720"/>
        </w:sectPr>
      </w:pPr>
      <w:r>
        <w:t>This means that to be effective there is need to adopt management of finance to fit in the squared world business environment dominated by multinationals. The problem lies with the fact that as more companies begin to engage in cross-border expansion they automatically subject themselves to unpredictable changes in currency values. Some of these risks may seem impossible to mitigate due to the unpredictability character for foreign currency which can greatly define cash flow, profitability and financial hea</w:t>
      </w:r>
      <w:r>
        <w:t>lth of the organization. It is therefore important for the multinational organizations to manage and control the foreign exchange risks for the organizational ventures to prospective. This paper is designed with the principal aim of analyzing the various dynamics associated with the technique of International Financial Management with specific focus on the way MNC’s utilize the technique to overcome foreign exchange risk.</w:t>
      </w:r>
    </w:p>
    <w:p w14:paraId="6B575036" w14:textId="77777777" w:rsidR="00A84453" w:rsidRDefault="00522BDC">
      <w:pPr>
        <w:pStyle w:val="Heading1"/>
      </w:pPr>
      <w:bookmarkStart w:id="2" w:name="_1fob9te" w:colFirst="0" w:colLast="0"/>
      <w:bookmarkEnd w:id="2"/>
      <w:r>
        <w:lastRenderedPageBreak/>
        <w:t xml:space="preserve">Foreign exchange risk </w:t>
      </w:r>
    </w:p>
    <w:p w14:paraId="6B575037" w14:textId="77777777" w:rsidR="00A84453" w:rsidRDefault="00522BDC">
      <w:pPr>
        <w:spacing w:line="360" w:lineRule="auto"/>
      </w:pPr>
      <w:bookmarkStart w:id="3" w:name="_3znysh7" w:colFirst="0" w:colLast="0"/>
      <w:bookmarkEnd w:id="3"/>
      <w:r>
        <w:t>Another justified fear that multinational Corporations face especially when participating in international business by either exportation of goods, provision of services or investment in foreign business entities is the currency risk. It is a risk related to capital changes, in other words trading risk, which means that values in one currency are exchanged for values in another and that could cause a loss of value in a specific currency (</w:t>
      </w:r>
      <w:proofErr w:type="spellStart"/>
      <w:r>
        <w:rPr>
          <w:color w:val="222222"/>
          <w:highlight w:val="white"/>
        </w:rPr>
        <w:t>Abhayawansa</w:t>
      </w:r>
      <w:proofErr w:type="spellEnd"/>
      <w:r>
        <w:rPr>
          <w:color w:val="222222"/>
          <w:highlight w:val="white"/>
        </w:rPr>
        <w:t xml:space="preserve"> and Adams, 2021)</w:t>
      </w:r>
      <w:r>
        <w:t xml:space="preserve">. </w:t>
      </w:r>
    </w:p>
    <w:p w14:paraId="6B575038" w14:textId="77777777" w:rsidR="00A84453" w:rsidRDefault="00522BDC">
      <w:pPr>
        <w:spacing w:line="360" w:lineRule="auto"/>
      </w:pPr>
      <w:r>
        <w:t xml:space="preserve"> It becomes vital to have a clear picture </w:t>
      </w:r>
      <w:proofErr w:type="gramStart"/>
      <w:r>
        <w:t>on</w:t>
      </w:r>
      <w:proofErr w:type="gramEnd"/>
      <w:r>
        <w:t xml:space="preserve"> the nature and extent of these risks with a view of coming up with preventive and mitigating measures as contained in the risk management programmers (</w:t>
      </w:r>
      <w:proofErr w:type="spellStart"/>
      <w:r>
        <w:rPr>
          <w:color w:val="222222"/>
          <w:highlight w:val="white"/>
        </w:rPr>
        <w:t>Budreviciute</w:t>
      </w:r>
      <w:proofErr w:type="spellEnd"/>
      <w:r>
        <w:rPr>
          <w:color w:val="222222"/>
          <w:highlight w:val="white"/>
        </w:rPr>
        <w:t xml:space="preserve"> et al., 2020)</w:t>
      </w:r>
      <w:r>
        <w:t xml:space="preserve">. The four key forms of exchange rate risks that are noticeable are classified into three main groups. The third type of </w:t>
      </w:r>
      <w:proofErr w:type="gramStart"/>
      <w:r>
        <w:t>the economic</w:t>
      </w:r>
      <w:proofErr w:type="gramEnd"/>
      <w:r>
        <w:t xml:space="preserve"> risk includes what is commonly known as transaction risk, which is in fact risks unique to transactions. The fact that exchange rates may change before the realization of a contract gives certainty.</w:t>
      </w:r>
      <w:r>
        <w:t xml:space="preserve"> The most comprehensive kind of transaction risk is delays involved in the completion of a transaction (</w:t>
      </w:r>
      <w:r>
        <w:rPr>
          <w:color w:val="222222"/>
          <w:highlight w:val="white"/>
        </w:rPr>
        <w:t xml:space="preserve">de Araújo Lima, Crema and </w:t>
      </w:r>
      <w:proofErr w:type="spellStart"/>
      <w:r>
        <w:rPr>
          <w:color w:val="222222"/>
          <w:highlight w:val="white"/>
        </w:rPr>
        <w:t>Verbano</w:t>
      </w:r>
      <w:proofErr w:type="spellEnd"/>
      <w:r>
        <w:rPr>
          <w:color w:val="222222"/>
          <w:highlight w:val="white"/>
        </w:rPr>
        <w:t>, 2020)</w:t>
      </w:r>
      <w:r>
        <w:t xml:space="preserve">. The above model shows that options and forward contracts which reduce the effects of transactions can be used. For instance, he experiences transaction risk when he buys products under a contract supplied by a European company from United States but when he is making the payment in foreign currency the exchange rate has changed between the </w:t>
      </w:r>
      <w:proofErr w:type="gramStart"/>
      <w:r>
        <w:t>time</w:t>
      </w:r>
      <w:proofErr w:type="gramEnd"/>
      <w:r>
        <w:t xml:space="preserve"> he signed the contr</w:t>
      </w:r>
      <w:r>
        <w:t>act and the time of executing the payments. While an appreciation of the euro against the dollar would, therefore, lead to a rise in the price of the items, an appreciation of the dollar would lead to the opposite effect (</w:t>
      </w:r>
      <w:r>
        <w:rPr>
          <w:color w:val="222222"/>
          <w:highlight w:val="white"/>
        </w:rPr>
        <w:t>Hubbard, 2020)</w:t>
      </w:r>
      <w:r>
        <w:t xml:space="preserve">. </w:t>
      </w:r>
    </w:p>
    <w:p w14:paraId="6B575039" w14:textId="77777777" w:rsidR="00A84453" w:rsidRDefault="00522BDC">
      <w:pPr>
        <w:spacing w:line="360" w:lineRule="auto"/>
      </w:pPr>
      <w:r>
        <w:t xml:space="preserve"> The threat which is posed by the fact that the market value of an organization may be affected by changes in exchange rates, given that the organization has to engage in the foreign exchange market at some point in its operations is termed as economic </w:t>
      </w:r>
      <w:proofErr w:type="gramStart"/>
      <w:r>
        <w:t>risk ,</w:t>
      </w:r>
      <w:proofErr w:type="gramEnd"/>
      <w:r>
        <w:t xml:space="preserve"> or forecast risk. This kind of risk is generally attributable to other economic factors including political risk and regulation. For instance, a company dealing in furniture in Britain that is competing with imported furniture will be subjected to economic risk in case of an enhancement of the pound’s value. </w:t>
      </w:r>
    </w:p>
    <w:p w14:paraId="6B57503A" w14:textId="77777777" w:rsidR="00A84453" w:rsidRDefault="00522BDC">
      <w:pPr>
        <w:spacing w:line="360" w:lineRule="auto"/>
        <w:rPr>
          <w:b/>
        </w:rPr>
        <w:sectPr w:rsidR="00A84453">
          <w:pgSz w:w="12240" w:h="15840"/>
          <w:pgMar w:top="1440" w:right="1440" w:bottom="1440" w:left="1440" w:header="720" w:footer="720" w:gutter="0"/>
          <w:cols w:space="720"/>
        </w:sectPr>
      </w:pPr>
      <w:r>
        <w:t xml:space="preserve"> This is also known as accounting </w:t>
      </w:r>
      <w:proofErr w:type="gramStart"/>
      <w:r>
        <w:t>exposure</w:t>
      </w:r>
      <w:proofErr w:type="gramEnd"/>
      <w:r>
        <w:t xml:space="preserve"> and it impacts multinationals that have a stake in the specific countries of operation (</w:t>
      </w:r>
      <w:r>
        <w:rPr>
          <w:color w:val="222222"/>
          <w:highlight w:val="white"/>
        </w:rPr>
        <w:t>Kobrin, 2022)</w:t>
      </w:r>
      <w:r>
        <w:t xml:space="preserve">. The books are translated from one currency to the native currency and as such they are translated risk books. Fluctuations between the reporting currency and the currency of the balance sheet items impact the overall balance sheet significantly. </w:t>
      </w:r>
      <w:r>
        <w:lastRenderedPageBreak/>
        <w:t>Suppose that a parent has developed a cash flow strategy under the fact that the JPY has been devaluing against the dollar (</w:t>
      </w:r>
      <w:r>
        <w:rPr>
          <w:color w:val="222222"/>
          <w:highlight w:val="white"/>
        </w:rPr>
        <w:t>Meyer and Nguyen, 2020)</w:t>
      </w:r>
      <w:r>
        <w:t xml:space="preserve">. This </w:t>
      </w:r>
      <w:r>
        <w:t xml:space="preserve">could be the case where the parent firm has a subsidiary from Japan and the value of the subsidiaries’ assets is indicated in JPY. </w:t>
      </w:r>
    </w:p>
    <w:p w14:paraId="6B57503B" w14:textId="77777777" w:rsidR="00A84453" w:rsidRDefault="00522BDC">
      <w:pPr>
        <w:pStyle w:val="Heading1"/>
      </w:pPr>
      <w:bookmarkStart w:id="4" w:name="_2et92p0" w:colFirst="0" w:colLast="0"/>
      <w:bookmarkEnd w:id="4"/>
      <w:r>
        <w:lastRenderedPageBreak/>
        <w:t>Strategies Used by Multinational Companies in Managing Exchange Risk</w:t>
      </w:r>
    </w:p>
    <w:p w14:paraId="6B57503C" w14:textId="77777777" w:rsidR="00A84453" w:rsidRDefault="00522BDC">
      <w:pPr>
        <w:spacing w:line="360" w:lineRule="auto"/>
      </w:pPr>
      <w:r>
        <w:t xml:space="preserve">Many large companies use various approaches to manage or at least lessen the impact of such threats and preserve their investment. All in all, it is possible to identify three main categorization approaches to these strategies. </w:t>
      </w:r>
    </w:p>
    <w:p w14:paraId="6B57503D" w14:textId="77777777" w:rsidR="00A84453" w:rsidRDefault="00522BDC">
      <w:pPr>
        <w:pStyle w:val="Heading2"/>
      </w:pPr>
      <w:bookmarkStart w:id="5" w:name="_tyjcwt" w:colFirst="0" w:colLast="0"/>
      <w:bookmarkEnd w:id="5"/>
      <w:r>
        <w:t xml:space="preserve">Hedging strategies </w:t>
      </w:r>
    </w:p>
    <w:p w14:paraId="6B57503E" w14:textId="77777777" w:rsidR="00A84453" w:rsidRDefault="00522BDC">
      <w:pPr>
        <w:spacing w:line="360" w:lineRule="auto"/>
      </w:pPr>
      <w:r>
        <w:t>Thus, forward contracts are used by the international corporations not as a line of action, but as an insurance policy. The swap of a fixed amount of one currency for another at a stated time in the future and at an agreed rate is called a forward contract (</w:t>
      </w:r>
      <w:r>
        <w:rPr>
          <w:color w:val="222222"/>
          <w:highlight w:val="white"/>
        </w:rPr>
        <w:t xml:space="preserve">Moosavi, </w:t>
      </w:r>
      <w:proofErr w:type="spellStart"/>
      <w:r>
        <w:rPr>
          <w:color w:val="222222"/>
          <w:highlight w:val="white"/>
        </w:rPr>
        <w:t>Fathollahi</w:t>
      </w:r>
      <w:proofErr w:type="spellEnd"/>
      <w:r>
        <w:rPr>
          <w:color w:val="222222"/>
          <w:highlight w:val="white"/>
        </w:rPr>
        <w:t xml:space="preserve">-Fard and </w:t>
      </w:r>
      <w:proofErr w:type="spellStart"/>
      <w:r>
        <w:rPr>
          <w:color w:val="222222"/>
          <w:highlight w:val="white"/>
        </w:rPr>
        <w:t>Dulebenets</w:t>
      </w:r>
      <w:proofErr w:type="spellEnd"/>
      <w:r>
        <w:rPr>
          <w:color w:val="222222"/>
          <w:highlight w:val="white"/>
        </w:rPr>
        <w:t>, 2022)</w:t>
      </w:r>
      <w:r>
        <w:t xml:space="preserve">. To sum up, the exchange rates can be fixed for an anticipated business transaction. With this degree of absolute certainty this proposition appears to be the best strategic fit for the current needs of the </w:t>
      </w:r>
      <w:proofErr w:type="spellStart"/>
      <w:r>
        <w:t>organisation</w:t>
      </w:r>
      <w:proofErr w:type="spellEnd"/>
      <w:r>
        <w:t xml:space="preserve">. Options contracts give corporations the right without the accompanying obligation, to sell money at a stipulated price at a specific time in the future. It allows the organizations to maximize on the strength, weakness, opportunity, and threat </w:t>
      </w:r>
      <w:r>
        <w:t xml:space="preserve">on the change in the foreign exchange rate while at the same time managing the risks that </w:t>
      </w:r>
      <w:proofErr w:type="gramStart"/>
      <w:r>
        <w:t>comes</w:t>
      </w:r>
      <w:proofErr w:type="gramEnd"/>
      <w:r>
        <w:t xml:space="preserve"> along with it. As for currency trade, it involves swapping of one currency for another usually on principal and sometimes on interest (</w:t>
      </w:r>
      <w:r>
        <w:rPr>
          <w:color w:val="222222"/>
          <w:highlight w:val="white"/>
        </w:rPr>
        <w:t>Munir et al., 2020)</w:t>
      </w:r>
      <w:r>
        <w:t xml:space="preserve">. These risks include transaction and interest rate risk and with the help of the specialists, they can be managed. </w:t>
      </w:r>
    </w:p>
    <w:p w14:paraId="6B57503F" w14:textId="77777777" w:rsidR="00A84453" w:rsidRDefault="00522BDC">
      <w:pPr>
        <w:pStyle w:val="Heading2"/>
      </w:pPr>
      <w:bookmarkStart w:id="6" w:name="_3dy6vkm" w:colFirst="0" w:colLast="0"/>
      <w:bookmarkEnd w:id="6"/>
      <w:r>
        <w:t xml:space="preserve">Operational strategies. </w:t>
      </w:r>
    </w:p>
    <w:p w14:paraId="6B575040" w14:textId="77777777" w:rsidR="00A84453" w:rsidRDefault="00522BDC">
      <w:pPr>
        <w:spacing w:line="360" w:lineRule="auto"/>
      </w:pPr>
      <w:r>
        <w:t>Optimization of a company’s operation in terms of jurisdictions and currencies could be seen as the inherent hedge. Acts that are distributed among multiple currencies apply for expenses. The mathematical sum of the changes and the variations or specific adjustments of currencies may be quite modest. The bars consumed almost anything that strayed from the exit strategy, including the foreign currency (</w:t>
      </w:r>
      <w:r>
        <w:rPr>
          <w:color w:val="222222"/>
          <w:highlight w:val="white"/>
        </w:rPr>
        <w:t>Sharma et al., 2020)</w:t>
      </w:r>
      <w:r>
        <w:t xml:space="preserve">. Because </w:t>
      </w:r>
      <w:proofErr w:type="gramStart"/>
      <w:r>
        <w:t>leading</w:t>
      </w:r>
      <w:proofErr w:type="gramEnd"/>
      <w:r>
        <w:t xml:space="preserve"> payments before the due date or delaying payments until the last possible moment allows one to take advantage of differentiations in exchange rates. </w:t>
      </w:r>
    </w:p>
    <w:p w14:paraId="6B575041" w14:textId="77777777" w:rsidR="00A84453" w:rsidRDefault="00522BDC">
      <w:pPr>
        <w:pStyle w:val="Heading2"/>
      </w:pPr>
      <w:bookmarkStart w:id="7" w:name="_1t3h5sf" w:colFirst="0" w:colLast="0"/>
      <w:bookmarkEnd w:id="7"/>
      <w:r>
        <w:t xml:space="preserve">Economic strategies </w:t>
      </w:r>
    </w:p>
    <w:p w14:paraId="6B575042" w14:textId="77777777" w:rsidR="00A84453" w:rsidRDefault="00522BDC">
      <w:pPr>
        <w:spacing w:line="360" w:lineRule="auto"/>
        <w:sectPr w:rsidR="00A84453">
          <w:pgSz w:w="12240" w:h="15840"/>
          <w:pgMar w:top="1440" w:right="1440" w:bottom="1440" w:left="1440" w:header="720" w:footer="720" w:gutter="0"/>
          <w:cols w:space="720"/>
        </w:sectPr>
      </w:pPr>
      <w:r>
        <w:t xml:space="preserve">Organizations can create an intrinsic hedge of their exposure by planning, budgeting, and implementing their revenues and expenses in the most appropriate currencies. For instance, let assume that a business undertakes its operations in a currency that is the same as the currency of </w:t>
      </w:r>
      <w:r>
        <w:lastRenderedPageBreak/>
        <w:t>its revenues and expenses; then, changes in the exchange rate will not be relevant to its profitability level. Contract or price revisions in relation to inflation risk is one of the suitable ways of managing the economic risk (</w:t>
      </w:r>
      <w:r>
        <w:rPr>
          <w:color w:val="222222"/>
          <w:highlight w:val="white"/>
        </w:rPr>
        <w:t>Sun et al., 2021)</w:t>
      </w:r>
      <w:r>
        <w:t>. Avoiding real return depletion when pricing contracts entails was one of the ways of predicting inflation rates when determining the costs. These are flawless strategies. The exposure to the foreign exchange risk can be expensive and not all hedge options are open. Business advancement and the market economy decide the success of such approaches. To be able to come up with and apply such methods, thus, much research and repeated assessment are required (</w:t>
      </w:r>
      <w:r>
        <w:rPr>
          <w:color w:val="222222"/>
          <w:highlight w:val="white"/>
        </w:rPr>
        <w:t>Sun et al., 2021)</w:t>
      </w:r>
      <w:r>
        <w:t xml:space="preserve">. </w:t>
      </w:r>
    </w:p>
    <w:p w14:paraId="6B575043" w14:textId="77777777" w:rsidR="00A84453" w:rsidRDefault="00522BDC">
      <w:pPr>
        <w:pStyle w:val="Heading1"/>
      </w:pPr>
      <w:bookmarkStart w:id="8" w:name="_4d34og8" w:colFirst="0" w:colLast="0"/>
      <w:bookmarkEnd w:id="8"/>
      <w:r>
        <w:lastRenderedPageBreak/>
        <w:t>Critical analysis of the strategies </w:t>
      </w:r>
    </w:p>
    <w:p w14:paraId="6B575044" w14:textId="77777777" w:rsidR="00A84453" w:rsidRDefault="00522BDC">
      <w:pPr>
        <w:spacing w:line="360" w:lineRule="auto"/>
      </w:pPr>
      <w:bookmarkStart w:id="9" w:name="_26in1rg" w:colFirst="0" w:colLast="0"/>
      <w:bookmarkEnd w:id="9"/>
      <w:r>
        <w:t xml:space="preserve">Multinational corporations should also assess the benefits, drawbacks, and complexity of the strategies they’ll select to counter their risk exposure in foreign exchange. Critical analysis allows such approaches to be assessed concerning various contexts and market environments of organizations. This paper seeks to explain why hedging strategies are used in the foreign exchange market when it comes to volatility. The goal of transaction risk stability and its reduction is maintained by investing in forward </w:t>
      </w:r>
      <w:r>
        <w:t>contracts and options. By establishing exchange rate regulation, these instruments retained profit margins’ objectives. Of course, these systems ensure security but at the cost of finances (</w:t>
      </w:r>
      <w:r>
        <w:rPr>
          <w:color w:val="222222"/>
          <w:highlight w:val="white"/>
        </w:rPr>
        <w:t>Sun et al., 2021)</w:t>
      </w:r>
      <w:r>
        <w:t xml:space="preserve">. Derivative contracts can easily build up costs for a small business especially as they are linked to revenues and net profits of the company. This is a disadvantage because when firms employ means that guard against such changes in currency rates it may hinder </w:t>
      </w:r>
      <w:proofErr w:type="gramStart"/>
      <w:r>
        <w:t>it</w:t>
      </w:r>
      <w:proofErr w:type="gramEnd"/>
      <w:r>
        <w:t xml:space="preserve"> from benefiting from an upward movement</w:t>
      </w:r>
      <w:r>
        <w:t xml:space="preserve"> in the rates. The primary concern is to strike the finest balance possible between the operation’s overall aim of generating the highest possible returns and yet, at the same time, avoiding the hazards involved in resting all one’s laurels on the goal’s achievement as well (</w:t>
      </w:r>
      <w:r>
        <w:rPr>
          <w:color w:val="222222"/>
          <w:highlight w:val="white"/>
        </w:rPr>
        <w:t>Sharma et al., 2020)</w:t>
      </w:r>
      <w:r>
        <w:t xml:space="preserve">. Most </w:t>
      </w:r>
      <w:proofErr w:type="spellStart"/>
      <w:r>
        <w:t>organisations</w:t>
      </w:r>
      <w:proofErr w:type="spellEnd"/>
      <w:r>
        <w:t xml:space="preserve"> have resulted to the use of operational strategies for the control of foreign exchange risk because of their cost effectiveness. Diversification. Currencies should be spread across </w:t>
      </w:r>
      <w:proofErr w:type="spellStart"/>
      <w:proofErr w:type="gramStart"/>
      <w:r>
        <w:t>recepts</w:t>
      </w:r>
      <w:proofErr w:type="spellEnd"/>
      <w:proofErr w:type="gramEnd"/>
      <w:r>
        <w:t xml:space="preserve"> and ex</w:t>
      </w:r>
      <w:r>
        <w:t>penditure to minimize the transaction risk. However, leading and extending payments to ensure that amounts to be paid are low through timing of transactions may not be so easy for large MNCs. Operations in many countries (</w:t>
      </w:r>
      <w:r>
        <w:rPr>
          <w:color w:val="222222"/>
          <w:highlight w:val="white"/>
        </w:rPr>
        <w:t>Sharma et al., 2020)</w:t>
      </w:r>
      <w:r>
        <w:t xml:space="preserve">. </w:t>
      </w:r>
    </w:p>
    <w:p w14:paraId="6B575045" w14:textId="77777777" w:rsidR="00A84453" w:rsidRDefault="00522BDC">
      <w:pPr>
        <w:spacing w:line="360" w:lineRule="auto"/>
        <w:sectPr w:rsidR="00A84453">
          <w:pgSz w:w="12240" w:h="15840"/>
          <w:pgMar w:top="1440" w:right="1440" w:bottom="1440" w:left="1440" w:header="720" w:footer="720" w:gutter="0"/>
          <w:cols w:space="720"/>
        </w:sectPr>
      </w:pPr>
      <w:r>
        <w:t xml:space="preserve"> Economic modes of controlling foreign exchange risk include natural hedging and inflation indexing and they are long-term oriented and applied for individual business. Due to the flexible nature of SMM, it offers a high level of flexibility and ability to adapt to the needs of each business that is undertaking the activity. However, having those economic security measures in place will not immunize the rates of currency against temporary oscillations. Transaction risk can affect a corporation’s short-term </w:t>
      </w:r>
      <w:r>
        <w:t xml:space="preserve">or present financial profitability. Other circumstances not in the control of the firm relate to market aspects; for instance, inflation differentials may affect effective economic strategies, thus lacking ongoing dependable economic hedging. </w:t>
      </w:r>
      <w:proofErr w:type="gramStart"/>
      <w:r>
        <w:t>It is clear that economic</w:t>
      </w:r>
      <w:proofErr w:type="gramEnd"/>
      <w:r>
        <w:t xml:space="preserve"> methods are valuable, nevertheless they should be effective only in connection with the whole range of measures concerning risk management within a definite period of time and in the further outlook (</w:t>
      </w:r>
      <w:r>
        <w:rPr>
          <w:color w:val="222222"/>
          <w:highlight w:val="white"/>
        </w:rPr>
        <w:t>Sun et al., 2021)</w:t>
      </w:r>
      <w:r>
        <w:t>.</w:t>
      </w:r>
    </w:p>
    <w:p w14:paraId="6B575046" w14:textId="77777777" w:rsidR="00A84453" w:rsidRDefault="00522BDC">
      <w:pPr>
        <w:pStyle w:val="Heading1"/>
      </w:pPr>
      <w:bookmarkStart w:id="10" w:name="_2s8eyo1" w:colFirst="0" w:colLast="0"/>
      <w:bookmarkEnd w:id="10"/>
      <w:r>
        <w:lastRenderedPageBreak/>
        <w:t>Research Findings and Product Examples</w:t>
      </w:r>
    </w:p>
    <w:p w14:paraId="6B575047" w14:textId="77777777" w:rsidR="00A84453" w:rsidRDefault="00522BDC">
      <w:pPr>
        <w:spacing w:line="360" w:lineRule="auto"/>
      </w:pPr>
      <w:r>
        <w:t xml:space="preserve">A clearer understanding of the situation can be obtained, such as demonstrating empirical facts about how these multinationals use strategies for hedging foreign exchange risks and a few real-life examples. These examples of the practical utilizations of the methods in the business environment bring clarity of the benefits and drawbacks of the strategies. </w:t>
      </w:r>
    </w:p>
    <w:p w14:paraId="6B575048" w14:textId="77777777" w:rsidR="00A84453" w:rsidRDefault="00522BDC">
      <w:pPr>
        <w:spacing w:line="360" w:lineRule="auto"/>
      </w:pPr>
      <w:r>
        <w:t xml:space="preserve"> </w:t>
      </w:r>
      <w:proofErr w:type="gramStart"/>
      <w:r>
        <w:t>Nike</w:t>
      </w:r>
      <w:proofErr w:type="gramEnd"/>
      <w:r>
        <w:t xml:space="preserve"> the world’s biggest athletic shoe and apparel company is especially notorious for managing currency risk brilliantly. To mitigate transaction risk, it uses different methods of hedging</w:t>
      </w:r>
      <w:proofErr w:type="gramStart"/>
      <w:r>
        <w:t xml:space="preserve"> the</w:t>
      </w:r>
      <w:proofErr w:type="gramEnd"/>
      <w:r>
        <w:t xml:space="preserve"> nature of the monetary transactions entails that the following risks are prevalent in the business environment. Regarding the Japanese yen, Nike had used to employ hedging utilizing future contracts (</w:t>
      </w:r>
      <w:r>
        <w:rPr>
          <w:color w:val="222222"/>
          <w:highlight w:val="white"/>
        </w:rPr>
        <w:t>Sharma et al., 2020)</w:t>
      </w:r>
      <w:r>
        <w:t xml:space="preserve">. </w:t>
      </w:r>
    </w:p>
    <w:p w14:paraId="6B575049" w14:textId="77777777" w:rsidR="00A84453" w:rsidRDefault="00522BDC">
      <w:pPr>
        <w:spacing w:line="360" w:lineRule="auto"/>
      </w:pPr>
      <w:r>
        <w:t xml:space="preserve"> Some of the wise measures adopted by the German carmaker Volkswagen are given below regarding the management of translation risk. </w:t>
      </w:r>
      <w:proofErr w:type="gramStart"/>
      <w:r>
        <w:t>For the purpose of</w:t>
      </w:r>
      <w:proofErr w:type="gramEnd"/>
      <w:r>
        <w:t xml:space="preserve"> reducing the amount of variation in acquisition of exchange rates to financial statements, they employ financial instruments. In this way, the investors and the stakeholders are provided with clear and accurate financial statements. Porsche Chassis is another German company that opted for hybrid business structure since the variance of business activities turned out to be successful (</w:t>
      </w:r>
      <w:r>
        <w:rPr>
          <w:color w:val="222222"/>
          <w:highlight w:val="white"/>
        </w:rPr>
        <w:t>Sharma et al., 2020)</w:t>
      </w:r>
      <w:r>
        <w:t>. They have a network for the production and selling of their products all over the wo</w:t>
      </w:r>
      <w:r>
        <w:t xml:space="preserve">rld and this reduces the effect of change in currencies. This way they do not feel the impact of change in the foreign </w:t>
      </w:r>
      <w:proofErr w:type="gramStart"/>
      <w:r>
        <w:t>currency</w:t>
      </w:r>
      <w:proofErr w:type="gramEnd"/>
      <w:r>
        <w:t xml:space="preserve"> which in some way maintains stability for them. </w:t>
      </w:r>
    </w:p>
    <w:p w14:paraId="6B57504A" w14:textId="77777777" w:rsidR="00A84453" w:rsidRDefault="00A84453">
      <w:pPr>
        <w:spacing w:line="360" w:lineRule="auto"/>
      </w:pPr>
    </w:p>
    <w:p w14:paraId="6B57504B" w14:textId="77777777" w:rsidR="00A84453" w:rsidRDefault="00A84453">
      <w:pPr>
        <w:spacing w:line="360" w:lineRule="auto"/>
      </w:pPr>
    </w:p>
    <w:p w14:paraId="6B57504C" w14:textId="77777777" w:rsidR="00A84453" w:rsidRDefault="00A84453">
      <w:pPr>
        <w:spacing w:line="360" w:lineRule="auto"/>
      </w:pPr>
    </w:p>
    <w:p w14:paraId="6B57504D" w14:textId="77777777" w:rsidR="00A84453" w:rsidRDefault="00A84453">
      <w:pPr>
        <w:spacing w:line="360" w:lineRule="auto"/>
      </w:pPr>
    </w:p>
    <w:p w14:paraId="6B57504E" w14:textId="77777777" w:rsidR="00A84453" w:rsidRDefault="00A84453">
      <w:pPr>
        <w:spacing w:line="360" w:lineRule="auto"/>
      </w:pPr>
    </w:p>
    <w:p w14:paraId="6B57504F" w14:textId="77777777" w:rsidR="00A84453" w:rsidRDefault="00A84453">
      <w:pPr>
        <w:spacing w:line="360" w:lineRule="auto"/>
      </w:pPr>
    </w:p>
    <w:p w14:paraId="6B575050" w14:textId="77777777" w:rsidR="00A84453" w:rsidRDefault="00A84453">
      <w:pPr>
        <w:spacing w:line="360" w:lineRule="auto"/>
      </w:pPr>
    </w:p>
    <w:p w14:paraId="6B575051" w14:textId="77777777" w:rsidR="00A84453" w:rsidRDefault="00522BDC">
      <w:pPr>
        <w:pStyle w:val="Heading1"/>
      </w:pPr>
      <w:bookmarkStart w:id="11" w:name="_17dp8vu" w:colFirst="0" w:colLast="0"/>
      <w:bookmarkEnd w:id="11"/>
      <w:r>
        <w:lastRenderedPageBreak/>
        <w:t>Conclusion</w:t>
      </w:r>
    </w:p>
    <w:p w14:paraId="6B575052" w14:textId="77777777" w:rsidR="00A84453" w:rsidRDefault="00522BDC">
      <w:pPr>
        <w:spacing w:line="360" w:lineRule="auto"/>
      </w:pPr>
      <w:r>
        <w:t xml:space="preserve">Thus, the research carefully reviewed how the major global organizations manage foreign exchange risk within their global financial management. Seeing how it </w:t>
      </w:r>
      <w:proofErr w:type="gramStart"/>
      <w:r>
        <w:t>actually is</w:t>
      </w:r>
      <w:proofErr w:type="gramEnd"/>
      <w:r>
        <w:t xml:space="preserve"> through economics plans, through daily operations, and through hedging, we get to realize that each strategy applies its strength and also its weakness. Since the world markets are dynamic it would be important to put in place a strategy that can work </w:t>
      </w:r>
      <w:proofErr w:type="gramStart"/>
      <w:r>
        <w:t>for</w:t>
      </w:r>
      <w:proofErr w:type="gramEnd"/>
      <w:r>
        <w:t xml:space="preserve"> both the short run and the long run. Managing the foreign exchange risks therefore requires the use of the following strategies in combinations that are appropriate for each of the firms. Thus, having the effective risk management plan, big fir</w:t>
      </w:r>
      <w:r>
        <w:t xml:space="preserve">ms could have increased competitive advantage, protected their financial position, and achieved high level of performance in the increasingly unpredictable world markets. It assists them in arriving at good decisions in the sphere of international finances, which is quite important in the modern world. This article </w:t>
      </w:r>
      <w:proofErr w:type="gramStart"/>
      <w:r>
        <w:t>will</w:t>
      </w:r>
      <w:proofErr w:type="gramEnd"/>
      <w:r>
        <w:t xml:space="preserve"> </w:t>
      </w:r>
      <w:proofErr w:type="gramStart"/>
      <w:r>
        <w:t>useful</w:t>
      </w:r>
      <w:proofErr w:type="gramEnd"/>
      <w:r>
        <w:t xml:space="preserve"> for those persons who have any interest in this issue.</w:t>
      </w:r>
    </w:p>
    <w:p w14:paraId="6B575053" w14:textId="77777777" w:rsidR="00A84453" w:rsidRDefault="00A84453">
      <w:pPr>
        <w:spacing w:line="360" w:lineRule="auto"/>
      </w:pPr>
    </w:p>
    <w:p w14:paraId="6B575054" w14:textId="77777777" w:rsidR="00A84453" w:rsidRDefault="00A84453">
      <w:pPr>
        <w:spacing w:line="360" w:lineRule="auto"/>
      </w:pPr>
    </w:p>
    <w:p w14:paraId="6B575055" w14:textId="77777777" w:rsidR="00A84453" w:rsidRDefault="00A84453">
      <w:pPr>
        <w:spacing w:line="360" w:lineRule="auto"/>
      </w:pPr>
    </w:p>
    <w:p w14:paraId="6B575056" w14:textId="77777777" w:rsidR="00A84453" w:rsidRDefault="00A84453">
      <w:pPr>
        <w:spacing w:line="360" w:lineRule="auto"/>
      </w:pPr>
    </w:p>
    <w:p w14:paraId="6B575057" w14:textId="77777777" w:rsidR="00A84453" w:rsidRDefault="00A84453">
      <w:pPr>
        <w:spacing w:line="360" w:lineRule="auto"/>
      </w:pPr>
    </w:p>
    <w:p w14:paraId="6B575058" w14:textId="77777777" w:rsidR="00A84453" w:rsidRDefault="00A84453">
      <w:pPr>
        <w:spacing w:line="360" w:lineRule="auto"/>
      </w:pPr>
    </w:p>
    <w:p w14:paraId="6B575059" w14:textId="77777777" w:rsidR="00A84453" w:rsidRDefault="00A84453">
      <w:pPr>
        <w:spacing w:line="360" w:lineRule="auto"/>
      </w:pPr>
    </w:p>
    <w:p w14:paraId="6B57505A" w14:textId="77777777" w:rsidR="00A84453" w:rsidRDefault="00A84453">
      <w:pPr>
        <w:spacing w:line="360" w:lineRule="auto"/>
      </w:pPr>
    </w:p>
    <w:p w14:paraId="6B57505B" w14:textId="77777777" w:rsidR="00A84453" w:rsidRDefault="00A84453">
      <w:pPr>
        <w:spacing w:line="360" w:lineRule="auto"/>
      </w:pPr>
    </w:p>
    <w:p w14:paraId="6B57505C" w14:textId="77777777" w:rsidR="00A84453" w:rsidRDefault="00A84453">
      <w:pPr>
        <w:spacing w:line="360" w:lineRule="auto"/>
      </w:pPr>
    </w:p>
    <w:p w14:paraId="6B57505D" w14:textId="77777777" w:rsidR="00A84453" w:rsidRDefault="00A84453">
      <w:pPr>
        <w:spacing w:line="360" w:lineRule="auto"/>
        <w:sectPr w:rsidR="00A84453">
          <w:pgSz w:w="12240" w:h="15840"/>
          <w:pgMar w:top="1440" w:right="1440" w:bottom="1440" w:left="1440" w:header="720" w:footer="720" w:gutter="0"/>
          <w:cols w:space="720"/>
        </w:sectPr>
      </w:pPr>
    </w:p>
    <w:p w14:paraId="6B57505E" w14:textId="77777777" w:rsidR="00A84453" w:rsidRDefault="00522BDC">
      <w:pPr>
        <w:pStyle w:val="Heading1"/>
      </w:pPr>
      <w:bookmarkStart w:id="12" w:name="_3rdcrjn" w:colFirst="0" w:colLast="0"/>
      <w:bookmarkEnd w:id="12"/>
      <w:r>
        <w:lastRenderedPageBreak/>
        <w:t xml:space="preserve">References </w:t>
      </w:r>
    </w:p>
    <w:p w14:paraId="6B57505F" w14:textId="77777777" w:rsidR="00A84453" w:rsidRDefault="00522BDC">
      <w:pPr>
        <w:spacing w:line="360" w:lineRule="auto"/>
        <w:rPr>
          <w:color w:val="222222"/>
          <w:highlight w:val="white"/>
        </w:rPr>
      </w:pPr>
      <w:proofErr w:type="spellStart"/>
      <w:r>
        <w:rPr>
          <w:color w:val="222222"/>
          <w:highlight w:val="white"/>
        </w:rPr>
        <w:t>Abhayawansa</w:t>
      </w:r>
      <w:proofErr w:type="spellEnd"/>
      <w:r>
        <w:rPr>
          <w:color w:val="222222"/>
          <w:highlight w:val="white"/>
        </w:rPr>
        <w:t>, S. and Adams, C., 2021. Towards a conceptual framework for non-financial reporting inclusive of pandemic and climate risk reporting. </w:t>
      </w:r>
      <w:proofErr w:type="spellStart"/>
      <w:r>
        <w:rPr>
          <w:i/>
          <w:color w:val="222222"/>
          <w:highlight w:val="white"/>
        </w:rPr>
        <w:t>Meditari</w:t>
      </w:r>
      <w:proofErr w:type="spellEnd"/>
      <w:r>
        <w:rPr>
          <w:i/>
          <w:color w:val="222222"/>
          <w:highlight w:val="white"/>
        </w:rPr>
        <w:t xml:space="preserve"> Accountancy Research</w:t>
      </w:r>
      <w:r>
        <w:rPr>
          <w:color w:val="222222"/>
          <w:highlight w:val="white"/>
        </w:rPr>
        <w:t>, </w:t>
      </w:r>
      <w:r>
        <w:rPr>
          <w:i/>
          <w:color w:val="222222"/>
          <w:highlight w:val="white"/>
        </w:rPr>
        <w:t>30</w:t>
      </w:r>
      <w:r>
        <w:rPr>
          <w:color w:val="222222"/>
          <w:highlight w:val="white"/>
        </w:rPr>
        <w:t>(3), pp.710-738.</w:t>
      </w:r>
    </w:p>
    <w:p w14:paraId="6B575060" w14:textId="77777777" w:rsidR="00A84453" w:rsidRDefault="00522BDC">
      <w:pPr>
        <w:spacing w:line="360" w:lineRule="auto"/>
        <w:rPr>
          <w:color w:val="222222"/>
          <w:highlight w:val="white"/>
        </w:rPr>
      </w:pPr>
      <w:proofErr w:type="spellStart"/>
      <w:r>
        <w:rPr>
          <w:color w:val="222222"/>
          <w:highlight w:val="white"/>
        </w:rPr>
        <w:t>Budreviciute</w:t>
      </w:r>
      <w:proofErr w:type="spellEnd"/>
      <w:r>
        <w:rPr>
          <w:color w:val="222222"/>
          <w:highlight w:val="white"/>
        </w:rPr>
        <w:t xml:space="preserve">, A., </w:t>
      </w:r>
      <w:proofErr w:type="spellStart"/>
      <w:r>
        <w:rPr>
          <w:color w:val="222222"/>
          <w:highlight w:val="white"/>
        </w:rPr>
        <w:t>Damiati</w:t>
      </w:r>
      <w:proofErr w:type="spellEnd"/>
      <w:r>
        <w:rPr>
          <w:color w:val="222222"/>
          <w:highlight w:val="white"/>
        </w:rPr>
        <w:t>, S., Sabir, D.K., Onder, K., Schuller-</w:t>
      </w:r>
      <w:proofErr w:type="spellStart"/>
      <w:r>
        <w:rPr>
          <w:color w:val="222222"/>
          <w:highlight w:val="white"/>
        </w:rPr>
        <w:t>Goetzburg</w:t>
      </w:r>
      <w:proofErr w:type="spellEnd"/>
      <w:r>
        <w:rPr>
          <w:color w:val="222222"/>
          <w:highlight w:val="white"/>
        </w:rPr>
        <w:t xml:space="preserve">, P., </w:t>
      </w:r>
      <w:proofErr w:type="spellStart"/>
      <w:r>
        <w:rPr>
          <w:color w:val="222222"/>
          <w:highlight w:val="white"/>
        </w:rPr>
        <w:t>Plakys</w:t>
      </w:r>
      <w:proofErr w:type="spellEnd"/>
      <w:r>
        <w:rPr>
          <w:color w:val="222222"/>
          <w:highlight w:val="white"/>
        </w:rPr>
        <w:t xml:space="preserve">, G., </w:t>
      </w:r>
      <w:proofErr w:type="spellStart"/>
      <w:r>
        <w:rPr>
          <w:color w:val="222222"/>
          <w:highlight w:val="white"/>
        </w:rPr>
        <w:t>Katileviciute</w:t>
      </w:r>
      <w:proofErr w:type="spellEnd"/>
      <w:r>
        <w:rPr>
          <w:color w:val="222222"/>
          <w:highlight w:val="white"/>
        </w:rPr>
        <w:t xml:space="preserve">, A., Khoja, S. and </w:t>
      </w:r>
      <w:proofErr w:type="spellStart"/>
      <w:r>
        <w:rPr>
          <w:color w:val="222222"/>
          <w:highlight w:val="white"/>
        </w:rPr>
        <w:t>Kodzius</w:t>
      </w:r>
      <w:proofErr w:type="spellEnd"/>
      <w:r>
        <w:rPr>
          <w:color w:val="222222"/>
          <w:highlight w:val="white"/>
        </w:rPr>
        <w:t>, R., 2020. Management and prevention strategies for non-communicable diseases (NCDs) and their risk factors. </w:t>
      </w:r>
      <w:r>
        <w:rPr>
          <w:i/>
          <w:color w:val="222222"/>
          <w:highlight w:val="white"/>
        </w:rPr>
        <w:t>Frontiers in public health</w:t>
      </w:r>
      <w:r>
        <w:rPr>
          <w:color w:val="222222"/>
          <w:highlight w:val="white"/>
        </w:rPr>
        <w:t>, </w:t>
      </w:r>
      <w:r>
        <w:rPr>
          <w:i/>
          <w:color w:val="222222"/>
          <w:highlight w:val="white"/>
        </w:rPr>
        <w:t>8</w:t>
      </w:r>
      <w:r>
        <w:rPr>
          <w:color w:val="222222"/>
          <w:highlight w:val="white"/>
        </w:rPr>
        <w:t>, p.574111.</w:t>
      </w:r>
    </w:p>
    <w:p w14:paraId="6B575061" w14:textId="77777777" w:rsidR="00A84453" w:rsidRDefault="00522BDC">
      <w:pPr>
        <w:spacing w:line="360" w:lineRule="auto"/>
        <w:rPr>
          <w:sz w:val="32"/>
          <w:szCs w:val="32"/>
          <w:highlight w:val="white"/>
        </w:rPr>
      </w:pPr>
      <w:r>
        <w:rPr>
          <w:color w:val="222222"/>
          <w:highlight w:val="white"/>
        </w:rPr>
        <w:t xml:space="preserve">de Araújo Lima, P.F., Crema, M. and </w:t>
      </w:r>
      <w:proofErr w:type="spellStart"/>
      <w:r>
        <w:rPr>
          <w:color w:val="222222"/>
          <w:highlight w:val="white"/>
        </w:rPr>
        <w:t>Verbano</w:t>
      </w:r>
      <w:proofErr w:type="spellEnd"/>
      <w:r>
        <w:rPr>
          <w:color w:val="222222"/>
          <w:highlight w:val="white"/>
        </w:rPr>
        <w:t>, C., 2020. Risk management in SMEs: A systematic literature review and future directions. </w:t>
      </w:r>
      <w:r>
        <w:rPr>
          <w:i/>
          <w:color w:val="222222"/>
          <w:highlight w:val="white"/>
        </w:rPr>
        <w:t>European Management Journal</w:t>
      </w:r>
      <w:r>
        <w:rPr>
          <w:color w:val="222222"/>
          <w:highlight w:val="white"/>
        </w:rPr>
        <w:t>, </w:t>
      </w:r>
      <w:r>
        <w:rPr>
          <w:i/>
          <w:color w:val="222222"/>
          <w:highlight w:val="white"/>
        </w:rPr>
        <w:t>38</w:t>
      </w:r>
      <w:r>
        <w:rPr>
          <w:color w:val="222222"/>
          <w:highlight w:val="white"/>
        </w:rPr>
        <w:t>(1), pp.78-94.</w:t>
      </w:r>
    </w:p>
    <w:p w14:paraId="6B575062" w14:textId="77777777" w:rsidR="00A84453" w:rsidRDefault="00522BDC">
      <w:pPr>
        <w:spacing w:line="360" w:lineRule="auto"/>
        <w:rPr>
          <w:color w:val="222222"/>
          <w:highlight w:val="white"/>
        </w:rPr>
      </w:pPr>
      <w:r>
        <w:rPr>
          <w:color w:val="222222"/>
          <w:highlight w:val="white"/>
        </w:rPr>
        <w:t>Hubbard, D.W., 2020. </w:t>
      </w:r>
      <w:r>
        <w:rPr>
          <w:i/>
          <w:color w:val="222222"/>
          <w:highlight w:val="white"/>
        </w:rPr>
        <w:t>The failure of risk management: Why it's broken and how to fix it</w:t>
      </w:r>
      <w:r>
        <w:rPr>
          <w:color w:val="222222"/>
          <w:highlight w:val="white"/>
        </w:rPr>
        <w:t>. John Wiley &amp; Sons.</w:t>
      </w:r>
    </w:p>
    <w:p w14:paraId="6B575063" w14:textId="77777777" w:rsidR="00A84453" w:rsidRDefault="00522BDC">
      <w:pPr>
        <w:spacing w:line="360" w:lineRule="auto"/>
        <w:rPr>
          <w:color w:val="222222"/>
          <w:highlight w:val="white"/>
        </w:rPr>
      </w:pPr>
      <w:r>
        <w:rPr>
          <w:color w:val="222222"/>
          <w:highlight w:val="white"/>
        </w:rPr>
        <w:t>Kobrin, S.J., 2022. </w:t>
      </w:r>
      <w:r>
        <w:rPr>
          <w:i/>
          <w:color w:val="222222"/>
          <w:highlight w:val="white"/>
        </w:rPr>
        <w:t>Managing political risk assessment: Strategic response to environmental change</w:t>
      </w:r>
      <w:r>
        <w:rPr>
          <w:color w:val="222222"/>
          <w:highlight w:val="white"/>
        </w:rPr>
        <w:t>. Univ of California Press.</w:t>
      </w:r>
    </w:p>
    <w:p w14:paraId="6B575064" w14:textId="77777777" w:rsidR="00A84453" w:rsidRDefault="00522BDC">
      <w:pPr>
        <w:spacing w:line="360" w:lineRule="auto"/>
        <w:rPr>
          <w:color w:val="222222"/>
          <w:highlight w:val="white"/>
        </w:rPr>
      </w:pPr>
      <w:r>
        <w:rPr>
          <w:color w:val="222222"/>
          <w:highlight w:val="white"/>
        </w:rPr>
        <w:t>Meyer, K.E. and Nguyen, H.V., 2020. Foreign investment strategies and sub-national institutions in emerging markets: Evidence from Vietnam. In </w:t>
      </w:r>
      <w:r>
        <w:rPr>
          <w:i/>
          <w:color w:val="222222"/>
          <w:highlight w:val="white"/>
        </w:rPr>
        <w:t>Multinational Enterprises and Emerging Economies</w:t>
      </w:r>
      <w:r>
        <w:rPr>
          <w:color w:val="222222"/>
          <w:highlight w:val="white"/>
        </w:rPr>
        <w:t> (pp. 67-97). Edward Elgar Publishing.</w:t>
      </w:r>
    </w:p>
    <w:p w14:paraId="6B575065" w14:textId="77777777" w:rsidR="00A84453" w:rsidRDefault="00522BDC">
      <w:pPr>
        <w:spacing w:line="360" w:lineRule="auto"/>
        <w:rPr>
          <w:color w:val="222222"/>
          <w:highlight w:val="white"/>
        </w:rPr>
      </w:pPr>
      <w:r>
        <w:rPr>
          <w:color w:val="222222"/>
          <w:highlight w:val="white"/>
        </w:rPr>
        <w:t xml:space="preserve">Moosavi, J., </w:t>
      </w:r>
      <w:proofErr w:type="spellStart"/>
      <w:r>
        <w:rPr>
          <w:color w:val="222222"/>
          <w:highlight w:val="white"/>
        </w:rPr>
        <w:t>Fathollahi</w:t>
      </w:r>
      <w:proofErr w:type="spellEnd"/>
      <w:r>
        <w:rPr>
          <w:color w:val="222222"/>
          <w:highlight w:val="white"/>
        </w:rPr>
        <w:t xml:space="preserve">-Fard, A.M. and </w:t>
      </w:r>
      <w:proofErr w:type="spellStart"/>
      <w:r>
        <w:rPr>
          <w:color w:val="222222"/>
          <w:highlight w:val="white"/>
        </w:rPr>
        <w:t>Dulebenets</w:t>
      </w:r>
      <w:proofErr w:type="spellEnd"/>
      <w:r>
        <w:rPr>
          <w:color w:val="222222"/>
          <w:highlight w:val="white"/>
        </w:rPr>
        <w:t>, M.A., 2022. Supply chain disruption during the COVID-19 pandemic: Recognizing potential disruption management strategies. </w:t>
      </w:r>
      <w:r>
        <w:rPr>
          <w:i/>
          <w:color w:val="222222"/>
          <w:highlight w:val="white"/>
        </w:rPr>
        <w:t>International Journal of Disaster Risk Reduction</w:t>
      </w:r>
      <w:r>
        <w:rPr>
          <w:color w:val="222222"/>
          <w:highlight w:val="white"/>
        </w:rPr>
        <w:t>, </w:t>
      </w:r>
      <w:r>
        <w:rPr>
          <w:i/>
          <w:color w:val="222222"/>
          <w:highlight w:val="white"/>
        </w:rPr>
        <w:t>75</w:t>
      </w:r>
      <w:r>
        <w:rPr>
          <w:color w:val="222222"/>
          <w:highlight w:val="white"/>
        </w:rPr>
        <w:t>, p.102983.</w:t>
      </w:r>
    </w:p>
    <w:p w14:paraId="6B575066" w14:textId="77777777" w:rsidR="00A84453" w:rsidRDefault="00522BDC">
      <w:pPr>
        <w:spacing w:line="360" w:lineRule="auto"/>
        <w:rPr>
          <w:color w:val="222222"/>
          <w:highlight w:val="white"/>
        </w:rPr>
      </w:pPr>
      <w:r>
        <w:rPr>
          <w:color w:val="222222"/>
          <w:highlight w:val="white"/>
        </w:rPr>
        <w:t xml:space="preserve">Munir, M., </w:t>
      </w:r>
      <w:proofErr w:type="spellStart"/>
      <w:r>
        <w:rPr>
          <w:color w:val="222222"/>
          <w:highlight w:val="white"/>
        </w:rPr>
        <w:t>Jajja</w:t>
      </w:r>
      <w:proofErr w:type="spellEnd"/>
      <w:r>
        <w:rPr>
          <w:color w:val="222222"/>
          <w:highlight w:val="white"/>
        </w:rPr>
        <w:t>, M.S.S., Chatha, K.A. and Farooq, S., 2020. Supply chain risk management and operational performance: The enabling role of supply chain integration. </w:t>
      </w:r>
      <w:r>
        <w:rPr>
          <w:i/>
          <w:color w:val="222222"/>
          <w:highlight w:val="white"/>
        </w:rPr>
        <w:t>International Journal of Production Economics</w:t>
      </w:r>
      <w:r>
        <w:rPr>
          <w:color w:val="222222"/>
          <w:highlight w:val="white"/>
        </w:rPr>
        <w:t>, </w:t>
      </w:r>
      <w:r>
        <w:rPr>
          <w:i/>
          <w:color w:val="222222"/>
          <w:highlight w:val="white"/>
        </w:rPr>
        <w:t>227</w:t>
      </w:r>
      <w:r>
        <w:rPr>
          <w:color w:val="222222"/>
          <w:highlight w:val="white"/>
        </w:rPr>
        <w:t>, p.107667.</w:t>
      </w:r>
    </w:p>
    <w:p w14:paraId="6B575067" w14:textId="77777777" w:rsidR="00A84453" w:rsidRDefault="00522BDC">
      <w:pPr>
        <w:spacing w:line="360" w:lineRule="auto"/>
        <w:rPr>
          <w:color w:val="222222"/>
          <w:highlight w:val="white"/>
        </w:rPr>
      </w:pPr>
      <w:r>
        <w:rPr>
          <w:color w:val="222222"/>
          <w:highlight w:val="white"/>
        </w:rPr>
        <w:t xml:space="preserve">Sharma, P., Leung, T.Y., Kingshott, R.P., </w:t>
      </w:r>
      <w:proofErr w:type="spellStart"/>
      <w:r>
        <w:rPr>
          <w:color w:val="222222"/>
          <w:highlight w:val="white"/>
        </w:rPr>
        <w:t>Davcik</w:t>
      </w:r>
      <w:proofErr w:type="spellEnd"/>
      <w:r>
        <w:rPr>
          <w:color w:val="222222"/>
          <w:highlight w:val="white"/>
        </w:rPr>
        <w:t>, N.S. and Cardinali, S., 2020. Managing uncertainty during a global pandemic: An international business perspective. </w:t>
      </w:r>
      <w:r>
        <w:rPr>
          <w:i/>
          <w:color w:val="222222"/>
          <w:highlight w:val="white"/>
        </w:rPr>
        <w:t>Journal of business research</w:t>
      </w:r>
      <w:r>
        <w:rPr>
          <w:color w:val="222222"/>
          <w:highlight w:val="white"/>
        </w:rPr>
        <w:t>, </w:t>
      </w:r>
      <w:r>
        <w:rPr>
          <w:i/>
          <w:color w:val="222222"/>
          <w:highlight w:val="white"/>
        </w:rPr>
        <w:t>116</w:t>
      </w:r>
      <w:r>
        <w:rPr>
          <w:color w:val="222222"/>
          <w:highlight w:val="white"/>
        </w:rPr>
        <w:t>, pp.188-192.</w:t>
      </w:r>
    </w:p>
    <w:p w14:paraId="6B575068" w14:textId="77777777" w:rsidR="00A84453" w:rsidRDefault="00522BDC">
      <w:pPr>
        <w:spacing w:line="360" w:lineRule="auto"/>
        <w:rPr>
          <w:color w:val="222222"/>
          <w:highlight w:val="white"/>
        </w:rPr>
      </w:pPr>
      <w:r>
        <w:rPr>
          <w:color w:val="222222"/>
          <w:highlight w:val="white"/>
        </w:rPr>
        <w:t>Sun, P., Doh, J.P., Rajwani, T. and Siegel, D., 2021. Navigating cross-border institutional complexity: A review and assessment of multinational nonmarket strategy research. </w:t>
      </w:r>
      <w:r>
        <w:rPr>
          <w:i/>
          <w:color w:val="222222"/>
          <w:highlight w:val="white"/>
        </w:rPr>
        <w:t>Journal of International Business Studies</w:t>
      </w:r>
      <w:r>
        <w:rPr>
          <w:color w:val="222222"/>
          <w:highlight w:val="white"/>
        </w:rPr>
        <w:t>, </w:t>
      </w:r>
      <w:r>
        <w:rPr>
          <w:i/>
          <w:color w:val="222222"/>
          <w:highlight w:val="white"/>
        </w:rPr>
        <w:t>52</w:t>
      </w:r>
      <w:r>
        <w:rPr>
          <w:color w:val="222222"/>
          <w:highlight w:val="white"/>
        </w:rPr>
        <w:t>(9), p.1818.</w:t>
      </w:r>
    </w:p>
    <w:sectPr w:rsidR="00A84453">
      <w:pgSz w:w="12240" w:h="15840"/>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B575076" w14:textId="77777777" w:rsidR="00522BDC" w:rsidRDefault="00522BDC">
      <w:pPr>
        <w:spacing w:after="0" w:line="240" w:lineRule="auto"/>
      </w:pPr>
      <w:r>
        <w:separator/>
      </w:r>
    </w:p>
  </w:endnote>
  <w:endnote w:type="continuationSeparator" w:id="0">
    <w:p w14:paraId="6B575078" w14:textId="77777777" w:rsidR="00522BDC" w:rsidRDefault="00522BD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auto"/>
    <w:pitch w:val="default"/>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B57506D" w14:textId="77777777" w:rsidR="00A84453" w:rsidRDefault="00A84453">
    <w:pPr>
      <w:pBdr>
        <w:top w:val="nil"/>
        <w:left w:val="nil"/>
        <w:bottom w:val="nil"/>
        <w:right w:val="nil"/>
        <w:between w:val="nil"/>
      </w:pBdr>
      <w:tabs>
        <w:tab w:val="center" w:pos="4513"/>
        <w:tab w:val="right" w:pos="9026"/>
      </w:tabs>
      <w:spacing w:after="0" w:line="240" w:lineRule="auto"/>
      <w:rPr>
        <w:color w:val="000000"/>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B57506E" w14:textId="2B162976" w:rsidR="00A84453" w:rsidRDefault="00522BDC">
    <w:pPr>
      <w:pBdr>
        <w:top w:val="nil"/>
        <w:left w:val="nil"/>
        <w:bottom w:val="nil"/>
        <w:right w:val="nil"/>
        <w:between w:val="nil"/>
      </w:pBdr>
      <w:tabs>
        <w:tab w:val="center" w:pos="4513"/>
        <w:tab w:val="right" w:pos="9026"/>
      </w:tabs>
      <w:spacing w:after="0" w:line="240" w:lineRule="auto"/>
      <w:jc w:val="right"/>
      <w:rPr>
        <w:color w:val="000000"/>
      </w:rPr>
    </w:pPr>
    <w:r>
      <w:rPr>
        <w:color w:val="000000"/>
      </w:rPr>
      <w:fldChar w:fldCharType="begin"/>
    </w:r>
    <w:r>
      <w:rPr>
        <w:color w:val="000000"/>
      </w:rPr>
      <w:instrText>PAGE</w:instrText>
    </w:r>
    <w:r>
      <w:rPr>
        <w:color w:val="000000"/>
      </w:rPr>
      <w:fldChar w:fldCharType="separate"/>
    </w:r>
    <w:r w:rsidR="008A56C6">
      <w:rPr>
        <w:noProof/>
        <w:color w:val="000000"/>
      </w:rPr>
      <w:t>1</w:t>
    </w:r>
    <w:r>
      <w:rPr>
        <w:color w:val="000000"/>
      </w:rPr>
      <w:fldChar w:fldCharType="end"/>
    </w:r>
  </w:p>
  <w:p w14:paraId="6B57506F" w14:textId="77777777" w:rsidR="00A84453" w:rsidRDefault="00A84453">
    <w:pPr>
      <w:pBdr>
        <w:top w:val="nil"/>
        <w:left w:val="nil"/>
        <w:bottom w:val="nil"/>
        <w:right w:val="nil"/>
        <w:between w:val="nil"/>
      </w:pBdr>
      <w:tabs>
        <w:tab w:val="center" w:pos="4513"/>
        <w:tab w:val="right" w:pos="9026"/>
      </w:tabs>
      <w:spacing w:after="0" w:line="240" w:lineRule="auto"/>
      <w:rPr>
        <w:color w:val="000000"/>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B575071" w14:textId="77777777" w:rsidR="00A84453" w:rsidRDefault="00A84453">
    <w:pPr>
      <w:pBdr>
        <w:top w:val="nil"/>
        <w:left w:val="nil"/>
        <w:bottom w:val="nil"/>
        <w:right w:val="nil"/>
        <w:between w:val="nil"/>
      </w:pBdr>
      <w:tabs>
        <w:tab w:val="center" w:pos="4513"/>
        <w:tab w:val="right" w:pos="9026"/>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B575072" w14:textId="77777777" w:rsidR="00522BDC" w:rsidRDefault="00522BDC">
      <w:pPr>
        <w:spacing w:after="0" w:line="240" w:lineRule="auto"/>
      </w:pPr>
      <w:r>
        <w:separator/>
      </w:r>
    </w:p>
  </w:footnote>
  <w:footnote w:type="continuationSeparator" w:id="0">
    <w:p w14:paraId="6B575074" w14:textId="77777777" w:rsidR="00522BDC" w:rsidRDefault="00522BD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B57506B" w14:textId="77777777" w:rsidR="00A84453" w:rsidRDefault="00A84453">
    <w:pPr>
      <w:pBdr>
        <w:top w:val="nil"/>
        <w:left w:val="nil"/>
        <w:bottom w:val="nil"/>
        <w:right w:val="nil"/>
        <w:between w:val="nil"/>
      </w:pBdr>
      <w:tabs>
        <w:tab w:val="center" w:pos="4513"/>
        <w:tab w:val="right" w:pos="9026"/>
      </w:tabs>
      <w:spacing w:after="0" w:line="240" w:lineRule="auto"/>
      <w:rPr>
        <w:color w:val="000000"/>
      </w:rP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B57506C" w14:textId="77777777" w:rsidR="00A84453" w:rsidRDefault="00A84453">
    <w:pPr>
      <w:pBdr>
        <w:top w:val="nil"/>
        <w:left w:val="nil"/>
        <w:bottom w:val="nil"/>
        <w:right w:val="nil"/>
        <w:between w:val="nil"/>
      </w:pBdr>
      <w:tabs>
        <w:tab w:val="center" w:pos="4513"/>
        <w:tab w:val="right" w:pos="9026"/>
      </w:tabs>
      <w:spacing w:after="0" w:line="240" w:lineRule="auto"/>
      <w:rPr>
        <w:color w:val="000000"/>
      </w:rP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B575070" w14:textId="77777777" w:rsidR="00A84453" w:rsidRDefault="00A84453">
    <w:pPr>
      <w:pBdr>
        <w:top w:val="nil"/>
        <w:left w:val="nil"/>
        <w:bottom w:val="nil"/>
        <w:right w:val="nil"/>
        <w:between w:val="nil"/>
      </w:pBdr>
      <w:tabs>
        <w:tab w:val="center" w:pos="4513"/>
        <w:tab w:val="right" w:pos="9026"/>
      </w:tabs>
      <w:spacing w:after="0" w:line="240" w:lineRule="auto"/>
      <w:rPr>
        <w:color w:val="000000"/>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84453"/>
    <w:rsid w:val="00212151"/>
    <w:rsid w:val="00522BDC"/>
    <w:rsid w:val="008A56C6"/>
    <w:rsid w:val="00A8445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575016"/>
  <w15:docId w15:val="{3CB1273E-7CE7-49D6-B78E-DFCCAC847E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sz w:val="24"/>
        <w:szCs w:val="24"/>
        <w:lang w:val="en-US" w:eastAsia="en-GB" w:bidi="ar-SA"/>
      </w:rPr>
    </w:rPrDefault>
    <w:pPrDefault>
      <w:pPr>
        <w:spacing w:after="160" w:line="259"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40" w:after="0"/>
      <w:outlineLvl w:val="0"/>
    </w:pPr>
    <w:rPr>
      <w:b/>
      <w:color w:val="2E75B5"/>
      <w:sz w:val="32"/>
      <w:szCs w:val="32"/>
    </w:rPr>
  </w:style>
  <w:style w:type="paragraph" w:styleId="Heading2">
    <w:name w:val="heading 2"/>
    <w:basedOn w:val="Normal"/>
    <w:next w:val="Normal"/>
    <w:uiPriority w:val="9"/>
    <w:unhideWhenUsed/>
    <w:qFormat/>
    <w:pPr>
      <w:keepNext/>
      <w:keepLines/>
      <w:spacing w:before="40" w:after="0"/>
      <w:outlineLvl w:val="1"/>
    </w:pPr>
    <w:rPr>
      <w:b/>
      <w:color w:val="2E75B5"/>
      <w:sz w:val="28"/>
      <w:szCs w:val="28"/>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eader" Target="header3.xml"/><Relationship Id="rId5" Type="http://schemas.openxmlformats.org/officeDocument/2006/relationships/endnotes" Target="endnotes.xml"/><Relationship Id="rId10" Type="http://schemas.openxmlformats.org/officeDocument/2006/relationships/footer" Target="footer2.xml"/><Relationship Id="rId4" Type="http://schemas.openxmlformats.org/officeDocument/2006/relationships/footnotes" Target="footnote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11</Pages>
  <Words>2327</Words>
  <Characters>13269</Characters>
  <Application>Microsoft Office Word</Application>
  <DocSecurity>0</DocSecurity>
  <Lines>110</Lines>
  <Paragraphs>31</Paragraphs>
  <ScaleCrop>false</ScaleCrop>
  <Company/>
  <LinksUpToDate>false</LinksUpToDate>
  <CharactersWithSpaces>15565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narcis nicu gavril</cp:lastModifiedBy>
  <cp:revision>3</cp:revision>
  <dcterms:created xsi:type="dcterms:W3CDTF">2024-08-11T19:54:00Z</dcterms:created>
  <dcterms:modified xsi:type="dcterms:W3CDTF">2024-08-11T19:56:00Z</dcterms:modified>
</cp:coreProperties>
</file>