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Assessment 1</w:t>
      </w:r>
    </w:p>
    <w:p>
      <w:pPr>
        <w:spacing w:before="0" w:after="200" w:line="276"/>
        <w:ind w:right="0" w:left="0" w:firstLine="0"/>
        <w:jc w:val="left"/>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Community Engagement</w:t>
      </w:r>
    </w:p>
    <w:p>
      <w:pPr>
        <w:spacing w:before="0" w:after="200" w:line="276"/>
        <w:ind w:right="0" w:left="0" w:firstLine="0"/>
        <w:jc w:val="left"/>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Plan and Coordinate a Community Engagement Event</w:t>
      </w:r>
    </w:p>
    <w:p>
      <w:pPr>
        <w:spacing w:before="0" w:after="200" w:line="276"/>
        <w:ind w:right="0" w:left="0" w:firstLine="0"/>
        <w:jc w:val="left"/>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Project: Supporting ill people health and standards of living during COVID19 and lockdowns.</w:t>
      </w:r>
    </w:p>
    <w:p>
      <w:pPr>
        <w:spacing w:before="0" w:after="200" w:line="276"/>
        <w:ind w:right="0" w:left="0" w:firstLine="0"/>
        <w:jc w:val="left"/>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Student ID:2022568</w:t>
      </w:r>
    </w:p>
    <w:p>
      <w:pPr>
        <w:spacing w:before="0" w:after="200" w:line="276"/>
        <w:ind w:right="0" w:left="0" w:firstLine="0"/>
        <w:jc w:val="left"/>
        <w:rPr>
          <w:rFonts w:ascii="Calibri" w:hAnsi="Calibri" w:cs="Calibri" w:eastAsia="Calibri"/>
          <w:color w:val="auto"/>
          <w:spacing w:val="0"/>
          <w:position w:val="0"/>
          <w:sz w:val="48"/>
          <w:shd w:fill="auto" w:val="clear"/>
        </w:rPr>
      </w:pPr>
    </w:p>
    <w:p>
      <w:pPr>
        <w:spacing w:before="0" w:after="200" w:line="276"/>
        <w:ind w:right="0" w:left="0" w:firstLine="0"/>
        <w:jc w:val="left"/>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Student name: Georgi Todorchev</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276"/>
        <w:ind w:right="0" w:left="0" w:firstLine="0"/>
        <w:jc w:val="left"/>
        <w:rPr>
          <w:rFonts w:ascii="Cambria" w:hAnsi="Cambria" w:cs="Cambria" w:eastAsia="Cambria"/>
          <w:b/>
          <w:color w:val="366091"/>
          <w:spacing w:val="0"/>
          <w:position w:val="0"/>
          <w:sz w:val="28"/>
          <w:shd w:fill="auto" w:val="clear"/>
        </w:rPr>
      </w:pPr>
      <w:r>
        <w:rPr>
          <w:rFonts w:ascii="Cambria" w:hAnsi="Cambria" w:cs="Cambria" w:eastAsia="Cambria"/>
          <w:b/>
          <w:color w:val="366091"/>
          <w:spacing w:val="0"/>
          <w:position w:val="0"/>
          <w:sz w:val="28"/>
          <w:shd w:fill="auto" w:val="clear"/>
        </w:rPr>
        <w:t xml:space="preserve">Contents</w:t>
      </w:r>
    </w:p>
    <w:p>
      <w:pPr>
        <w:spacing w:before="0" w:after="200" w:line="276"/>
        <w:ind w:right="0" w:left="0" w:firstLine="0"/>
        <w:jc w:val="left"/>
        <w:rPr>
          <w:rFonts w:ascii="Calibri" w:hAnsi="Calibri" w:cs="Calibri" w:eastAsia="Calibri"/>
          <w:b/>
          <w:color w:val="auto"/>
          <w:spacing w:val="0"/>
          <w:position w:val="0"/>
          <w:sz w:val="36"/>
          <w:shd w:fill="auto" w:val="clear"/>
        </w:rPr>
      </w:pPr>
    </w:p>
    <w:p>
      <w:pPr>
        <w:spacing w:before="0" w:after="200" w:line="276"/>
        <w:ind w:right="0" w:left="0" w:firstLine="0"/>
        <w:jc w:val="left"/>
        <w:rPr>
          <w:rFonts w:ascii="Calibri" w:hAnsi="Calibri" w:cs="Calibri" w:eastAsia="Calibri"/>
          <w:b/>
          <w:color w:val="auto"/>
          <w:spacing w:val="0"/>
          <w:position w:val="0"/>
          <w:sz w:val="36"/>
          <w:shd w:fill="auto" w:val="clear"/>
        </w:rPr>
      </w:pPr>
    </w:p>
    <w:p>
      <w:pPr>
        <w:spacing w:before="0" w:after="200" w:line="276"/>
        <w:ind w:right="0" w:left="0" w:firstLine="0"/>
        <w:jc w:val="left"/>
        <w:rPr>
          <w:rFonts w:ascii="Calibri" w:hAnsi="Calibri" w:cs="Calibri" w:eastAsia="Calibri"/>
          <w:b/>
          <w:color w:val="auto"/>
          <w:spacing w:val="0"/>
          <w:position w:val="0"/>
          <w:sz w:val="36"/>
          <w:shd w:fill="auto" w:val="clear"/>
        </w:rPr>
      </w:pPr>
    </w:p>
    <w:p>
      <w:pPr>
        <w:spacing w:before="0" w:after="200" w:line="276"/>
        <w:ind w:right="0" w:left="0" w:firstLine="0"/>
        <w:jc w:val="left"/>
        <w:rPr>
          <w:rFonts w:ascii="Calibri" w:hAnsi="Calibri" w:cs="Calibri" w:eastAsia="Calibri"/>
          <w:b/>
          <w:color w:val="auto"/>
          <w:spacing w:val="0"/>
          <w:position w:val="0"/>
          <w:sz w:val="36"/>
          <w:shd w:fill="auto" w:val="clear"/>
        </w:rPr>
      </w:pPr>
    </w:p>
    <w:p>
      <w:pPr>
        <w:spacing w:before="0" w:after="200" w:line="276"/>
        <w:ind w:right="0" w:left="0" w:firstLine="0"/>
        <w:jc w:val="left"/>
        <w:rPr>
          <w:rFonts w:ascii="Calibri" w:hAnsi="Calibri" w:cs="Calibri" w:eastAsia="Calibri"/>
          <w:b/>
          <w:color w:val="auto"/>
          <w:spacing w:val="0"/>
          <w:position w:val="0"/>
          <w:sz w:val="36"/>
          <w:shd w:fill="auto" w:val="clear"/>
        </w:rPr>
      </w:pPr>
    </w:p>
    <w:p>
      <w:pPr>
        <w:spacing w:before="0" w:after="200" w:line="276"/>
        <w:ind w:right="0" w:left="0" w:firstLine="0"/>
        <w:jc w:val="left"/>
        <w:rPr>
          <w:rFonts w:ascii="Calibri" w:hAnsi="Calibri" w:cs="Calibri" w:eastAsia="Calibri"/>
          <w:b/>
          <w:color w:val="auto"/>
          <w:spacing w:val="0"/>
          <w:position w:val="0"/>
          <w:sz w:val="36"/>
          <w:shd w:fill="auto" w:val="clear"/>
        </w:rPr>
      </w:pPr>
    </w:p>
    <w:p>
      <w:pPr>
        <w:spacing w:before="0" w:after="200" w:line="276"/>
        <w:ind w:right="0" w:left="0" w:firstLine="0"/>
        <w:jc w:val="left"/>
        <w:rPr>
          <w:rFonts w:ascii="Calibri" w:hAnsi="Calibri" w:cs="Calibri" w:eastAsia="Calibri"/>
          <w:b/>
          <w:color w:val="auto"/>
          <w:spacing w:val="0"/>
          <w:position w:val="0"/>
          <w:sz w:val="36"/>
          <w:shd w:fill="auto" w:val="clear"/>
        </w:rPr>
      </w:pPr>
    </w:p>
    <w:p>
      <w:pPr>
        <w:spacing w:before="0" w:after="200" w:line="276"/>
        <w:ind w:right="0" w:left="0" w:firstLine="0"/>
        <w:jc w:val="left"/>
        <w:rPr>
          <w:rFonts w:ascii="Calibri" w:hAnsi="Calibri" w:cs="Calibri" w:eastAsia="Calibri"/>
          <w:b/>
          <w:color w:val="auto"/>
          <w:spacing w:val="0"/>
          <w:position w:val="0"/>
          <w:sz w:val="36"/>
          <w:shd w:fill="auto" w:val="clear"/>
        </w:rPr>
      </w:pPr>
    </w:p>
    <w:p>
      <w:pPr>
        <w:spacing w:before="0" w:after="200" w:line="276"/>
        <w:ind w:right="0" w:left="0" w:firstLine="0"/>
        <w:jc w:val="left"/>
        <w:rPr>
          <w:rFonts w:ascii="Calibri" w:hAnsi="Calibri" w:cs="Calibri" w:eastAsia="Calibri"/>
          <w:b/>
          <w:color w:val="auto"/>
          <w:spacing w:val="0"/>
          <w:position w:val="0"/>
          <w:sz w:val="36"/>
          <w:shd w:fill="auto" w:val="clear"/>
        </w:rPr>
      </w:pPr>
    </w:p>
    <w:p>
      <w:pPr>
        <w:spacing w:before="0" w:after="200" w:line="360"/>
        <w:ind w:right="0" w:left="0" w:firstLine="0"/>
        <w:jc w:val="both"/>
        <w:rPr>
          <w:rFonts w:ascii="Arial" w:hAnsi="Arial" w:cs="Arial" w:eastAsia="Arial"/>
          <w:b/>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Introduction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Covid-19  pandemic has amplified awareness of chronic illnesses linked to poverty and the increased mortality risk from the virus thus exacerbating existing inequalities. An analysis of data collected in the UK between April and July 2020 indicated that mortality rate involving COVID-19 was 3.1 per 100,000 population in England’s most impoverished areas, which was significantly higher than the 1.4 deaths per 100,00 in the country’s least deprived regions (Office of National Statistics, 2020).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addition to posing significant risks to the life and health of individuals, the pandemic also poses a risk to their psychological functioning. Evidence suggests that long periods of isolation and quarantine due to an illness leads to deteriorating mental health even in the absence of a pandemic (Koyanagi, 2016). One nationally representative survey that included more than 15,000 UK respondents indicated a high prevalence of loneliness, reported by 35.86% of respondents, and of psychiatric illnesses, reported by 29.2%, during the pandemic and the survey results also suggested that disadvantaged socioeconomic backgrounds were among the factors putting people at a higher risk of loneliness and psychiatric disorders (Wang, 2020).</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way to mitigate those risks may be through participation in community activities which involve cognitive and sensory stimulation, social interaction and physical activity which have been linked with positive behavioral, physiological, psychological and social outcomes (Chatterjee et al., 2014). Additionally research suggests that such approaches to community engagement may assist in the prevention of long term conditions and increase the wellbeing and resilience in communities and individuals (Howarth,2020) which are particularly valuable in the time of a pandemic. Due to those benefits, the proposed project will aim to utilize such community activities while also targeting individuals who were disadvantaged in the community.</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Project purpose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purpose of the present project is going to be to support vulnerable individuals affected by physical health problems and socioeconomic inequality with the aim of supporting them through the time of COVID-19 and lockdowns. Examples of people this project will aim to include are single parents and chronically ill or immunocompromised individuals who may be particularly vulnerable to the negative effects of lockdowns during the pandemic. The project will have several components: outdoor physical activity, creative care packages to encourage creative activities at home, and optional virtual workshops to foster continued engagement and to provide continued support to vulnerable community members.</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Best practices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project will be executed in accordance with all community engagement best practices and principles as outlined below.</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Careful planning and Preparation</w:t>
        <w:br/>
      </w:r>
      <w:r>
        <w:rPr>
          <w:rFonts w:ascii="Arial" w:hAnsi="Arial" w:cs="Arial" w:eastAsia="Arial"/>
          <w:color w:val="auto"/>
          <w:spacing w:val="0"/>
          <w:position w:val="0"/>
          <w:sz w:val="24"/>
          <w:shd w:fill="auto" w:val="clear"/>
        </w:rPr>
        <w:t xml:space="preserve">The aim of careful planning and preparation is to ensure that the project fulfills its purpose and the needs of participants. To ensure that both are clearly defined and adequate, a survey will be sent out to potential participants to better understand their specific needs and how the project may best meet them. Some examples of information that will be crucial in the planning stage include but are not limited to what materials may be suitable to include in the creative care home packages and what topics may participants benefit from that would help them improve their health and/or living conditions. Some options for workshop topics may include financial planning or nutrition and healthy eating workshops. It is important to obtain these pieces of information in the planning stage in order to be able to ensure successful community engagement.</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Inclusion and Demographic Diversity</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Equitably incorporating people from diverse cultural backgrounds and ability levels will be part of the initiative from its very beginning as potential participants will be encouraged to express their voices as early as during the planning stage. Many aspects of the initiative will be customizable thus allowing for maximum inclusivity. Additionally, there will be space for diverse opinions to be heard at the planning, implementation, and the follow-up stages of the event. This will be achieved through surveys and discussions that will encourage individuals from a variety of backgrounds to participate and make sure the initiative is inclusive.</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Collaboration and Shared Purpose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Everyone involved in the event will be actively encouraged to participate and contribute to the shared purpose of supporting vulnerable people in times of lockdown and thus strengthening the target community and all other participating stakeholders. The target demographic of the initiative, namely vulnerable individuals such as people affected by health conditions and single parents, will be encouraged to continually communicate with one another and collaborate as part of all different components of the community building project. Additionally, the physical exercise component along with the arts and workshop components will provide a stage for government and community institutions as well as individuals such as activists or artists to get involved in the activities as well. This may be achieved through inviting government and institution representatives to take part in the physical activity or workshop parts of the event and having individuals such as artists collaborate to build the creative care kits that will be distributed to participants for them to use in their homes or outdoors. </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Openness and Learning</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project will provide a variety of learning opportunities for everyone participating that will include learning through art and physical activity, learning about self-care and improving one’s wellbeing as well as learning “hard” skills as part of the workshops such as financial literacy, healthy eating, and any other topics that will be of interest to the target audience. All components of the initiative will give participants the opportunity to learn by doing and will feature a safe space for open discussion of everyone’s experiences that will allow participants to learn from one another and form more meaningful connections as a community. Additionally, this community engagement project will be evaluated for its effectiveness after the end of each component as well as at a three-month follow-up.</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Transparency and Trust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process of organizing and implementing this project will be completely transparent to promote trust in the community. This will be achieved through a public record of all the organizers, sponsors, and outcomes of the project that everyone will be able to openly access and review.</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Impact and Action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evidence reviewed in the introduction along with careful planning and design will ensure that all aspects of the project have real potential to make a positive difference to people’s wellbeing and potentially their socioeconomic situation in the time of lockdowns. Active efforts will be made to ensure that all participants are aware of those positive consequences of their engagement and this will be disclosed prior to the start of the project and it will also be featured as a continued reminder throughout the different components.</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Sustained Engagement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project is committed to promoting a culture of participation by encouraging participants to prolong their community engagement through workshops and follow-up initiatives. All involved stakeholders will be encouraged to actively participate throughout the initiative.</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Benefits of stakeholders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main expected benefits from the project will include the promotion of healthy physiological, social, behavioral, and psychological responses in people belonging to vulnerable populations as those outcomes have been shown to arise from community development efforts (Randler et al., 2020). Thus, there is immense value in utilizing community assets such as outdoor spaces, expertise within the community (e.g. artists, fitness instructors, nutritionists, financial planning experts) in engaging with groups that may be at risk of adverse outcomes and health inequality, especially during lockdown. Thus, community engagement is a source of support for the complex needs of all involved parties and has promising potential to assist in promoting wellbeing within communities. </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Social media platforms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Social media platforms are crucial in spreading the word among the community and increasing participation. Therefore, this project will utilize them. In the planning stage, potential community participants will be asked which social media they use and the most popular social media will be utilised to promote the project.</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Socio-cultural integration and multi-culturalism</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366091"/>
          <w:spacing w:val="0"/>
          <w:position w:val="0"/>
          <w:sz w:val="24"/>
          <w:shd w:fill="auto" w:val="clear"/>
        </w:rPr>
        <w:t xml:space="preserve">The multi-culturalism has many positives for one society some of them are</w:t>
      </w:r>
      <w:r>
        <w:rPr>
          <w:rFonts w:ascii="Arial" w:hAnsi="Arial" w:cs="Arial" w:eastAsia="Arial"/>
          <w:b/>
          <w:color w:val="auto"/>
          <w:spacing w:val="0"/>
          <w:position w:val="0"/>
          <w:sz w:val="24"/>
          <w:shd w:fill="auto" w:val="clear"/>
        </w:rPr>
        <w:t xml:space="preserve">:</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Most contemporary societies are composed of a variety of cultures encompassing different ethnic, national, and racial identities. Thus, multiculturalism can benefit multiple groups in society. For example, previous research suggests that one benefit of multiculturalism for ethnic and racial minorities is increasing their positive group identification as well as their self esteem, thus having a positive effect on the psychological functioning of those members of society (Verkuyten,2009). Furthermore, additional positives of multiculturalism for ethnic and racial minorities include increased persistence at work and psychological engagement as well as enhanced self-efficacy and sense of empowerment (Quesnel,2017). There are many more positive consequences of multiculturalism for a society but even the few examples discussed above illustrate how society benefits from multiculturalism through the empowerment and improved psychological and social functioning of society members belonging to minority groups.</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Internal and external factors that influence community development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a variety of different factors that influence community development and determine how successful an initiative is. Four main groups of such factors will be reviewed in the following paragraphs.</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Human elements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main factors related to human elements that influence community development include interest in community development, the level of participation, and human errors. It is almost intuitive to see that participation is crucial for any type of community development to happen in the first place. However, I think that  it is important to motivate community members to participate and to be careful not to force participation upon them because this may undermine the success of community engagement efforts. Additionally, participation depends on the interest of community members in the specific community development project which is why it is important to ensure that the project fits the interests and meets the needs of potential participants. Last but not least, human errors are a factor that may influence community development efforts and they should be expected and adequately managed when they occur.</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Social factors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Some important social factors to consider include discrimination and predudice as well as religious and political beliefs. Because those factors may influence other factors, they can potentially have a strong effect on community engagement efforts. For example, someone’s religious and political beliefs may influence their interest in the community development project and in turn influence the level of their participation. This influence may be either positive or negative. Similarly, the presence of discrimination or prejudice may influence individuals’ levels of participation in community engagement which may have a negative effect on the overall effectiveness of community engagement efforts because individuals would be unwilling to participate if they experience prejudice or discrimination. Therefore, it is important to ensure that community development efforts are carried out according to best practices for inclusion and diversity to ensure that social factors would not have negative effects.</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Environment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obvious environmental factor that affects community engagement efforts in general but it also may be particularly relevant to the proposed project includes the geographical location of the place where community engagement efforts are carried out. For example, for the proposed project to be successful, the location needs to have an appropriate outdoor area such as a park that would allow participants to carry out physical activity outside comfortably and safely given the context of an ongoing pandemic.</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Resources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Factors associated with the resources available for implementing a project are perhaps the most influential when it comes to community engagement. It is crucial for a sufficient budget to be available in order to finance the costs of any community building efforts. On a similar note, the necessary resources need to be readily available in order to be utilized in community development efforts. In the case of the proposed project some examples of resources that must be available include arts supplies for the creative care packages.</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Conclusion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Community engagement efforts are a potentially powerful tool to support the physical and psychological health as well as to improve living standards of individuals affected by ill health or socio economic disadvantages in the context of COVID-19 and lockdowns. This report suggested how a multicomponent community engagement project utilizing physical activity outdoors, a creative activity that may be completed at home, and follow-up workshops may be used to support vulnerable individuals and to improve their physical health, psychological functioning and potentially their living standards. It is essential to take into account all best practices when planning and carrying out the project to maximize its likelihood of resulting in positive change in the community. Additionally, human, social, environmental factors as well as the available resources are crucial influences to consider in relation to community development efforts.</w:t>
      </w:r>
    </w:p>
    <w:p>
      <w:pPr>
        <w:spacing w:before="0" w:after="200" w:line="360"/>
        <w:ind w:right="0" w:left="0" w:firstLine="0"/>
        <w:jc w:val="both"/>
        <w:rPr>
          <w:rFonts w:ascii="Arial" w:hAnsi="Arial" w:cs="Arial" w:eastAsia="Arial"/>
          <w:b/>
          <w:color w:val="auto"/>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Reference list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Chatterjee, H., Noble, G. and Bain, A.L., 2014. Museums, Health and Well-Being. Collections: A Journal for Museum and Archives Professionals, 10(4), pp.435-437.</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Howarth, M., Griffiths, A., da Silva, A. and Green, R., 2020. Social prescribing: a ‘natural’community-based solution. British Journal of Community Nursing, 25(6), pp.294-298.</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Li, L.Z. and Wang, S., 2020. Prevalence and predictors of general psychiatric disorders and loneliness during COVID-19 in the United Kingdom. Psychiatry research, 291, p.113267.</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Office for National Statistics. Deaths involving COVID-19 by local area and socio-economic deprivation: Deaths occurring between 1 March and 31 July 2020; 2020.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https://www.ons.gov.uk/peoplepopulationandcommunity/birthsdeathsandmarriages/deaths/bulletins/deathsinvolvingcovid19bylocalareasanddeprivation/deathsoccurringbetween1marchand31july2020</w:t>
        </w:r>
      </w:hyperlink>
      <w:r>
        <w:rPr>
          <w:rFonts w:ascii="Arial" w:hAnsi="Arial" w:cs="Arial" w:eastAsia="Arial"/>
          <w:color w:val="auto"/>
          <w:spacing w:val="0"/>
          <w:position w:val="0"/>
          <w:sz w:val="24"/>
          <w:shd w:fill="auto" w:val="clear"/>
        </w:rPr>
        <w:t xml:space="preserve"> Accessed 5 May 2022.</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Randler, C., Tryjanowski, P., Jokimäki, J., Kaisanlahti-Jokimäki, M.L. and Staller, N., 2020. SARS-CoV2 (COVID-19) Pandemic lockdown influences nature-based recreational activity: The case of birders. International journal of environmental research and public health, 17(19), p.7310.</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Stickley, A. and Koyanagi, A., 2016. Loneliness, common mental disorders and suicidal behavior: Findings from a general population survey. Journal of affective disorders, 197, pp.81-87.</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Verkuyten, M. (2005). Ethnic group identification and group evaluation among minority and majority groups: Testing the multiculturalism hypothesis. Journal of Personality and Social Psychology, 88(1), 121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138.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https://doi.org/10.1037/0022-3514.88.1.121</w:t>
        </w:r>
      </w:hyperlink>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Verkuyten, M. (2009). Self-esteem and multiculturalism: An examination among ethnic minority and majority groups in the Netherlands. Journal of Research in Personality, 43, 419</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427.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https://doi.org/10.1016/j.jrp.2009.01.013</w:t>
        </w:r>
      </w:hyperlink>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Vorauer, J. D., Quesnel, M. S. (2017). Salient multiculturalism enhances minority group members’ feelings of power. Personality and Social Psychology Bulletin, 43(2), 259</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271.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https://doi.org/10.1177/0146167216679981</w:t>
        </w:r>
      </w:hyperlink>
    </w:p>
    <w:p>
      <w:pPr>
        <w:spacing w:before="0" w:after="200" w:line="276"/>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037/0022-3514.88.1.121" Id="docRId1" Type="http://schemas.openxmlformats.org/officeDocument/2006/relationships/hyperlink" /><Relationship TargetMode="External" Target="https://doi.org/10.1177/0146167216679981" Id="docRId3" Type="http://schemas.openxmlformats.org/officeDocument/2006/relationships/hyperlink" /><Relationship Target="styles.xml" Id="docRId5" Type="http://schemas.openxmlformats.org/officeDocument/2006/relationships/styles" /><Relationship TargetMode="External" Target="https://www.ons.gov.uk/peoplepopulationandcommunity/birthsdeathsandmarriages/deaths/bulletins/deathsinvolvingcovid19bylocalareasanddeprivation/deathsoccurringbetween1marchand31july2020" Id="docRId0" Type="http://schemas.openxmlformats.org/officeDocument/2006/relationships/hyperlink" /><Relationship TargetMode="External" Target="https://doi.org/10.1016/j.jrp.2009.01.013" Id="docRId2" Type="http://schemas.openxmlformats.org/officeDocument/2006/relationships/hyperlink" /><Relationship Target="numbering.xml" Id="docRId4" Type="http://schemas.openxmlformats.org/officeDocument/2006/relationships/numbering" /></Relationships>
</file>