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16EF5" w14:textId="7619EB1D" w:rsidR="00BF530D" w:rsidRDefault="009E7D91">
      <w:pPr>
        <w:rPr>
          <w:b/>
          <w:sz w:val="32"/>
          <w:szCs w:val="32"/>
        </w:rPr>
      </w:pPr>
      <w:r>
        <w:rPr>
          <w:noProof/>
        </w:rPr>
        <w:drawing>
          <wp:inline distT="0" distB="0" distL="0" distR="0" wp14:anchorId="5B5DB2DE" wp14:editId="562C28AF">
            <wp:extent cx="3366135" cy="1173480"/>
            <wp:effectExtent l="0" t="0" r="5715" b="7620"/>
            <wp:docPr id="1878388433"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0" name="image1.jpg" descr="UWTSD logo | Discover Dylan Thomas"/>
                    <pic:cNvPicPr preferRelativeResize="0"/>
                  </pic:nvPicPr>
                  <pic:blipFill>
                    <a:blip r:embed="rId8"/>
                    <a:srcRect/>
                    <a:stretch>
                      <a:fillRect/>
                    </a:stretch>
                  </pic:blipFill>
                  <pic:spPr>
                    <a:xfrm>
                      <a:off x="0" y="0"/>
                      <a:ext cx="3366135" cy="1173480"/>
                    </a:xfrm>
                    <a:prstGeom prst="rect">
                      <a:avLst/>
                    </a:prstGeom>
                    <a:ln/>
                  </pic:spPr>
                </pic:pic>
              </a:graphicData>
            </a:graphic>
          </wp:inline>
        </w:drawing>
      </w:r>
    </w:p>
    <w:p w14:paraId="26882DDE" w14:textId="16355A61" w:rsidR="00BF530D" w:rsidRDefault="00BF530D">
      <w:pPr>
        <w:rPr>
          <w:b/>
          <w:sz w:val="32"/>
          <w:szCs w:val="32"/>
        </w:rPr>
      </w:pPr>
      <w:r>
        <w:rPr>
          <w:b/>
          <w:sz w:val="32"/>
          <w:szCs w:val="32"/>
        </w:rPr>
        <w:t xml:space="preserve">Student </w:t>
      </w:r>
      <w:r w:rsidR="009F1B28">
        <w:rPr>
          <w:b/>
          <w:sz w:val="32"/>
          <w:szCs w:val="32"/>
        </w:rPr>
        <w:t>name: Andreea</w:t>
      </w:r>
      <w:r>
        <w:rPr>
          <w:b/>
          <w:sz w:val="32"/>
          <w:szCs w:val="32"/>
        </w:rPr>
        <w:t xml:space="preserve"> Anca</w:t>
      </w:r>
    </w:p>
    <w:p w14:paraId="7AC00708" w14:textId="0BE75F3C" w:rsidR="006C69CB" w:rsidRDefault="00BF530D">
      <w:pPr>
        <w:rPr>
          <w:b/>
          <w:sz w:val="32"/>
          <w:szCs w:val="32"/>
        </w:rPr>
      </w:pPr>
      <w:r>
        <w:rPr>
          <w:b/>
          <w:sz w:val="32"/>
          <w:szCs w:val="32"/>
        </w:rPr>
        <w:t xml:space="preserve">Student ID: </w:t>
      </w:r>
      <w:r w:rsidR="006C69CB">
        <w:rPr>
          <w:b/>
          <w:sz w:val="32"/>
          <w:szCs w:val="32"/>
        </w:rPr>
        <w:t>2327259</w:t>
      </w:r>
    </w:p>
    <w:p w14:paraId="171D769D" w14:textId="2ECA5D7C" w:rsidR="00BF530D" w:rsidRDefault="006C69CB">
      <w:pPr>
        <w:rPr>
          <w:b/>
          <w:sz w:val="32"/>
          <w:szCs w:val="32"/>
        </w:rPr>
      </w:pPr>
      <w:r>
        <w:rPr>
          <w:b/>
          <w:sz w:val="32"/>
          <w:szCs w:val="32"/>
        </w:rPr>
        <w:t xml:space="preserve"> Module Name: Changemakers</w:t>
      </w:r>
      <w:r w:rsidR="009F1B28">
        <w:rPr>
          <w:b/>
          <w:sz w:val="32"/>
          <w:szCs w:val="32"/>
        </w:rPr>
        <w:t>:</w:t>
      </w:r>
      <w:r w:rsidR="00BF530D">
        <w:rPr>
          <w:b/>
          <w:sz w:val="32"/>
          <w:szCs w:val="32"/>
        </w:rPr>
        <w:t xml:space="preserve"> </w:t>
      </w:r>
      <w:r w:rsidR="00737A72">
        <w:rPr>
          <w:b/>
          <w:sz w:val="32"/>
          <w:szCs w:val="32"/>
        </w:rPr>
        <w:t>Creativity: Creativity</w:t>
      </w:r>
      <w:r w:rsidR="00BF530D">
        <w:rPr>
          <w:b/>
          <w:sz w:val="32"/>
          <w:szCs w:val="32"/>
        </w:rPr>
        <w:t xml:space="preserve"> </w:t>
      </w:r>
      <w:r w:rsidR="009F1B28">
        <w:rPr>
          <w:b/>
          <w:sz w:val="32"/>
          <w:szCs w:val="32"/>
        </w:rPr>
        <w:t>and</w:t>
      </w:r>
      <w:r w:rsidR="00BF530D">
        <w:rPr>
          <w:b/>
          <w:sz w:val="32"/>
          <w:szCs w:val="32"/>
        </w:rPr>
        <w:t xml:space="preserve"> Creation </w:t>
      </w:r>
    </w:p>
    <w:p w14:paraId="6B048528" w14:textId="5A4EDA6A" w:rsidR="00BF530D" w:rsidRDefault="00BF530D">
      <w:pPr>
        <w:rPr>
          <w:b/>
          <w:sz w:val="32"/>
          <w:szCs w:val="32"/>
        </w:rPr>
      </w:pPr>
      <w:r>
        <w:rPr>
          <w:b/>
          <w:sz w:val="32"/>
          <w:szCs w:val="32"/>
        </w:rPr>
        <w:t>Module Code: BMHP5014</w:t>
      </w:r>
    </w:p>
    <w:p w14:paraId="7E6A3132" w14:textId="6885F4C5" w:rsidR="00BF530D" w:rsidRDefault="00BF530D">
      <w:pPr>
        <w:rPr>
          <w:b/>
          <w:sz w:val="32"/>
          <w:szCs w:val="32"/>
        </w:rPr>
      </w:pPr>
      <w:r>
        <w:rPr>
          <w:b/>
          <w:sz w:val="32"/>
          <w:szCs w:val="32"/>
        </w:rPr>
        <w:t xml:space="preserve">Lecturer </w:t>
      </w:r>
      <w:r w:rsidR="009F1B28">
        <w:rPr>
          <w:b/>
          <w:sz w:val="32"/>
          <w:szCs w:val="32"/>
        </w:rPr>
        <w:t>name: DR</w:t>
      </w:r>
      <w:r>
        <w:rPr>
          <w:b/>
          <w:sz w:val="32"/>
          <w:szCs w:val="32"/>
        </w:rPr>
        <w:t xml:space="preserve"> Laila Surani and Caroline </w:t>
      </w:r>
      <w:r w:rsidR="009F1B28">
        <w:rPr>
          <w:b/>
          <w:sz w:val="32"/>
          <w:szCs w:val="32"/>
        </w:rPr>
        <w:t>Salami (</w:t>
      </w:r>
      <w:r>
        <w:rPr>
          <w:b/>
          <w:sz w:val="32"/>
          <w:szCs w:val="32"/>
        </w:rPr>
        <w:t>Module Leader)</w:t>
      </w:r>
      <w:r w:rsidR="009F1B28">
        <w:rPr>
          <w:b/>
          <w:sz w:val="32"/>
          <w:szCs w:val="32"/>
        </w:rPr>
        <w:t xml:space="preserve"> </w:t>
      </w:r>
    </w:p>
    <w:p w14:paraId="602DB09C" w14:textId="19408A2B" w:rsidR="009F1B28" w:rsidRDefault="009F1B28">
      <w:pPr>
        <w:rPr>
          <w:b/>
          <w:sz w:val="32"/>
          <w:szCs w:val="32"/>
        </w:rPr>
      </w:pPr>
      <w:r>
        <w:rPr>
          <w:b/>
          <w:sz w:val="32"/>
          <w:szCs w:val="32"/>
        </w:rPr>
        <w:t xml:space="preserve">Titel Name: Age Well Connect: Empowering Older Adults </w:t>
      </w:r>
      <w:proofErr w:type="gramStart"/>
      <w:r>
        <w:rPr>
          <w:b/>
          <w:sz w:val="32"/>
          <w:szCs w:val="32"/>
        </w:rPr>
        <w:t>For</w:t>
      </w:r>
      <w:proofErr w:type="gramEnd"/>
      <w:r>
        <w:rPr>
          <w:b/>
          <w:sz w:val="32"/>
          <w:szCs w:val="32"/>
        </w:rPr>
        <w:t xml:space="preserve"> Independence and Healthy Ageing in the UK </w:t>
      </w:r>
    </w:p>
    <w:p w14:paraId="4AF6AACD" w14:textId="77777777" w:rsidR="00BF530D" w:rsidRDefault="00BF530D">
      <w:pPr>
        <w:rPr>
          <w:b/>
          <w:sz w:val="32"/>
          <w:szCs w:val="32"/>
        </w:rPr>
      </w:pPr>
    </w:p>
    <w:p w14:paraId="3EEBB10E" w14:textId="77777777" w:rsidR="00BF530D" w:rsidRDefault="00BF530D">
      <w:pPr>
        <w:rPr>
          <w:b/>
          <w:sz w:val="32"/>
          <w:szCs w:val="32"/>
        </w:rPr>
      </w:pPr>
    </w:p>
    <w:p w14:paraId="1CEF53AC" w14:textId="77777777" w:rsidR="00BF530D" w:rsidRDefault="00BF530D">
      <w:pPr>
        <w:rPr>
          <w:b/>
          <w:sz w:val="32"/>
          <w:szCs w:val="32"/>
        </w:rPr>
      </w:pPr>
    </w:p>
    <w:p w14:paraId="053F38CD" w14:textId="77777777" w:rsidR="00BF530D" w:rsidRDefault="00BF530D">
      <w:pPr>
        <w:rPr>
          <w:b/>
          <w:sz w:val="32"/>
          <w:szCs w:val="32"/>
        </w:rPr>
      </w:pPr>
    </w:p>
    <w:p w14:paraId="7C057347" w14:textId="77777777" w:rsidR="00BF530D" w:rsidRDefault="00BF530D">
      <w:pPr>
        <w:rPr>
          <w:b/>
          <w:sz w:val="32"/>
          <w:szCs w:val="32"/>
        </w:rPr>
      </w:pPr>
    </w:p>
    <w:p w14:paraId="274394BB" w14:textId="77777777" w:rsidR="00BF530D" w:rsidRDefault="00BF530D">
      <w:pPr>
        <w:rPr>
          <w:b/>
          <w:sz w:val="32"/>
          <w:szCs w:val="32"/>
        </w:rPr>
      </w:pPr>
    </w:p>
    <w:p w14:paraId="6C4B3E87" w14:textId="2D17C41F" w:rsidR="00BF530D" w:rsidRDefault="00BF530D">
      <w:pPr>
        <w:rPr>
          <w:b/>
          <w:sz w:val="32"/>
          <w:szCs w:val="32"/>
        </w:rPr>
      </w:pPr>
      <w:r>
        <w:rPr>
          <w:b/>
          <w:sz w:val="32"/>
          <w:szCs w:val="32"/>
        </w:rPr>
        <w:br w:type="page"/>
      </w:r>
    </w:p>
    <w:p w14:paraId="36D08D28" w14:textId="79C410B1" w:rsidR="00BF530D" w:rsidRDefault="00BF530D">
      <w:pPr>
        <w:rPr>
          <w:b/>
          <w:sz w:val="32"/>
          <w:szCs w:val="32"/>
        </w:rPr>
      </w:pPr>
      <w:r>
        <w:rPr>
          <w:b/>
          <w:sz w:val="32"/>
          <w:szCs w:val="32"/>
        </w:rPr>
        <w:lastRenderedPageBreak/>
        <w:t xml:space="preserve"> </w:t>
      </w:r>
    </w:p>
    <w:p w14:paraId="062B56BB" w14:textId="7C3A869D" w:rsidR="006362F4" w:rsidRDefault="00004E00">
      <w:pPr>
        <w:rPr>
          <w:b/>
          <w:sz w:val="32"/>
          <w:szCs w:val="32"/>
        </w:rPr>
      </w:pPr>
      <w:r>
        <w:rPr>
          <w:b/>
          <w:sz w:val="32"/>
          <w:szCs w:val="32"/>
        </w:rPr>
        <w:t xml:space="preserve"> </w:t>
      </w:r>
    </w:p>
    <w:sdt>
      <w:sdtPr>
        <w:rPr>
          <w:rFonts w:ascii="Times New Roman" w:eastAsia="Times New Roman" w:hAnsi="Times New Roman" w:cs="Times New Roman"/>
          <w:color w:val="auto"/>
          <w:sz w:val="24"/>
          <w:szCs w:val="24"/>
          <w:lang w:val="en" w:eastAsia="en-IN"/>
        </w:rPr>
        <w:id w:val="-483310863"/>
        <w:docPartObj>
          <w:docPartGallery w:val="Table of Contents"/>
          <w:docPartUnique/>
        </w:docPartObj>
      </w:sdtPr>
      <w:sdtEndPr>
        <w:rPr>
          <w:b/>
          <w:bCs/>
          <w:noProof/>
        </w:rPr>
      </w:sdtEndPr>
      <w:sdtContent>
        <w:p w14:paraId="1525891C" w14:textId="38160C49" w:rsidR="006362F4" w:rsidRPr="006362F4" w:rsidRDefault="006362F4" w:rsidP="006362F4">
          <w:pPr>
            <w:pStyle w:val="TOCHeading"/>
            <w:jc w:val="center"/>
            <w:rPr>
              <w:rFonts w:ascii="Times New Roman" w:hAnsi="Times New Roman" w:cs="Times New Roman"/>
              <w:b/>
              <w:bCs/>
              <w:color w:val="000000" w:themeColor="text1"/>
            </w:rPr>
          </w:pPr>
          <w:r w:rsidRPr="006362F4">
            <w:rPr>
              <w:rFonts w:ascii="Times New Roman" w:hAnsi="Times New Roman" w:cs="Times New Roman"/>
              <w:b/>
              <w:bCs/>
              <w:color w:val="000000" w:themeColor="text1"/>
            </w:rPr>
            <w:t>Table of Contents</w:t>
          </w:r>
        </w:p>
        <w:p w14:paraId="3FDAC988" w14:textId="6EB09FCD" w:rsidR="006362F4" w:rsidRDefault="006362F4">
          <w:pPr>
            <w:pStyle w:val="TOC1"/>
            <w:tabs>
              <w:tab w:val="right" w:leader="dot" w:pos="9350"/>
            </w:tabs>
            <w:rPr>
              <w:noProof/>
            </w:rPr>
          </w:pPr>
          <w:r>
            <w:fldChar w:fldCharType="begin"/>
          </w:r>
          <w:r>
            <w:instrText xml:space="preserve"> TOC \o "1-3" \h \z \u </w:instrText>
          </w:r>
          <w:r>
            <w:fldChar w:fldCharType="separate"/>
          </w:r>
          <w:hyperlink w:anchor="_Toc212826879" w:history="1">
            <w:r w:rsidRPr="00A01EF0">
              <w:rPr>
                <w:rStyle w:val="Hyperlink"/>
                <w:noProof/>
              </w:rPr>
              <w:t>Part A: Poster</w:t>
            </w:r>
            <w:r>
              <w:rPr>
                <w:noProof/>
                <w:webHidden/>
              </w:rPr>
              <w:tab/>
            </w:r>
            <w:r>
              <w:rPr>
                <w:noProof/>
                <w:webHidden/>
              </w:rPr>
              <w:fldChar w:fldCharType="begin"/>
            </w:r>
            <w:r>
              <w:rPr>
                <w:noProof/>
                <w:webHidden/>
              </w:rPr>
              <w:instrText xml:space="preserve"> PAGEREF _Toc212826879 \h </w:instrText>
            </w:r>
            <w:r>
              <w:rPr>
                <w:noProof/>
                <w:webHidden/>
              </w:rPr>
            </w:r>
            <w:r>
              <w:rPr>
                <w:noProof/>
                <w:webHidden/>
              </w:rPr>
              <w:fldChar w:fldCharType="separate"/>
            </w:r>
            <w:r>
              <w:rPr>
                <w:noProof/>
                <w:webHidden/>
              </w:rPr>
              <w:t>3</w:t>
            </w:r>
            <w:r>
              <w:rPr>
                <w:noProof/>
                <w:webHidden/>
              </w:rPr>
              <w:fldChar w:fldCharType="end"/>
            </w:r>
          </w:hyperlink>
        </w:p>
        <w:p w14:paraId="477230CF" w14:textId="6323FEB1" w:rsidR="006362F4" w:rsidRDefault="006362F4">
          <w:pPr>
            <w:pStyle w:val="TOC2"/>
            <w:tabs>
              <w:tab w:val="right" w:leader="dot" w:pos="9350"/>
            </w:tabs>
            <w:rPr>
              <w:noProof/>
            </w:rPr>
          </w:pPr>
          <w:hyperlink w:anchor="_Toc212826880" w:history="1">
            <w:r w:rsidRPr="00A01EF0">
              <w:rPr>
                <w:rStyle w:val="Hyperlink"/>
                <w:noProof/>
              </w:rPr>
              <w:t>1. Empowering Older Adults: Promoting Independence, Functional Ability, and Choice in the UK</w:t>
            </w:r>
            <w:r>
              <w:rPr>
                <w:noProof/>
                <w:webHidden/>
              </w:rPr>
              <w:tab/>
            </w:r>
            <w:r>
              <w:rPr>
                <w:noProof/>
                <w:webHidden/>
              </w:rPr>
              <w:fldChar w:fldCharType="begin"/>
            </w:r>
            <w:r>
              <w:rPr>
                <w:noProof/>
                <w:webHidden/>
              </w:rPr>
              <w:instrText xml:space="preserve"> PAGEREF _Toc212826880 \h </w:instrText>
            </w:r>
            <w:r>
              <w:rPr>
                <w:noProof/>
                <w:webHidden/>
              </w:rPr>
            </w:r>
            <w:r>
              <w:rPr>
                <w:noProof/>
                <w:webHidden/>
              </w:rPr>
              <w:fldChar w:fldCharType="separate"/>
            </w:r>
            <w:r>
              <w:rPr>
                <w:noProof/>
                <w:webHidden/>
              </w:rPr>
              <w:t>3</w:t>
            </w:r>
            <w:r>
              <w:rPr>
                <w:noProof/>
                <w:webHidden/>
              </w:rPr>
              <w:fldChar w:fldCharType="end"/>
            </w:r>
          </w:hyperlink>
        </w:p>
        <w:p w14:paraId="02C75D34" w14:textId="3DAD5623" w:rsidR="006362F4" w:rsidRDefault="006362F4">
          <w:pPr>
            <w:pStyle w:val="TOC2"/>
            <w:tabs>
              <w:tab w:val="right" w:leader="dot" w:pos="9350"/>
            </w:tabs>
            <w:rPr>
              <w:noProof/>
            </w:rPr>
          </w:pPr>
          <w:hyperlink w:anchor="_Toc212826881" w:history="1">
            <w:r w:rsidRPr="00A01EF0">
              <w:rPr>
                <w:rStyle w:val="Hyperlink"/>
                <w:noProof/>
              </w:rPr>
              <w:t>2. Challenges Faced by Older Adults in Maintaining Independence and Functional Ability</w:t>
            </w:r>
            <w:r>
              <w:rPr>
                <w:noProof/>
                <w:webHidden/>
              </w:rPr>
              <w:tab/>
            </w:r>
            <w:r>
              <w:rPr>
                <w:noProof/>
                <w:webHidden/>
              </w:rPr>
              <w:fldChar w:fldCharType="begin"/>
            </w:r>
            <w:r>
              <w:rPr>
                <w:noProof/>
                <w:webHidden/>
              </w:rPr>
              <w:instrText xml:space="preserve"> PAGEREF _Toc212826881 \h </w:instrText>
            </w:r>
            <w:r>
              <w:rPr>
                <w:noProof/>
                <w:webHidden/>
              </w:rPr>
            </w:r>
            <w:r>
              <w:rPr>
                <w:noProof/>
                <w:webHidden/>
              </w:rPr>
              <w:fldChar w:fldCharType="separate"/>
            </w:r>
            <w:r>
              <w:rPr>
                <w:noProof/>
                <w:webHidden/>
              </w:rPr>
              <w:t>3</w:t>
            </w:r>
            <w:r>
              <w:rPr>
                <w:noProof/>
                <w:webHidden/>
              </w:rPr>
              <w:fldChar w:fldCharType="end"/>
            </w:r>
          </w:hyperlink>
        </w:p>
        <w:p w14:paraId="354F4BDD" w14:textId="2F00E117" w:rsidR="006362F4" w:rsidRDefault="006362F4">
          <w:pPr>
            <w:pStyle w:val="TOC2"/>
            <w:tabs>
              <w:tab w:val="right" w:leader="dot" w:pos="9350"/>
            </w:tabs>
            <w:rPr>
              <w:noProof/>
            </w:rPr>
          </w:pPr>
          <w:hyperlink w:anchor="_Toc212826882" w:history="1">
            <w:r w:rsidRPr="00A01EF0">
              <w:rPr>
                <w:rStyle w:val="Hyperlink"/>
                <w:noProof/>
              </w:rPr>
              <w:t>3. Effectiveness and Benefits of Approaches and Interventions in the UK</w:t>
            </w:r>
            <w:r>
              <w:rPr>
                <w:noProof/>
                <w:webHidden/>
              </w:rPr>
              <w:tab/>
            </w:r>
            <w:r>
              <w:rPr>
                <w:noProof/>
                <w:webHidden/>
              </w:rPr>
              <w:fldChar w:fldCharType="begin"/>
            </w:r>
            <w:r>
              <w:rPr>
                <w:noProof/>
                <w:webHidden/>
              </w:rPr>
              <w:instrText xml:space="preserve"> PAGEREF _Toc212826882 \h </w:instrText>
            </w:r>
            <w:r>
              <w:rPr>
                <w:noProof/>
                <w:webHidden/>
              </w:rPr>
            </w:r>
            <w:r>
              <w:rPr>
                <w:noProof/>
                <w:webHidden/>
              </w:rPr>
              <w:fldChar w:fldCharType="separate"/>
            </w:r>
            <w:r>
              <w:rPr>
                <w:noProof/>
                <w:webHidden/>
              </w:rPr>
              <w:t>4</w:t>
            </w:r>
            <w:r>
              <w:rPr>
                <w:noProof/>
                <w:webHidden/>
              </w:rPr>
              <w:fldChar w:fldCharType="end"/>
            </w:r>
          </w:hyperlink>
        </w:p>
        <w:p w14:paraId="3E1E2B10" w14:textId="43360CF7" w:rsidR="006362F4" w:rsidRDefault="006362F4">
          <w:pPr>
            <w:pStyle w:val="TOC2"/>
            <w:tabs>
              <w:tab w:val="right" w:leader="dot" w:pos="9350"/>
            </w:tabs>
            <w:rPr>
              <w:noProof/>
            </w:rPr>
          </w:pPr>
          <w:hyperlink w:anchor="_Toc212826883" w:history="1">
            <w:r w:rsidRPr="00A01EF0">
              <w:rPr>
                <w:rStyle w:val="Hyperlink"/>
                <w:noProof/>
              </w:rPr>
              <w:t>4. Recommendations for Improving Services to Empower Older People</w:t>
            </w:r>
            <w:r>
              <w:rPr>
                <w:noProof/>
                <w:webHidden/>
              </w:rPr>
              <w:tab/>
            </w:r>
            <w:r>
              <w:rPr>
                <w:noProof/>
                <w:webHidden/>
              </w:rPr>
              <w:fldChar w:fldCharType="begin"/>
            </w:r>
            <w:r>
              <w:rPr>
                <w:noProof/>
                <w:webHidden/>
              </w:rPr>
              <w:instrText xml:space="preserve"> PAGEREF _Toc212826883 \h </w:instrText>
            </w:r>
            <w:r>
              <w:rPr>
                <w:noProof/>
                <w:webHidden/>
              </w:rPr>
            </w:r>
            <w:r>
              <w:rPr>
                <w:noProof/>
                <w:webHidden/>
              </w:rPr>
              <w:fldChar w:fldCharType="separate"/>
            </w:r>
            <w:r>
              <w:rPr>
                <w:noProof/>
                <w:webHidden/>
              </w:rPr>
              <w:t>5</w:t>
            </w:r>
            <w:r>
              <w:rPr>
                <w:noProof/>
                <w:webHidden/>
              </w:rPr>
              <w:fldChar w:fldCharType="end"/>
            </w:r>
          </w:hyperlink>
        </w:p>
        <w:p w14:paraId="2666E420" w14:textId="011A8195" w:rsidR="006362F4" w:rsidRDefault="006362F4">
          <w:pPr>
            <w:pStyle w:val="TOC2"/>
            <w:tabs>
              <w:tab w:val="right" w:leader="dot" w:pos="9350"/>
            </w:tabs>
            <w:rPr>
              <w:noProof/>
            </w:rPr>
          </w:pPr>
          <w:hyperlink w:anchor="_Toc212826884" w:history="1">
            <w:r w:rsidRPr="00A01EF0">
              <w:rPr>
                <w:rStyle w:val="Hyperlink"/>
                <w:noProof/>
              </w:rPr>
              <w:t>5. Conclusion</w:t>
            </w:r>
            <w:r>
              <w:rPr>
                <w:noProof/>
                <w:webHidden/>
              </w:rPr>
              <w:tab/>
            </w:r>
            <w:r>
              <w:rPr>
                <w:noProof/>
                <w:webHidden/>
              </w:rPr>
              <w:fldChar w:fldCharType="begin"/>
            </w:r>
            <w:r>
              <w:rPr>
                <w:noProof/>
                <w:webHidden/>
              </w:rPr>
              <w:instrText xml:space="preserve"> PAGEREF _Toc212826884 \h </w:instrText>
            </w:r>
            <w:r>
              <w:rPr>
                <w:noProof/>
                <w:webHidden/>
              </w:rPr>
            </w:r>
            <w:r>
              <w:rPr>
                <w:noProof/>
                <w:webHidden/>
              </w:rPr>
              <w:fldChar w:fldCharType="separate"/>
            </w:r>
            <w:r>
              <w:rPr>
                <w:noProof/>
                <w:webHidden/>
              </w:rPr>
              <w:t>6</w:t>
            </w:r>
            <w:r>
              <w:rPr>
                <w:noProof/>
                <w:webHidden/>
              </w:rPr>
              <w:fldChar w:fldCharType="end"/>
            </w:r>
          </w:hyperlink>
        </w:p>
        <w:p w14:paraId="544A54E6" w14:textId="54EBC2E6" w:rsidR="006362F4" w:rsidRDefault="006362F4">
          <w:pPr>
            <w:pStyle w:val="TOC2"/>
            <w:tabs>
              <w:tab w:val="right" w:leader="dot" w:pos="9350"/>
            </w:tabs>
            <w:rPr>
              <w:noProof/>
            </w:rPr>
          </w:pPr>
          <w:hyperlink w:anchor="_Toc212826885" w:history="1">
            <w:r w:rsidRPr="00A01EF0">
              <w:rPr>
                <w:rStyle w:val="Hyperlink"/>
                <w:noProof/>
              </w:rPr>
              <w:t>6. Reference list</w:t>
            </w:r>
            <w:r>
              <w:rPr>
                <w:noProof/>
                <w:webHidden/>
              </w:rPr>
              <w:tab/>
            </w:r>
            <w:r>
              <w:rPr>
                <w:noProof/>
                <w:webHidden/>
              </w:rPr>
              <w:fldChar w:fldCharType="begin"/>
            </w:r>
            <w:r>
              <w:rPr>
                <w:noProof/>
                <w:webHidden/>
              </w:rPr>
              <w:instrText xml:space="preserve"> PAGEREF _Toc212826885 \h </w:instrText>
            </w:r>
            <w:r>
              <w:rPr>
                <w:noProof/>
                <w:webHidden/>
              </w:rPr>
            </w:r>
            <w:r>
              <w:rPr>
                <w:noProof/>
                <w:webHidden/>
              </w:rPr>
              <w:fldChar w:fldCharType="separate"/>
            </w:r>
            <w:r>
              <w:rPr>
                <w:noProof/>
                <w:webHidden/>
              </w:rPr>
              <w:t>6</w:t>
            </w:r>
            <w:r>
              <w:rPr>
                <w:noProof/>
                <w:webHidden/>
              </w:rPr>
              <w:fldChar w:fldCharType="end"/>
            </w:r>
          </w:hyperlink>
        </w:p>
        <w:p w14:paraId="42A7DB03" w14:textId="7C56DFF6" w:rsidR="006362F4" w:rsidRDefault="006362F4">
          <w:pPr>
            <w:pStyle w:val="TOC1"/>
            <w:tabs>
              <w:tab w:val="right" w:leader="dot" w:pos="9350"/>
            </w:tabs>
            <w:rPr>
              <w:noProof/>
            </w:rPr>
          </w:pPr>
          <w:hyperlink w:anchor="_Toc212826886" w:history="1">
            <w:r w:rsidRPr="00A01EF0">
              <w:rPr>
                <w:rStyle w:val="Hyperlink"/>
                <w:noProof/>
              </w:rPr>
              <w:t>Part B: Pitch</w:t>
            </w:r>
            <w:r>
              <w:rPr>
                <w:noProof/>
                <w:webHidden/>
              </w:rPr>
              <w:tab/>
            </w:r>
            <w:r>
              <w:rPr>
                <w:noProof/>
                <w:webHidden/>
              </w:rPr>
              <w:fldChar w:fldCharType="begin"/>
            </w:r>
            <w:r>
              <w:rPr>
                <w:noProof/>
                <w:webHidden/>
              </w:rPr>
              <w:instrText xml:space="preserve"> PAGEREF _Toc212826886 \h </w:instrText>
            </w:r>
            <w:r>
              <w:rPr>
                <w:noProof/>
                <w:webHidden/>
              </w:rPr>
            </w:r>
            <w:r>
              <w:rPr>
                <w:noProof/>
                <w:webHidden/>
              </w:rPr>
              <w:fldChar w:fldCharType="separate"/>
            </w:r>
            <w:r>
              <w:rPr>
                <w:noProof/>
                <w:webHidden/>
              </w:rPr>
              <w:t>9</w:t>
            </w:r>
            <w:r>
              <w:rPr>
                <w:noProof/>
                <w:webHidden/>
              </w:rPr>
              <w:fldChar w:fldCharType="end"/>
            </w:r>
          </w:hyperlink>
        </w:p>
        <w:p w14:paraId="3C89EBAA" w14:textId="062E1B11" w:rsidR="006362F4" w:rsidRDefault="006362F4">
          <w:pPr>
            <w:pStyle w:val="TOC2"/>
            <w:tabs>
              <w:tab w:val="right" w:leader="dot" w:pos="9350"/>
            </w:tabs>
            <w:rPr>
              <w:noProof/>
            </w:rPr>
          </w:pPr>
          <w:hyperlink w:anchor="_Toc212826887" w:history="1">
            <w:r w:rsidRPr="00A01EF0">
              <w:rPr>
                <w:rStyle w:val="Hyperlink"/>
                <w:noProof/>
              </w:rPr>
              <w:t>1. Introduction</w:t>
            </w:r>
            <w:r>
              <w:rPr>
                <w:noProof/>
                <w:webHidden/>
              </w:rPr>
              <w:tab/>
            </w:r>
            <w:r>
              <w:rPr>
                <w:noProof/>
                <w:webHidden/>
              </w:rPr>
              <w:fldChar w:fldCharType="begin"/>
            </w:r>
            <w:r>
              <w:rPr>
                <w:noProof/>
                <w:webHidden/>
              </w:rPr>
              <w:instrText xml:space="preserve"> PAGEREF _Toc212826887 \h </w:instrText>
            </w:r>
            <w:r>
              <w:rPr>
                <w:noProof/>
                <w:webHidden/>
              </w:rPr>
            </w:r>
            <w:r>
              <w:rPr>
                <w:noProof/>
                <w:webHidden/>
              </w:rPr>
              <w:fldChar w:fldCharType="separate"/>
            </w:r>
            <w:r>
              <w:rPr>
                <w:noProof/>
                <w:webHidden/>
              </w:rPr>
              <w:t>9</w:t>
            </w:r>
            <w:r>
              <w:rPr>
                <w:noProof/>
                <w:webHidden/>
              </w:rPr>
              <w:fldChar w:fldCharType="end"/>
            </w:r>
          </w:hyperlink>
        </w:p>
        <w:p w14:paraId="1222AFFA" w14:textId="3C6E0B5E" w:rsidR="006362F4" w:rsidRDefault="006362F4">
          <w:pPr>
            <w:pStyle w:val="TOC2"/>
            <w:tabs>
              <w:tab w:val="right" w:leader="dot" w:pos="9350"/>
            </w:tabs>
            <w:rPr>
              <w:noProof/>
            </w:rPr>
          </w:pPr>
          <w:hyperlink w:anchor="_Toc212826888" w:history="1">
            <w:r w:rsidRPr="00A01EF0">
              <w:rPr>
                <w:rStyle w:val="Hyperlink"/>
                <w:noProof/>
              </w:rPr>
              <w:t>2. Background and Rationale</w:t>
            </w:r>
            <w:r>
              <w:rPr>
                <w:noProof/>
                <w:webHidden/>
              </w:rPr>
              <w:tab/>
            </w:r>
            <w:r>
              <w:rPr>
                <w:noProof/>
                <w:webHidden/>
              </w:rPr>
              <w:fldChar w:fldCharType="begin"/>
            </w:r>
            <w:r>
              <w:rPr>
                <w:noProof/>
                <w:webHidden/>
              </w:rPr>
              <w:instrText xml:space="preserve"> PAGEREF _Toc212826888 \h </w:instrText>
            </w:r>
            <w:r>
              <w:rPr>
                <w:noProof/>
                <w:webHidden/>
              </w:rPr>
            </w:r>
            <w:r>
              <w:rPr>
                <w:noProof/>
                <w:webHidden/>
              </w:rPr>
              <w:fldChar w:fldCharType="separate"/>
            </w:r>
            <w:r>
              <w:rPr>
                <w:noProof/>
                <w:webHidden/>
              </w:rPr>
              <w:t>9</w:t>
            </w:r>
            <w:r>
              <w:rPr>
                <w:noProof/>
                <w:webHidden/>
              </w:rPr>
              <w:fldChar w:fldCharType="end"/>
            </w:r>
          </w:hyperlink>
        </w:p>
        <w:p w14:paraId="57C5CDC7" w14:textId="56353186" w:rsidR="006362F4" w:rsidRDefault="006362F4">
          <w:pPr>
            <w:pStyle w:val="TOC2"/>
            <w:tabs>
              <w:tab w:val="right" w:leader="dot" w:pos="9350"/>
            </w:tabs>
            <w:rPr>
              <w:noProof/>
            </w:rPr>
          </w:pPr>
          <w:hyperlink w:anchor="_Toc212826889" w:history="1">
            <w:r w:rsidRPr="00A01EF0">
              <w:rPr>
                <w:rStyle w:val="Hyperlink"/>
                <w:noProof/>
              </w:rPr>
              <w:t>3. Innovation Description</w:t>
            </w:r>
            <w:r>
              <w:rPr>
                <w:noProof/>
                <w:webHidden/>
              </w:rPr>
              <w:tab/>
            </w:r>
            <w:r>
              <w:rPr>
                <w:noProof/>
                <w:webHidden/>
              </w:rPr>
              <w:fldChar w:fldCharType="begin"/>
            </w:r>
            <w:r>
              <w:rPr>
                <w:noProof/>
                <w:webHidden/>
              </w:rPr>
              <w:instrText xml:space="preserve"> PAGEREF _Toc212826889 \h </w:instrText>
            </w:r>
            <w:r>
              <w:rPr>
                <w:noProof/>
                <w:webHidden/>
              </w:rPr>
            </w:r>
            <w:r>
              <w:rPr>
                <w:noProof/>
                <w:webHidden/>
              </w:rPr>
              <w:fldChar w:fldCharType="separate"/>
            </w:r>
            <w:r>
              <w:rPr>
                <w:noProof/>
                <w:webHidden/>
              </w:rPr>
              <w:t>10</w:t>
            </w:r>
            <w:r>
              <w:rPr>
                <w:noProof/>
                <w:webHidden/>
              </w:rPr>
              <w:fldChar w:fldCharType="end"/>
            </w:r>
          </w:hyperlink>
        </w:p>
        <w:p w14:paraId="5A7441D4" w14:textId="605B2C75" w:rsidR="006362F4" w:rsidRDefault="006362F4">
          <w:pPr>
            <w:pStyle w:val="TOC2"/>
            <w:tabs>
              <w:tab w:val="right" w:leader="dot" w:pos="9350"/>
            </w:tabs>
            <w:rPr>
              <w:noProof/>
            </w:rPr>
          </w:pPr>
          <w:hyperlink w:anchor="_Toc212826890" w:history="1">
            <w:r w:rsidRPr="00A01EF0">
              <w:rPr>
                <w:rStyle w:val="Hyperlink"/>
                <w:noProof/>
              </w:rPr>
              <w:t>4. Impact and Benefits</w:t>
            </w:r>
            <w:r>
              <w:rPr>
                <w:noProof/>
                <w:webHidden/>
              </w:rPr>
              <w:tab/>
            </w:r>
            <w:r>
              <w:rPr>
                <w:noProof/>
                <w:webHidden/>
              </w:rPr>
              <w:fldChar w:fldCharType="begin"/>
            </w:r>
            <w:r>
              <w:rPr>
                <w:noProof/>
                <w:webHidden/>
              </w:rPr>
              <w:instrText xml:space="preserve"> PAGEREF _Toc212826890 \h </w:instrText>
            </w:r>
            <w:r>
              <w:rPr>
                <w:noProof/>
                <w:webHidden/>
              </w:rPr>
            </w:r>
            <w:r>
              <w:rPr>
                <w:noProof/>
                <w:webHidden/>
              </w:rPr>
              <w:fldChar w:fldCharType="separate"/>
            </w:r>
            <w:r>
              <w:rPr>
                <w:noProof/>
                <w:webHidden/>
              </w:rPr>
              <w:t>10</w:t>
            </w:r>
            <w:r>
              <w:rPr>
                <w:noProof/>
                <w:webHidden/>
              </w:rPr>
              <w:fldChar w:fldCharType="end"/>
            </w:r>
          </w:hyperlink>
        </w:p>
        <w:p w14:paraId="390E497E" w14:textId="44847356" w:rsidR="006362F4" w:rsidRDefault="006362F4">
          <w:pPr>
            <w:pStyle w:val="TOC2"/>
            <w:tabs>
              <w:tab w:val="right" w:leader="dot" w:pos="9350"/>
            </w:tabs>
            <w:rPr>
              <w:noProof/>
            </w:rPr>
          </w:pPr>
          <w:hyperlink w:anchor="_Toc212826891" w:history="1">
            <w:r w:rsidRPr="00A01EF0">
              <w:rPr>
                <w:rStyle w:val="Hyperlink"/>
                <w:noProof/>
              </w:rPr>
              <w:t>5. Implementation and Feasibility</w:t>
            </w:r>
            <w:r>
              <w:rPr>
                <w:noProof/>
                <w:webHidden/>
              </w:rPr>
              <w:tab/>
            </w:r>
            <w:r>
              <w:rPr>
                <w:noProof/>
                <w:webHidden/>
              </w:rPr>
              <w:fldChar w:fldCharType="begin"/>
            </w:r>
            <w:r>
              <w:rPr>
                <w:noProof/>
                <w:webHidden/>
              </w:rPr>
              <w:instrText xml:space="preserve"> PAGEREF _Toc212826891 \h </w:instrText>
            </w:r>
            <w:r>
              <w:rPr>
                <w:noProof/>
                <w:webHidden/>
              </w:rPr>
            </w:r>
            <w:r>
              <w:rPr>
                <w:noProof/>
                <w:webHidden/>
              </w:rPr>
              <w:fldChar w:fldCharType="separate"/>
            </w:r>
            <w:r>
              <w:rPr>
                <w:noProof/>
                <w:webHidden/>
              </w:rPr>
              <w:t>11</w:t>
            </w:r>
            <w:r>
              <w:rPr>
                <w:noProof/>
                <w:webHidden/>
              </w:rPr>
              <w:fldChar w:fldCharType="end"/>
            </w:r>
          </w:hyperlink>
        </w:p>
        <w:p w14:paraId="74263AB1" w14:textId="28120328" w:rsidR="006362F4" w:rsidRDefault="006362F4">
          <w:pPr>
            <w:pStyle w:val="TOC2"/>
            <w:tabs>
              <w:tab w:val="right" w:leader="dot" w:pos="9350"/>
            </w:tabs>
            <w:rPr>
              <w:noProof/>
            </w:rPr>
          </w:pPr>
          <w:hyperlink w:anchor="_Toc212826892" w:history="1">
            <w:r w:rsidRPr="00A01EF0">
              <w:rPr>
                <w:rStyle w:val="Hyperlink"/>
                <w:noProof/>
              </w:rPr>
              <w:t>6. Dissemination and Engagement</w:t>
            </w:r>
            <w:r>
              <w:rPr>
                <w:noProof/>
                <w:webHidden/>
              </w:rPr>
              <w:tab/>
            </w:r>
            <w:r>
              <w:rPr>
                <w:noProof/>
                <w:webHidden/>
              </w:rPr>
              <w:fldChar w:fldCharType="begin"/>
            </w:r>
            <w:r>
              <w:rPr>
                <w:noProof/>
                <w:webHidden/>
              </w:rPr>
              <w:instrText xml:space="preserve"> PAGEREF _Toc212826892 \h </w:instrText>
            </w:r>
            <w:r>
              <w:rPr>
                <w:noProof/>
                <w:webHidden/>
              </w:rPr>
            </w:r>
            <w:r>
              <w:rPr>
                <w:noProof/>
                <w:webHidden/>
              </w:rPr>
              <w:fldChar w:fldCharType="separate"/>
            </w:r>
            <w:r>
              <w:rPr>
                <w:noProof/>
                <w:webHidden/>
              </w:rPr>
              <w:t>11</w:t>
            </w:r>
            <w:r>
              <w:rPr>
                <w:noProof/>
                <w:webHidden/>
              </w:rPr>
              <w:fldChar w:fldCharType="end"/>
            </w:r>
          </w:hyperlink>
        </w:p>
        <w:p w14:paraId="79A682EC" w14:textId="37E3F4C9" w:rsidR="006362F4" w:rsidRDefault="006362F4">
          <w:pPr>
            <w:pStyle w:val="TOC2"/>
            <w:tabs>
              <w:tab w:val="right" w:leader="dot" w:pos="9350"/>
            </w:tabs>
            <w:rPr>
              <w:noProof/>
            </w:rPr>
          </w:pPr>
          <w:hyperlink w:anchor="_Toc212826893" w:history="1">
            <w:r w:rsidRPr="00A01EF0">
              <w:rPr>
                <w:rStyle w:val="Hyperlink"/>
                <w:noProof/>
              </w:rPr>
              <w:t>7. Conclusion</w:t>
            </w:r>
            <w:r>
              <w:rPr>
                <w:noProof/>
                <w:webHidden/>
              </w:rPr>
              <w:tab/>
            </w:r>
            <w:r>
              <w:rPr>
                <w:noProof/>
                <w:webHidden/>
              </w:rPr>
              <w:fldChar w:fldCharType="begin"/>
            </w:r>
            <w:r>
              <w:rPr>
                <w:noProof/>
                <w:webHidden/>
              </w:rPr>
              <w:instrText xml:space="preserve"> PAGEREF _Toc212826893 \h </w:instrText>
            </w:r>
            <w:r>
              <w:rPr>
                <w:noProof/>
                <w:webHidden/>
              </w:rPr>
            </w:r>
            <w:r>
              <w:rPr>
                <w:noProof/>
                <w:webHidden/>
              </w:rPr>
              <w:fldChar w:fldCharType="separate"/>
            </w:r>
            <w:r>
              <w:rPr>
                <w:noProof/>
                <w:webHidden/>
              </w:rPr>
              <w:t>12</w:t>
            </w:r>
            <w:r>
              <w:rPr>
                <w:noProof/>
                <w:webHidden/>
              </w:rPr>
              <w:fldChar w:fldCharType="end"/>
            </w:r>
          </w:hyperlink>
        </w:p>
        <w:p w14:paraId="03F983DC" w14:textId="12DB1F8E" w:rsidR="006362F4" w:rsidRDefault="006362F4">
          <w:pPr>
            <w:pStyle w:val="TOC2"/>
            <w:tabs>
              <w:tab w:val="right" w:leader="dot" w:pos="9350"/>
            </w:tabs>
            <w:rPr>
              <w:noProof/>
            </w:rPr>
          </w:pPr>
          <w:hyperlink w:anchor="_Toc212826894" w:history="1">
            <w:r w:rsidRPr="00A01EF0">
              <w:rPr>
                <w:rStyle w:val="Hyperlink"/>
                <w:noProof/>
              </w:rPr>
              <w:t>8. References</w:t>
            </w:r>
            <w:r>
              <w:rPr>
                <w:noProof/>
                <w:webHidden/>
              </w:rPr>
              <w:tab/>
            </w:r>
            <w:r>
              <w:rPr>
                <w:noProof/>
                <w:webHidden/>
              </w:rPr>
              <w:fldChar w:fldCharType="begin"/>
            </w:r>
            <w:r>
              <w:rPr>
                <w:noProof/>
                <w:webHidden/>
              </w:rPr>
              <w:instrText xml:space="preserve"> PAGEREF _Toc212826894 \h </w:instrText>
            </w:r>
            <w:r>
              <w:rPr>
                <w:noProof/>
                <w:webHidden/>
              </w:rPr>
            </w:r>
            <w:r>
              <w:rPr>
                <w:noProof/>
                <w:webHidden/>
              </w:rPr>
              <w:fldChar w:fldCharType="separate"/>
            </w:r>
            <w:r>
              <w:rPr>
                <w:noProof/>
                <w:webHidden/>
              </w:rPr>
              <w:t>13</w:t>
            </w:r>
            <w:r>
              <w:rPr>
                <w:noProof/>
                <w:webHidden/>
              </w:rPr>
              <w:fldChar w:fldCharType="end"/>
            </w:r>
          </w:hyperlink>
        </w:p>
        <w:p w14:paraId="5C09BB81" w14:textId="7B564806" w:rsidR="006362F4" w:rsidRDefault="006362F4">
          <w:r>
            <w:rPr>
              <w:b/>
              <w:bCs/>
              <w:noProof/>
            </w:rPr>
            <w:fldChar w:fldCharType="end"/>
          </w:r>
        </w:p>
      </w:sdtContent>
    </w:sdt>
    <w:p w14:paraId="00000001" w14:textId="167AF590" w:rsidR="00E63A8D" w:rsidRDefault="00000000">
      <w:pPr>
        <w:jc w:val="center"/>
        <w:rPr>
          <w:b/>
          <w:sz w:val="32"/>
          <w:szCs w:val="32"/>
        </w:rPr>
      </w:pPr>
      <w:r>
        <w:br w:type="page"/>
      </w:r>
    </w:p>
    <w:p w14:paraId="00000002" w14:textId="77777777" w:rsidR="00E63A8D" w:rsidRDefault="00000000">
      <w:pPr>
        <w:pStyle w:val="Heading1"/>
      </w:pPr>
      <w:bookmarkStart w:id="0" w:name="_qmkjqupx3ugf" w:colFirst="0" w:colLast="0"/>
      <w:bookmarkStart w:id="1" w:name="_Toc212826879"/>
      <w:bookmarkEnd w:id="0"/>
      <w:r>
        <w:lastRenderedPageBreak/>
        <w:t>Part A: Poster</w:t>
      </w:r>
      <w:bookmarkEnd w:id="1"/>
    </w:p>
    <w:p w14:paraId="00000003" w14:textId="77777777" w:rsidR="00E63A8D" w:rsidRDefault="00000000">
      <w:pPr>
        <w:pStyle w:val="Heading2"/>
      </w:pPr>
      <w:bookmarkStart w:id="2" w:name="_vzpu71xhqa3j" w:colFirst="0" w:colLast="0"/>
      <w:bookmarkStart w:id="3" w:name="_Toc212826880"/>
      <w:bookmarkEnd w:id="2"/>
      <w:r>
        <w:t>1. Empowering Older Adults: Promoting Independence, Functional Ability, and Choice in the UK</w:t>
      </w:r>
      <w:bookmarkEnd w:id="3"/>
    </w:p>
    <w:p w14:paraId="00000004" w14:textId="77777777" w:rsidR="00E63A8D" w:rsidRDefault="00000000">
      <w:pPr>
        <w:numPr>
          <w:ilvl w:val="0"/>
          <w:numId w:val="2"/>
        </w:numPr>
      </w:pPr>
      <w:r>
        <w:t>The focus of empowerment of older adults is functional ability, independence and freedom of choice in the care environments (Barnett and Sayer, 2022).</w:t>
      </w:r>
    </w:p>
    <w:p w14:paraId="00000005" w14:textId="77777777" w:rsidR="00E63A8D" w:rsidRDefault="00000000">
      <w:pPr>
        <w:numPr>
          <w:ilvl w:val="0"/>
          <w:numId w:val="2"/>
        </w:numPr>
      </w:pPr>
      <w:r>
        <w:t xml:space="preserve">According to the World Health </w:t>
      </w:r>
      <w:proofErr w:type="spellStart"/>
      <w:r>
        <w:t>Organisation</w:t>
      </w:r>
      <w:proofErr w:type="spellEnd"/>
      <w:r>
        <w:t xml:space="preserve"> (WHO, 2023), the concept of healthy ageing implies the development and maintenance of functional ability, which can ensure well-being in older age.</w:t>
      </w:r>
    </w:p>
    <w:p w14:paraId="00000006" w14:textId="77777777" w:rsidR="00E63A8D" w:rsidRDefault="00000000">
      <w:pPr>
        <w:numPr>
          <w:ilvl w:val="0"/>
          <w:numId w:val="2"/>
        </w:numPr>
      </w:pPr>
      <w:r>
        <w:t>The population of adults aged 65 and older constitutes 19 per cent of the population in the UK (ONS, 2024), which will increase to 25 per cent by 2050.</w:t>
      </w:r>
    </w:p>
    <w:p w14:paraId="00000007" w14:textId="77777777" w:rsidR="00E63A8D" w:rsidRDefault="00000000">
      <w:pPr>
        <w:numPr>
          <w:ilvl w:val="0"/>
          <w:numId w:val="2"/>
        </w:numPr>
      </w:pPr>
      <w:r>
        <w:t xml:space="preserve">The ageing populations drive a necessity for sustainable </w:t>
      </w:r>
      <w:proofErr w:type="gramStart"/>
      <w:r>
        <w:t>models of care</w:t>
      </w:r>
      <w:proofErr w:type="gramEnd"/>
      <w:r>
        <w:t xml:space="preserve"> models which give priority to autonomy, respect, and participation (Ahmad and Rana, 2022).</w:t>
      </w:r>
    </w:p>
    <w:p w14:paraId="00000008" w14:textId="77777777" w:rsidR="00E63A8D" w:rsidRDefault="00000000">
      <w:pPr>
        <w:numPr>
          <w:ilvl w:val="0"/>
          <w:numId w:val="2"/>
        </w:numPr>
      </w:pPr>
      <w:r>
        <w:t>Empowerment helps the older adults to make wise choices concerning their care, avoid dependence and encourage dignity.</w:t>
      </w:r>
    </w:p>
    <w:p w14:paraId="00000009" w14:textId="77777777" w:rsidR="00E63A8D" w:rsidRDefault="00000000">
      <w:pPr>
        <w:numPr>
          <w:ilvl w:val="0"/>
          <w:numId w:val="2"/>
        </w:numPr>
      </w:pPr>
      <w:r>
        <w:t>The empowerment model encompasses engagement, authority, sense of self-efficacy, and access to health and wellbeing enabling services (Bailey and Harris, 2021).</w:t>
      </w:r>
    </w:p>
    <w:p w14:paraId="0000000A" w14:textId="77777777" w:rsidR="00E63A8D" w:rsidRDefault="00000000">
      <w:pPr>
        <w:numPr>
          <w:ilvl w:val="0"/>
          <w:numId w:val="2"/>
        </w:numPr>
      </w:pPr>
      <w:r>
        <w:t>This poster critically analyses the needs of empowerment, challenges, and effective interventions to empower the older adults in the UK.</w:t>
      </w:r>
    </w:p>
    <w:p w14:paraId="0000000B" w14:textId="77777777" w:rsidR="00E63A8D" w:rsidRDefault="00000000">
      <w:pPr>
        <w:pStyle w:val="Heading2"/>
      </w:pPr>
      <w:bookmarkStart w:id="4" w:name="_e7s3r4zg6mz" w:colFirst="0" w:colLast="0"/>
      <w:bookmarkStart w:id="5" w:name="_Toc212826881"/>
      <w:bookmarkEnd w:id="4"/>
      <w:r>
        <w:t>2. Challenges Faced by Older Adults in Maintaining Independence and Functional Ability</w:t>
      </w:r>
      <w:bookmarkEnd w:id="5"/>
    </w:p>
    <w:p w14:paraId="0000000C" w14:textId="77777777" w:rsidR="00E63A8D" w:rsidRDefault="00000000">
      <w:pPr>
        <w:numPr>
          <w:ilvl w:val="0"/>
          <w:numId w:val="1"/>
        </w:numPr>
      </w:pPr>
      <w:r>
        <w:t>Physical Decline: Ageing effects, which include loss of muscle strength, balance and mobility, result in decreased independence and functioning. Of those aged above 75, approximately 40 per cent of the population have mobility problems (Age UK, 2023).</w:t>
      </w:r>
    </w:p>
    <w:p w14:paraId="0000000D" w14:textId="77777777" w:rsidR="00E63A8D" w:rsidRDefault="00000000">
      <w:pPr>
        <w:numPr>
          <w:ilvl w:val="0"/>
          <w:numId w:val="1"/>
        </w:numPr>
      </w:pPr>
      <w:r>
        <w:t>Chronic Diseases: There are numerous chronic diseases, like cardiovascular diseases, dementia, and arthritis, that decrease self-managing capacity and dependency.</w:t>
      </w:r>
    </w:p>
    <w:p w14:paraId="0000000E" w14:textId="77777777" w:rsidR="00E63A8D" w:rsidRDefault="00000000">
      <w:pPr>
        <w:numPr>
          <w:ilvl w:val="0"/>
          <w:numId w:val="1"/>
        </w:numPr>
      </w:pPr>
      <w:r>
        <w:t xml:space="preserve">Mental Health Issues: Loneliness, anxiety, and depression are common </w:t>
      </w:r>
      <w:proofErr w:type="gramStart"/>
      <w:r>
        <w:t>as a result of</w:t>
      </w:r>
      <w:proofErr w:type="gramEnd"/>
      <w:r>
        <w:t xml:space="preserve"> social </w:t>
      </w:r>
      <w:proofErr w:type="spellStart"/>
      <w:proofErr w:type="gramStart"/>
      <w:r>
        <w:t>isolatio,n</w:t>
      </w:r>
      <w:proofErr w:type="spellEnd"/>
      <w:proofErr w:type="gramEnd"/>
      <w:r>
        <w:t xml:space="preserve"> particularly in people living singly or in residential homes (Carter, 2021).</w:t>
      </w:r>
    </w:p>
    <w:p w14:paraId="0000000F" w14:textId="77777777" w:rsidR="00E63A8D" w:rsidRDefault="00000000">
      <w:pPr>
        <w:numPr>
          <w:ilvl w:val="0"/>
          <w:numId w:val="1"/>
        </w:numPr>
      </w:pPr>
      <w:r>
        <w:t>Digital Exclusion: Inability to access internet-based health services, telemedicine, and other digital communication tools due to technological illiteracy limits interaction with the modern care systems.</w:t>
      </w:r>
    </w:p>
    <w:p w14:paraId="00000010" w14:textId="77777777" w:rsidR="00E63A8D" w:rsidRDefault="00000000">
      <w:pPr>
        <w:numPr>
          <w:ilvl w:val="0"/>
          <w:numId w:val="1"/>
        </w:numPr>
      </w:pPr>
      <w:r>
        <w:lastRenderedPageBreak/>
        <w:t>Social Economic Barriers: Housing and Low Income: Low income and poor housing conditions lead to poor nutrition, inactivity and health disparities among the elderly (Collins and Taylor, 2023).</w:t>
      </w:r>
    </w:p>
    <w:p w14:paraId="00000011" w14:textId="77777777" w:rsidR="00E63A8D" w:rsidRDefault="00000000">
      <w:pPr>
        <w:numPr>
          <w:ilvl w:val="0"/>
          <w:numId w:val="1"/>
        </w:numPr>
      </w:pPr>
      <w:r>
        <w:t>Limitations in care Systems: The quality of the care is inhibited by a shortage of people to provide, irregular personal-</w:t>
      </w:r>
      <w:proofErr w:type="spellStart"/>
      <w:r>
        <w:t>centred</w:t>
      </w:r>
      <w:proofErr w:type="spellEnd"/>
      <w:r>
        <w:t xml:space="preserve"> care, lack of home-care funding, and an inconsistent system.</w:t>
      </w:r>
    </w:p>
    <w:p w14:paraId="00000012" w14:textId="77777777" w:rsidR="00E63A8D" w:rsidRDefault="00000000">
      <w:pPr>
        <w:numPr>
          <w:ilvl w:val="0"/>
          <w:numId w:val="1"/>
        </w:numPr>
      </w:pPr>
      <w:r>
        <w:t>Cultural and Ethical Issues: There are some older adults who feel fear of losing their independence or their dignity during the transition to supported living, which affects their emotional state (Douglas and Peters, 2022).</w:t>
      </w:r>
    </w:p>
    <w:p w14:paraId="00000013" w14:textId="77777777" w:rsidR="00E63A8D" w:rsidRDefault="00000000">
      <w:pPr>
        <w:numPr>
          <w:ilvl w:val="0"/>
          <w:numId w:val="1"/>
        </w:numPr>
      </w:pPr>
      <w:r>
        <w:t>Gender and Inequality in Diversity: Women and ethnic minority seniors are also more discriminated against in access to care and service design.</w:t>
      </w:r>
    </w:p>
    <w:p w14:paraId="00000014" w14:textId="77777777" w:rsidR="00E63A8D" w:rsidRDefault="00000000">
      <w:pPr>
        <w:numPr>
          <w:ilvl w:val="0"/>
          <w:numId w:val="1"/>
        </w:numPr>
      </w:pPr>
      <w:r>
        <w:t>The solution to these barriers is holistic, focusing on healthcare, community support, and policy-based empowerment interventions.</w:t>
      </w:r>
    </w:p>
    <w:p w14:paraId="00000015" w14:textId="77777777" w:rsidR="00E63A8D" w:rsidRDefault="00000000">
      <w:pPr>
        <w:pStyle w:val="Heading2"/>
      </w:pPr>
      <w:bookmarkStart w:id="6" w:name="_m3kr67jzj6kk" w:colFirst="0" w:colLast="0"/>
      <w:bookmarkStart w:id="7" w:name="_Toc212826882"/>
      <w:bookmarkEnd w:id="6"/>
      <w:r>
        <w:t>3. Effectiveness and Benefits of Approaches and Interventions in the UK</w:t>
      </w:r>
      <w:bookmarkEnd w:id="7"/>
    </w:p>
    <w:p w14:paraId="00000016" w14:textId="77777777" w:rsidR="00E63A8D" w:rsidRDefault="00000000">
      <w:pPr>
        <w:numPr>
          <w:ilvl w:val="0"/>
          <w:numId w:val="4"/>
        </w:numPr>
      </w:pPr>
      <w:r>
        <w:t>Person-</w:t>
      </w:r>
      <w:proofErr w:type="spellStart"/>
      <w:r>
        <w:t>Centred</w:t>
      </w:r>
      <w:proofErr w:type="spellEnd"/>
      <w:r>
        <w:t xml:space="preserve"> Care Approach: This method encourages the collaboration of caregivers with older adults and facilitates choice and autonomy (NICE, 2022). It </w:t>
      </w:r>
      <w:proofErr w:type="spellStart"/>
      <w:r>
        <w:t>emphasises</w:t>
      </w:r>
      <w:proofErr w:type="spellEnd"/>
      <w:r>
        <w:t xml:space="preserve"> personal preferences, cultural sensitivity, and involvement in the decision-making process (Green and Bell, 2022).</w:t>
      </w:r>
    </w:p>
    <w:p w14:paraId="00000017" w14:textId="77777777" w:rsidR="00E63A8D" w:rsidRDefault="00000000">
      <w:pPr>
        <w:numPr>
          <w:ilvl w:val="0"/>
          <w:numId w:val="4"/>
        </w:numPr>
      </w:pPr>
      <w:proofErr w:type="spellStart"/>
      <w:r>
        <w:t>Reablement</w:t>
      </w:r>
      <w:proofErr w:type="spellEnd"/>
      <w:r>
        <w:t xml:space="preserve"> Services: Short home-based </w:t>
      </w:r>
      <w:proofErr w:type="spellStart"/>
      <w:r>
        <w:t>programmes</w:t>
      </w:r>
      <w:proofErr w:type="spellEnd"/>
      <w:r>
        <w:t xml:space="preserve"> that assist people to resume their normal lives following discharge from the hospital. It has been demonstrated to lower the cost of long-term care and hospital </w:t>
      </w:r>
      <w:proofErr w:type="gramStart"/>
      <w:r>
        <w:t>readmissions</w:t>
      </w:r>
      <w:proofErr w:type="gramEnd"/>
      <w:r>
        <w:t>.</w:t>
      </w:r>
    </w:p>
    <w:p w14:paraId="00000018" w14:textId="77777777" w:rsidR="00E63A8D" w:rsidRDefault="00000000">
      <w:pPr>
        <w:numPr>
          <w:ilvl w:val="0"/>
          <w:numId w:val="4"/>
        </w:numPr>
      </w:pPr>
      <w:r>
        <w:t>Assistive Technology: Fall detectors, smart home devices and telehealth systems can help individuals to be more confident and independent by enhancing their safety and self-monitoring (Johnson and Walker, 2023).</w:t>
      </w:r>
    </w:p>
    <w:p w14:paraId="00000019" w14:textId="77777777" w:rsidR="00E63A8D" w:rsidRDefault="00000000">
      <w:pPr>
        <w:numPr>
          <w:ilvl w:val="0"/>
          <w:numId w:val="4"/>
        </w:numPr>
      </w:pPr>
      <w:r>
        <w:t>Community-Based Support: Programs such as Ageing Better UK and Silver Line Helpline help to encourage social inclusion and emotional support.</w:t>
      </w:r>
    </w:p>
    <w:p w14:paraId="0000001A" w14:textId="77777777" w:rsidR="00E63A8D" w:rsidRDefault="00000000">
      <w:pPr>
        <w:numPr>
          <w:ilvl w:val="0"/>
          <w:numId w:val="4"/>
        </w:numPr>
      </w:pPr>
      <w:r>
        <w:t xml:space="preserve">Policy Frameworks: The Care Act 2014 also ascertains that the well-being and independence of adults is at the </w:t>
      </w:r>
      <w:proofErr w:type="spellStart"/>
      <w:r>
        <w:t>centre</w:t>
      </w:r>
      <w:proofErr w:type="spellEnd"/>
      <w:r>
        <w:t xml:space="preserve"> of service delivery, which </w:t>
      </w:r>
      <w:proofErr w:type="spellStart"/>
      <w:r>
        <w:t>favours</w:t>
      </w:r>
      <w:proofErr w:type="spellEnd"/>
      <w:r>
        <w:t xml:space="preserve"> personal control of the support plans (Lewis and Hall, 2021).</w:t>
      </w:r>
    </w:p>
    <w:p w14:paraId="0000001B" w14:textId="77777777" w:rsidR="00E63A8D" w:rsidRDefault="00000000">
      <w:pPr>
        <w:numPr>
          <w:ilvl w:val="0"/>
          <w:numId w:val="4"/>
        </w:numPr>
      </w:pPr>
      <w:r>
        <w:lastRenderedPageBreak/>
        <w:t>NHS Long Term Plan (2019): Advocates. The proposal combined integrated care systems and digital innovation to meet the needs of the ageing population by engaging proactively and supporting them at the community level (Lloyd and Payne, 2023).</w:t>
      </w:r>
    </w:p>
    <w:p w14:paraId="0000001C" w14:textId="77777777" w:rsidR="00E63A8D" w:rsidRDefault="00000000">
      <w:pPr>
        <w:numPr>
          <w:ilvl w:val="0"/>
          <w:numId w:val="4"/>
        </w:numPr>
      </w:pPr>
      <w:r>
        <w:t>There are 2 Theoretical Perspectives:</w:t>
      </w:r>
    </w:p>
    <w:p w14:paraId="0000001D" w14:textId="77777777" w:rsidR="00E63A8D" w:rsidRDefault="00000000">
      <w:pPr>
        <w:numPr>
          <w:ilvl w:val="0"/>
          <w:numId w:val="7"/>
        </w:numPr>
      </w:pPr>
      <w:r>
        <w:t>Maslow's Hierarchy of Needs: Emphasis on the ability to satisfy physiological, safety, and social needs results in self-esteem and self-</w:t>
      </w:r>
      <w:proofErr w:type="spellStart"/>
      <w:r>
        <w:t>actualisation</w:t>
      </w:r>
      <w:proofErr w:type="spellEnd"/>
      <w:r>
        <w:t>, which is fundamental in the process of empowerment during old age.</w:t>
      </w:r>
    </w:p>
    <w:p w14:paraId="0000001E" w14:textId="77777777" w:rsidR="00E63A8D" w:rsidRDefault="00000000">
      <w:pPr>
        <w:numPr>
          <w:ilvl w:val="0"/>
          <w:numId w:val="7"/>
        </w:numPr>
      </w:pPr>
      <w:r>
        <w:t>Erikson's Psychosocial Theory (Stage 8- Integrity vs. Despair): According to Erikson, older adults gain greater empowerment in life as they look back at the accomplishments in their lives, which brings about positive influences in their lives and the need to stay purposeful through ongoing involvement (Smith and Harris, 2023).</w:t>
      </w:r>
    </w:p>
    <w:p w14:paraId="0000001F" w14:textId="77777777" w:rsidR="00E63A8D" w:rsidRDefault="00000000">
      <w:pPr>
        <w:numPr>
          <w:ilvl w:val="0"/>
          <w:numId w:val="3"/>
        </w:numPr>
      </w:pPr>
      <w:r>
        <w:t>Health Promotion Strategies: Promote physical exercise, healthy eating and mental stimulation by local wellbeing services such as Active Ageing UK and Healthy Later Life.</w:t>
      </w:r>
    </w:p>
    <w:p w14:paraId="00000020" w14:textId="77777777" w:rsidR="00E63A8D" w:rsidRDefault="00000000">
      <w:pPr>
        <w:numPr>
          <w:ilvl w:val="0"/>
          <w:numId w:val="3"/>
        </w:numPr>
      </w:pPr>
      <w:r>
        <w:t>Family and Community: Family intervention enhances emotional security and supplements formal care interventions (Taylor and Cooper, 2022).</w:t>
      </w:r>
    </w:p>
    <w:p w14:paraId="00000021" w14:textId="77777777" w:rsidR="00E63A8D" w:rsidRDefault="00000000">
      <w:pPr>
        <w:pStyle w:val="Heading2"/>
      </w:pPr>
      <w:bookmarkStart w:id="8" w:name="_irr2m1jwnm3a" w:colFirst="0" w:colLast="0"/>
      <w:bookmarkStart w:id="9" w:name="_Toc212826883"/>
      <w:bookmarkEnd w:id="8"/>
      <w:r>
        <w:t>4. Recommendations for Improving Services to Empower Older People</w:t>
      </w:r>
      <w:bookmarkEnd w:id="9"/>
    </w:p>
    <w:p w14:paraId="00000022" w14:textId="77777777" w:rsidR="00E63A8D" w:rsidRDefault="00000000">
      <w:pPr>
        <w:numPr>
          <w:ilvl w:val="0"/>
          <w:numId w:val="5"/>
        </w:numPr>
      </w:pPr>
      <w:r>
        <w:t xml:space="preserve">Increase Investment in Domiciliary Services: Invest more in domiciliary services so that ageing in place can be made possible and institutional dependency </w:t>
      </w:r>
      <w:proofErr w:type="spellStart"/>
      <w:r>
        <w:t>minimised</w:t>
      </w:r>
      <w:proofErr w:type="spellEnd"/>
      <w:r>
        <w:t>.</w:t>
      </w:r>
    </w:p>
    <w:p w14:paraId="00000023" w14:textId="77777777" w:rsidR="00E63A8D" w:rsidRDefault="00000000">
      <w:pPr>
        <w:numPr>
          <w:ilvl w:val="0"/>
          <w:numId w:val="5"/>
        </w:numPr>
      </w:pPr>
      <w:r>
        <w:t>Increase Digital Inclusion Programs: Delivering digital training programs and free devices available to older adults so that they can use online health services and social networks (Douglas and Peters, 2022).</w:t>
      </w:r>
    </w:p>
    <w:p w14:paraId="00000024" w14:textId="77777777" w:rsidR="00E63A8D" w:rsidRDefault="00000000">
      <w:pPr>
        <w:numPr>
          <w:ilvl w:val="0"/>
          <w:numId w:val="5"/>
        </w:numPr>
      </w:pPr>
      <w:r>
        <w:t>Introduce Co-Design Approaches: Incorporate older adults in the planning, designing and assessment of services so that they can match lived experiences and personal beliefs.</w:t>
      </w:r>
    </w:p>
    <w:p w14:paraId="00000025" w14:textId="77777777" w:rsidR="00E63A8D" w:rsidRDefault="00000000">
      <w:pPr>
        <w:numPr>
          <w:ilvl w:val="0"/>
          <w:numId w:val="5"/>
        </w:numPr>
      </w:pPr>
      <w:r>
        <w:t xml:space="preserve">Encourage Lifelong Learning and Volunteering: Help retirees stay well and active by encouraging the educational </w:t>
      </w:r>
      <w:proofErr w:type="spellStart"/>
      <w:r>
        <w:t>programmes</w:t>
      </w:r>
      <w:proofErr w:type="spellEnd"/>
      <w:r>
        <w:t xml:space="preserve"> and volunteer roles.</w:t>
      </w:r>
    </w:p>
    <w:p w14:paraId="00000026" w14:textId="77777777" w:rsidR="00E63A8D" w:rsidRDefault="00000000">
      <w:pPr>
        <w:numPr>
          <w:ilvl w:val="0"/>
          <w:numId w:val="5"/>
        </w:numPr>
      </w:pPr>
      <w:r>
        <w:t>Improve Workforce Education: Prepare the caregivers by providing them with skills in communication, empathy, and cultural competence to provide person-</w:t>
      </w:r>
      <w:proofErr w:type="spellStart"/>
      <w:r>
        <w:t>centred</w:t>
      </w:r>
      <w:proofErr w:type="spellEnd"/>
      <w:r>
        <w:t xml:space="preserve"> and respectful care (Lewis and Hall, 2021).</w:t>
      </w:r>
    </w:p>
    <w:p w14:paraId="00000027" w14:textId="77777777" w:rsidR="00E63A8D" w:rsidRDefault="00000000">
      <w:pPr>
        <w:numPr>
          <w:ilvl w:val="0"/>
          <w:numId w:val="5"/>
        </w:numPr>
      </w:pPr>
      <w:r>
        <w:t>Enhance health and social care integration: Work to integrate NHS, councils and charities to improve service delivery and eliminate service fragmentation.</w:t>
      </w:r>
    </w:p>
    <w:p w14:paraId="00000028" w14:textId="77777777" w:rsidR="00E63A8D" w:rsidRDefault="00000000">
      <w:pPr>
        <w:numPr>
          <w:ilvl w:val="0"/>
          <w:numId w:val="5"/>
        </w:numPr>
      </w:pPr>
      <w:r>
        <w:lastRenderedPageBreak/>
        <w:t xml:space="preserve">Increase the </w:t>
      </w:r>
      <w:proofErr w:type="spellStart"/>
      <w:r>
        <w:t>utilisation</w:t>
      </w:r>
      <w:proofErr w:type="spellEnd"/>
      <w:r>
        <w:t xml:space="preserve"> of Assistive Technologies: </w:t>
      </w:r>
      <w:proofErr w:type="spellStart"/>
      <w:r>
        <w:t>Subsidise</w:t>
      </w:r>
      <w:proofErr w:type="spellEnd"/>
      <w:r>
        <w:t xml:space="preserve"> access to other devices such as mobility trackers, smart alarms, and telehealth systems among the low-income population (Lloyd and Payne, 2023).</w:t>
      </w:r>
    </w:p>
    <w:p w14:paraId="00000029" w14:textId="77777777" w:rsidR="00E63A8D" w:rsidRDefault="00000000">
      <w:pPr>
        <w:numPr>
          <w:ilvl w:val="0"/>
          <w:numId w:val="5"/>
        </w:numPr>
      </w:pPr>
      <w:r>
        <w:t>Attend to Mental Health Support: Build available counselling and group therapy programs to address loneliness and emotional distress.</w:t>
      </w:r>
    </w:p>
    <w:p w14:paraId="0000002A" w14:textId="77777777" w:rsidR="00E63A8D" w:rsidRDefault="00000000">
      <w:pPr>
        <w:numPr>
          <w:ilvl w:val="0"/>
          <w:numId w:val="5"/>
        </w:numPr>
      </w:pPr>
      <w:r>
        <w:t>Foster Non-discriminatory Policies: All empowerment efforts should be conducted to tackle gender, ethnic, and disability disparities in older adult care.</w:t>
      </w:r>
    </w:p>
    <w:p w14:paraId="0000002B" w14:textId="77777777" w:rsidR="00E63A8D" w:rsidRDefault="00000000">
      <w:pPr>
        <w:pStyle w:val="Heading2"/>
      </w:pPr>
      <w:bookmarkStart w:id="10" w:name="_leegv7lni26e" w:colFirst="0" w:colLast="0"/>
      <w:bookmarkStart w:id="11" w:name="_Toc212826884"/>
      <w:bookmarkEnd w:id="10"/>
      <w:r>
        <w:t>5. Conclusion</w:t>
      </w:r>
      <w:bookmarkEnd w:id="11"/>
    </w:p>
    <w:p w14:paraId="0000002C" w14:textId="77777777" w:rsidR="00E63A8D" w:rsidRDefault="00000000">
      <w:pPr>
        <w:numPr>
          <w:ilvl w:val="0"/>
          <w:numId w:val="6"/>
        </w:numPr>
      </w:pPr>
      <w:r>
        <w:t>The ability of older adults to be empowered is key to person-</w:t>
      </w:r>
      <w:proofErr w:type="spellStart"/>
      <w:r>
        <w:t>centred</w:t>
      </w:r>
      <w:proofErr w:type="spellEnd"/>
      <w:r>
        <w:t xml:space="preserve"> and sustainable health and social care in the UK.</w:t>
      </w:r>
    </w:p>
    <w:p w14:paraId="0000002D" w14:textId="77777777" w:rsidR="00E63A8D" w:rsidRDefault="00000000">
      <w:pPr>
        <w:numPr>
          <w:ilvl w:val="0"/>
          <w:numId w:val="6"/>
        </w:numPr>
      </w:pPr>
      <w:r>
        <w:t>Efficient empowerment ensures functional capability, autonomy and wellbeing based on supportive and inclusive practices.</w:t>
      </w:r>
    </w:p>
    <w:p w14:paraId="0000002E" w14:textId="77777777" w:rsidR="00E63A8D" w:rsidRDefault="00000000">
      <w:pPr>
        <w:numPr>
          <w:ilvl w:val="0"/>
          <w:numId w:val="6"/>
        </w:numPr>
      </w:pPr>
      <w:r>
        <w:t>Legislation such as the Care Act (2014) and the NHS Long Term Plan (2019) give person-</w:t>
      </w:r>
      <w:proofErr w:type="spellStart"/>
      <w:r>
        <w:t>centred</w:t>
      </w:r>
      <w:proofErr w:type="spellEnd"/>
      <w:r>
        <w:t xml:space="preserve"> care delivery and integrated care delivery the legislative basis.</w:t>
      </w:r>
    </w:p>
    <w:p w14:paraId="0000002F" w14:textId="77777777" w:rsidR="00E63A8D" w:rsidRDefault="00000000">
      <w:pPr>
        <w:numPr>
          <w:ilvl w:val="0"/>
          <w:numId w:val="6"/>
        </w:numPr>
      </w:pPr>
      <w:r>
        <w:t>It has been demonstrated that community involvement, use of technology and emotional support are crucial towards enhancing independence and quality of life.</w:t>
      </w:r>
    </w:p>
    <w:p w14:paraId="00000030" w14:textId="77777777" w:rsidR="00E63A8D" w:rsidRDefault="00000000">
      <w:pPr>
        <w:numPr>
          <w:ilvl w:val="0"/>
          <w:numId w:val="6"/>
        </w:numPr>
      </w:pPr>
      <w:r>
        <w:t>The use of theories like Maslow's and Erikson would assist the practitioners to comprehend the motivational and psychosocial needs during the later years in life.</w:t>
      </w:r>
    </w:p>
    <w:p w14:paraId="00000031" w14:textId="77777777" w:rsidR="00E63A8D" w:rsidRDefault="00000000">
      <w:pPr>
        <w:numPr>
          <w:ilvl w:val="0"/>
          <w:numId w:val="6"/>
        </w:numPr>
      </w:pPr>
      <w:r>
        <w:t xml:space="preserve">Inclusion, innovation, and resilience are needed in future empowerment strategies </w:t>
      </w:r>
      <w:proofErr w:type="gramStart"/>
      <w:r>
        <w:t>in order to</w:t>
      </w:r>
      <w:proofErr w:type="gramEnd"/>
      <w:r>
        <w:t xml:space="preserve"> ensure that all older people are dignified, choose and independent.</w:t>
      </w:r>
    </w:p>
    <w:p w14:paraId="00000032" w14:textId="77777777" w:rsidR="00E63A8D" w:rsidRDefault="00000000">
      <w:pPr>
        <w:numPr>
          <w:ilvl w:val="0"/>
          <w:numId w:val="6"/>
        </w:numPr>
      </w:pPr>
      <w:r>
        <w:t>Empowering care can change the ageing experience through embracing collaborative partnerships, which will enhance equality and wellbeing among UK communities.</w:t>
      </w:r>
    </w:p>
    <w:p w14:paraId="00000033" w14:textId="77777777" w:rsidR="00E63A8D" w:rsidRDefault="00000000">
      <w:pPr>
        <w:pStyle w:val="Heading2"/>
      </w:pPr>
      <w:bookmarkStart w:id="12" w:name="_ek6i8wscbh4" w:colFirst="0" w:colLast="0"/>
      <w:bookmarkStart w:id="13" w:name="_Toc212826885"/>
      <w:bookmarkEnd w:id="12"/>
      <w:r>
        <w:t>6. Reference list</w:t>
      </w:r>
      <w:bookmarkEnd w:id="13"/>
    </w:p>
    <w:p w14:paraId="5910DF62" w14:textId="77777777" w:rsidR="006362F4" w:rsidRDefault="006362F4">
      <w:pPr>
        <w:spacing w:before="240" w:after="240"/>
      </w:pPr>
      <w:r>
        <w:t xml:space="preserve">Age UK (2023) </w:t>
      </w:r>
      <w:r>
        <w:rPr>
          <w:i/>
        </w:rPr>
        <w:t>Later Life in the United Kingdom: Factsheet.</w:t>
      </w:r>
      <w:r>
        <w:t xml:space="preserve"> London: Age UK.</w:t>
      </w:r>
    </w:p>
    <w:p w14:paraId="775697D4" w14:textId="77777777" w:rsidR="006362F4" w:rsidRDefault="006362F4">
      <w:pPr>
        <w:spacing w:before="240" w:after="240"/>
      </w:pPr>
      <w:r>
        <w:t xml:space="preserve">Ahmad, A. and Rana, H. (2022) ‘Digital inclusion of older adults: barriers and strategies in social care,’ </w:t>
      </w:r>
      <w:r>
        <w:rPr>
          <w:i/>
        </w:rPr>
        <w:t>Gerontology and Geriatric Medicine,</w:t>
      </w:r>
      <w:r>
        <w:t xml:space="preserve"> 8(4), pp. 45–56.</w:t>
      </w:r>
    </w:p>
    <w:p w14:paraId="500B8910" w14:textId="77777777" w:rsidR="006362F4" w:rsidRDefault="006362F4">
      <w:pPr>
        <w:spacing w:before="240" w:after="240"/>
      </w:pPr>
      <w:r>
        <w:t>Bailey, C. and Harris, J. (2021) ‘</w:t>
      </w:r>
      <w:proofErr w:type="spellStart"/>
      <w:r>
        <w:t>Reablement</w:t>
      </w:r>
      <w:proofErr w:type="spellEnd"/>
      <w:r>
        <w:t xml:space="preserve"> and independence in community care,’ </w:t>
      </w:r>
      <w:r>
        <w:rPr>
          <w:i/>
        </w:rPr>
        <w:t>British Journal of Community Nursing,</w:t>
      </w:r>
      <w:r>
        <w:t xml:space="preserve"> 26(9), pp. 420–428.</w:t>
      </w:r>
      <w:r>
        <w:br/>
      </w:r>
    </w:p>
    <w:p w14:paraId="65961E20" w14:textId="77777777" w:rsidR="006362F4" w:rsidRDefault="006362F4">
      <w:pPr>
        <w:spacing w:before="240" w:after="240"/>
      </w:pPr>
      <w:r>
        <w:lastRenderedPageBreak/>
        <w:t xml:space="preserve">Barnett, K. and Sayer, C. (2022) ‘Empowering older adults through participatory care models,’ </w:t>
      </w:r>
      <w:r>
        <w:rPr>
          <w:i/>
        </w:rPr>
        <w:t>Health and Social Care in the Community,</w:t>
      </w:r>
      <w:r>
        <w:t xml:space="preserve"> 30(2), pp. 612–624.</w:t>
      </w:r>
    </w:p>
    <w:p w14:paraId="4B0EA05E" w14:textId="77777777" w:rsidR="006362F4" w:rsidRDefault="006362F4">
      <w:pPr>
        <w:spacing w:before="240" w:after="240"/>
      </w:pPr>
      <w:r>
        <w:t xml:space="preserve">Carter, L. (2021) ‘Loneliness and digital inequality in later life,’ </w:t>
      </w:r>
      <w:r>
        <w:rPr>
          <w:i/>
        </w:rPr>
        <w:t>Journal of Public Health Research,</w:t>
      </w:r>
      <w:r>
        <w:t xml:space="preserve"> 10(3), pp. 250–261.</w:t>
      </w:r>
    </w:p>
    <w:p w14:paraId="0B2B21D3" w14:textId="77777777" w:rsidR="006362F4" w:rsidRDefault="006362F4">
      <w:pPr>
        <w:spacing w:before="240" w:after="240"/>
      </w:pPr>
      <w:r>
        <w:t xml:space="preserve">Collins, G. and Taylor, M. (2023) ‘Assistive technologies and functional ability among older adults,’ </w:t>
      </w:r>
      <w:r>
        <w:rPr>
          <w:i/>
        </w:rPr>
        <w:t>BMC Geriatrics,</w:t>
      </w:r>
      <w:r>
        <w:t xml:space="preserve"> 23(6), pp. 101–115.</w:t>
      </w:r>
    </w:p>
    <w:p w14:paraId="10BD4FCE" w14:textId="77777777" w:rsidR="006362F4" w:rsidRDefault="006362F4">
      <w:pPr>
        <w:spacing w:before="240" w:after="240"/>
      </w:pPr>
      <w:r>
        <w:t xml:space="preserve">Douglas, S. and Peters, R. (2022) ‘Health inequalities in ageing populations: UK policy implications,’ </w:t>
      </w:r>
      <w:r>
        <w:rPr>
          <w:i/>
        </w:rPr>
        <w:t>Public Health Reviews,</w:t>
      </w:r>
      <w:r>
        <w:t xml:space="preserve"> 43(1), pp. 112–129.</w:t>
      </w:r>
    </w:p>
    <w:p w14:paraId="49AB557F" w14:textId="77777777" w:rsidR="006362F4" w:rsidRDefault="006362F4">
      <w:pPr>
        <w:spacing w:before="240" w:after="240"/>
      </w:pPr>
      <w:r>
        <w:t>Green, J. and Bell, M. (2022) ‘</w:t>
      </w:r>
      <w:proofErr w:type="spellStart"/>
      <w:r>
        <w:t>Reablement</w:t>
      </w:r>
      <w:proofErr w:type="spellEnd"/>
      <w:r>
        <w:t xml:space="preserve"> and independence in older people’s care: outcomes and challenges,’ </w:t>
      </w:r>
      <w:r>
        <w:rPr>
          <w:i/>
        </w:rPr>
        <w:t>Ageing and Society,</w:t>
      </w:r>
      <w:r>
        <w:t xml:space="preserve"> 42(5), pp. 1234–1248.</w:t>
      </w:r>
    </w:p>
    <w:p w14:paraId="4CFBC3CD" w14:textId="77777777" w:rsidR="006362F4" w:rsidRDefault="006362F4">
      <w:pPr>
        <w:spacing w:before="240" w:after="240"/>
      </w:pPr>
      <w:r>
        <w:t>Johnson, P. and Walker, E. (</w:t>
      </w:r>
      <w:proofErr w:type="gramStart"/>
      <w:r>
        <w:t>2023) ‘</w:t>
      </w:r>
      <w:proofErr w:type="gramEnd"/>
      <w:r>
        <w:t xml:space="preserve">Older people’s empowerment and wellbeing in health systems,’ </w:t>
      </w:r>
      <w:r>
        <w:rPr>
          <w:i/>
        </w:rPr>
        <w:t>International Journal of Older People Nursing,</w:t>
      </w:r>
      <w:r>
        <w:t xml:space="preserve"> 18(2), pp. e12513.</w:t>
      </w:r>
    </w:p>
    <w:p w14:paraId="71936111" w14:textId="77777777" w:rsidR="006362F4" w:rsidRDefault="006362F4">
      <w:pPr>
        <w:spacing w:before="240" w:after="240"/>
      </w:pPr>
      <w:r>
        <w:t xml:space="preserve">Kings Fund (2022) </w:t>
      </w:r>
      <w:r>
        <w:rPr>
          <w:i/>
        </w:rPr>
        <w:t>Transforming Care for Older People: Building Integrated Community Support.</w:t>
      </w:r>
      <w:r>
        <w:t xml:space="preserve"> London: The King’s Fund.</w:t>
      </w:r>
    </w:p>
    <w:p w14:paraId="3DFFC1F6" w14:textId="77777777" w:rsidR="006362F4" w:rsidRDefault="006362F4">
      <w:pPr>
        <w:spacing w:before="240" w:after="240"/>
      </w:pPr>
      <w:r>
        <w:t xml:space="preserve">Lewis, R. and Hall, K. (2021) ‘Ageing, dignity, and empowerment: perspectives from social care practice,’ </w:t>
      </w:r>
      <w:r>
        <w:rPr>
          <w:i/>
        </w:rPr>
        <w:t>Quality in Ageing and Older Adults,</w:t>
      </w:r>
      <w:r>
        <w:t xml:space="preserve"> 22(4), pp. 231–243.</w:t>
      </w:r>
    </w:p>
    <w:p w14:paraId="17C0CCB7" w14:textId="77777777" w:rsidR="006362F4" w:rsidRDefault="006362F4">
      <w:pPr>
        <w:spacing w:before="240" w:after="240"/>
      </w:pPr>
      <w:r>
        <w:t xml:space="preserve">Lloyd, T. and Payne, A. (2023) ‘Healthy ageing and autonomy: a UK perspective,’ </w:t>
      </w:r>
      <w:r>
        <w:rPr>
          <w:i/>
        </w:rPr>
        <w:t>Journal of Aging Studies,</w:t>
      </w:r>
      <w:r>
        <w:t xml:space="preserve"> 64(1), pp. 101–113.</w:t>
      </w:r>
    </w:p>
    <w:p w14:paraId="5A7A53DB" w14:textId="77777777" w:rsidR="006362F4" w:rsidRDefault="006362F4">
      <w:pPr>
        <w:spacing w:before="240" w:after="240"/>
      </w:pPr>
      <w:r>
        <w:t xml:space="preserve">Smith, D. and Harris, P. (2023) ‘Empowerment and autonomy in long-term care facilities,’ </w:t>
      </w:r>
      <w:r>
        <w:rPr>
          <w:i/>
        </w:rPr>
        <w:t>Journal of Gerontological Nursing,</w:t>
      </w:r>
      <w:r>
        <w:t xml:space="preserve"> 49(7), pp. 10–18.</w:t>
      </w:r>
    </w:p>
    <w:p w14:paraId="21EFEE6C" w14:textId="77777777" w:rsidR="006362F4" w:rsidRDefault="006362F4">
      <w:pPr>
        <w:spacing w:before="240" w:after="240"/>
      </w:pPr>
      <w:r>
        <w:t xml:space="preserve">Taylor, A. and Cooper, N. (2022) ‘The impact of technology-assisted living on independence in older age,’ </w:t>
      </w:r>
      <w:r>
        <w:rPr>
          <w:i/>
        </w:rPr>
        <w:t>Healthcare Technology Letters,</w:t>
      </w:r>
      <w:r>
        <w:t xml:space="preserve"> 9(5), pp. 159–167.</w:t>
      </w:r>
    </w:p>
    <w:p w14:paraId="00000042" w14:textId="77777777" w:rsidR="00E63A8D" w:rsidRDefault="00E63A8D"/>
    <w:p w14:paraId="00000043" w14:textId="77777777" w:rsidR="00E63A8D" w:rsidRDefault="00E63A8D"/>
    <w:p w14:paraId="00000044" w14:textId="77777777" w:rsidR="00E63A8D" w:rsidRDefault="00E63A8D"/>
    <w:p w14:paraId="00000045" w14:textId="0FAE8487" w:rsidR="00E63A8D" w:rsidRDefault="00E63A8D">
      <w:pPr>
        <w:pStyle w:val="Heading1"/>
      </w:pPr>
      <w:bookmarkStart w:id="14" w:name="_u9n7nzl2fjmv" w:colFirst="0" w:colLast="0"/>
      <w:bookmarkEnd w:id="14"/>
    </w:p>
    <w:p w14:paraId="00000046" w14:textId="77777777" w:rsidR="00E63A8D" w:rsidRDefault="00000000">
      <w:pPr>
        <w:pStyle w:val="Heading1"/>
      </w:pPr>
      <w:bookmarkStart w:id="15" w:name="_tim080qzl94i" w:colFirst="0" w:colLast="0"/>
      <w:bookmarkStart w:id="16" w:name="_Toc212826886"/>
      <w:bookmarkEnd w:id="15"/>
      <w:r>
        <w:t>Part B: Pitch</w:t>
      </w:r>
      <w:bookmarkEnd w:id="16"/>
    </w:p>
    <w:p w14:paraId="00000047" w14:textId="77777777" w:rsidR="00E63A8D" w:rsidRDefault="00000000">
      <w:pPr>
        <w:pStyle w:val="Heading2"/>
      </w:pPr>
      <w:bookmarkStart w:id="17" w:name="_elqo5nj1ph3c" w:colFirst="0" w:colLast="0"/>
      <w:bookmarkStart w:id="18" w:name="_Toc212826887"/>
      <w:bookmarkEnd w:id="17"/>
      <w:r>
        <w:t>1. Introduction</w:t>
      </w:r>
      <w:bookmarkEnd w:id="18"/>
    </w:p>
    <w:p w14:paraId="00000048" w14:textId="77777777" w:rsidR="00E63A8D" w:rsidRDefault="00000000">
      <w:r>
        <w:t xml:space="preserve">This pitch presents </w:t>
      </w:r>
      <w:proofErr w:type="spellStart"/>
      <w:r>
        <w:t>AgeWell</w:t>
      </w:r>
      <w:proofErr w:type="spellEnd"/>
      <w:r>
        <w:t xml:space="preserve"> Connect, a new empowerment program that is expected to improve the functional ability of older adults in the United Kingdom, independence, and well-being. The innovation incorporates assistive technologies, community-based </w:t>
      </w:r>
      <w:proofErr w:type="spellStart"/>
      <w:r>
        <w:t>reablement</w:t>
      </w:r>
      <w:proofErr w:type="spellEnd"/>
      <w:r>
        <w:t xml:space="preserve"> services and online inclusion programs to enhance comprehensive and person-</w:t>
      </w:r>
      <w:proofErr w:type="spellStart"/>
      <w:r>
        <w:t>centred</w:t>
      </w:r>
      <w:proofErr w:type="spellEnd"/>
      <w:r>
        <w:t xml:space="preserve"> support. It is consistent with the Care Act 2014 that </w:t>
      </w:r>
      <w:proofErr w:type="spellStart"/>
      <w:r>
        <w:t>prioritises</w:t>
      </w:r>
      <w:proofErr w:type="spellEnd"/>
      <w:r>
        <w:t xml:space="preserve"> autonomy, choice, and individual wellbeing and the framework of healthy ageing provided by the World Health </w:t>
      </w:r>
      <w:proofErr w:type="spellStart"/>
      <w:r>
        <w:t>Organisation</w:t>
      </w:r>
      <w:proofErr w:type="spellEnd"/>
      <w:r>
        <w:t xml:space="preserve"> (2023), which aims to preserve functional ability and engagement throughout old age. As mature populations are expected to constitute a quarter of the UK population by 2050 with adults aged sixty-five and older anticipated to constitute a quarter of the ageing population (ONS, 2024), the innovation seeks to establish inclusive and digitally empowered spaces to enable older adults to be empowered to make independent, socially engaged and quality of care choices whilst minimizing overdependence on institutional systems of care and maximizing the quality of life and their engagement in community activities among diverse ageing populations.</w:t>
      </w:r>
    </w:p>
    <w:p w14:paraId="00000049" w14:textId="77777777" w:rsidR="00E63A8D" w:rsidRDefault="00000000">
      <w:pPr>
        <w:pStyle w:val="Heading2"/>
      </w:pPr>
      <w:bookmarkStart w:id="19" w:name="_pb9u07htjcxw" w:colFirst="0" w:colLast="0"/>
      <w:bookmarkStart w:id="20" w:name="_Toc212826888"/>
      <w:bookmarkEnd w:id="19"/>
      <w:r>
        <w:t>2. Background and Rationale</w:t>
      </w:r>
      <w:bookmarkEnd w:id="20"/>
    </w:p>
    <w:p w14:paraId="0000004A" w14:textId="77777777" w:rsidR="00E63A8D" w:rsidRDefault="00000000">
      <w:r>
        <w:t xml:space="preserve">The United Kingdom is experiencing an unprecedented demographic change as the ageing population is growing at a high rate. The older adults are faced with various difficulties, such as chronic disease, diminishing mobility, and social isolation, among others, which endanger the capacity of these individuals to live comfortably and independently. Age UK (2023) enumerates the number of older adults staying alone and states that it is about 3.6 million older adults, many of whom complain of loneliness and lack of access to special support services (Allen and Roberts, 2021). Depression and speeding up health deterioration are closely associated with social isolation, and due to the digital divide, many people cannot access online medical services and community services. The NHS Long Term Plan (2019) identifies the value of empowering community-based care and adopting digital health systems to enhance and limit hospital reliance and deliver better results (Baker and Patel, 2022). Nevertheless, there is still a fragmentation of service delivery, which is accompanied by poor financing and disparities in regions. Thus, an innovative and holistic model is in great demand to empower the old people in a sustainable manner. </w:t>
      </w:r>
      <w:proofErr w:type="spellStart"/>
      <w:r>
        <w:t>AgeWell</w:t>
      </w:r>
      <w:proofErr w:type="spellEnd"/>
      <w:r>
        <w:t xml:space="preserve"> Connect was designed to help cover these gaps with the assistance of community engagement, technology, </w:t>
      </w:r>
      <w:r>
        <w:lastRenderedPageBreak/>
        <w:t xml:space="preserve">and education (Barlow and Singh, 2023). This innovation is informed by the fact that the empowerment concept </w:t>
      </w:r>
      <w:proofErr w:type="gramStart"/>
      <w:r>
        <w:t>is based on the assumption</w:t>
      </w:r>
      <w:proofErr w:type="gramEnd"/>
      <w:r>
        <w:t xml:space="preserve"> that it entails self-determination, participation, and access to resources (Chen and Morris, 2023). Older adults will be able to experience dignity, confidence, and purpose, and professionals provide high-quality care in a way that is both efficient, loving, and inclusive by promoting such aspects.</w:t>
      </w:r>
    </w:p>
    <w:p w14:paraId="0000004B" w14:textId="77777777" w:rsidR="00E63A8D" w:rsidRDefault="00000000">
      <w:pPr>
        <w:pStyle w:val="Heading2"/>
      </w:pPr>
      <w:bookmarkStart w:id="21" w:name="_9642v0tnn91p" w:colFirst="0" w:colLast="0"/>
      <w:bookmarkStart w:id="22" w:name="_Toc212826889"/>
      <w:bookmarkEnd w:id="21"/>
      <w:r>
        <w:t>3. Innovation Description</w:t>
      </w:r>
      <w:bookmarkEnd w:id="22"/>
    </w:p>
    <w:p w14:paraId="0000004C" w14:textId="77777777" w:rsidR="00E63A8D" w:rsidRDefault="00000000">
      <w:proofErr w:type="spellStart"/>
      <w:r>
        <w:t>AgeWell</w:t>
      </w:r>
      <w:proofErr w:type="spellEnd"/>
      <w:r>
        <w:t xml:space="preserve"> Connect combines assistive technology, digital literacy education, and pathways of </w:t>
      </w:r>
      <w:proofErr w:type="spellStart"/>
      <w:r>
        <w:t>reablement</w:t>
      </w:r>
      <w:proofErr w:type="spellEnd"/>
      <w:r>
        <w:t xml:space="preserve"> care to enable older adults with a simple, direct-to-access platform. The project integrates both mobile and web applications that connect the users to the healthcare practitioners, the volunteers and family carers and the local networks. It has capabilities of medication alerts, telehealth, social interaction applications, physical exercise, and cognitive health exercises (Freeman and Kent, 2021). A tailor-made empowerment strategy is issued to each user, and it encourages autonomy and self-management of health. Those who are not abreast </w:t>
      </w:r>
      <w:proofErr w:type="gramStart"/>
      <w:r>
        <w:t>with</w:t>
      </w:r>
      <w:proofErr w:type="gramEnd"/>
      <w:r>
        <w:t xml:space="preserve"> technology are assisted by community volunteers </w:t>
      </w:r>
      <w:proofErr w:type="gramStart"/>
      <w:r>
        <w:t>in order to</w:t>
      </w:r>
      <w:proofErr w:type="gramEnd"/>
      <w:r>
        <w:t xml:space="preserve"> be included in the digital environment. The Maslow Hierarchy of Needs (1943) and Erikson's Psychosocial Theory (1997) form the basis of the innovation. The model used by Maslow focuses on satisfying the primary needs </w:t>
      </w:r>
      <w:proofErr w:type="gramStart"/>
      <w:r>
        <w:t>in order to</w:t>
      </w:r>
      <w:proofErr w:type="gramEnd"/>
      <w:r>
        <w:t xml:space="preserve"> attain the esteem and self-</w:t>
      </w:r>
      <w:proofErr w:type="spellStart"/>
      <w:r>
        <w:t>actualisation</w:t>
      </w:r>
      <w:proofErr w:type="spellEnd"/>
      <w:r>
        <w:t xml:space="preserve">, whereas the last life stage developed by Erikson is integrity versus despair, which concentrates on fulfilment and identity in old age (Ghosh and Reeve, 2023). </w:t>
      </w:r>
      <w:proofErr w:type="spellStart"/>
      <w:r>
        <w:t>AgeWell</w:t>
      </w:r>
      <w:proofErr w:type="spellEnd"/>
      <w:r>
        <w:t xml:space="preserve"> Connect is the only psychological empowerment with technological access. It fuses healthcare and social participation by facilitating enduring participation, enhancing resilience, and decreasing isolation using digital and community-based power structures.</w:t>
      </w:r>
    </w:p>
    <w:p w14:paraId="0000004D" w14:textId="77777777" w:rsidR="00E63A8D" w:rsidRDefault="00000000">
      <w:pPr>
        <w:pStyle w:val="Heading2"/>
      </w:pPr>
      <w:bookmarkStart w:id="23" w:name="_yw4nbxbitw8w" w:colFirst="0" w:colLast="0"/>
      <w:bookmarkStart w:id="24" w:name="_Toc212826890"/>
      <w:bookmarkEnd w:id="23"/>
      <w:r>
        <w:t>4. Impact and Benefits</w:t>
      </w:r>
      <w:bookmarkEnd w:id="24"/>
    </w:p>
    <w:p w14:paraId="0000004E" w14:textId="77777777" w:rsidR="00E63A8D" w:rsidRDefault="00000000">
      <w:proofErr w:type="gramStart"/>
      <w:r>
        <w:t>The innovation</w:t>
      </w:r>
      <w:proofErr w:type="gramEnd"/>
      <w:r>
        <w:t xml:space="preserve"> provides systemic and multi-faceted advantages both at the individual level and the systemic level. </w:t>
      </w:r>
      <w:proofErr w:type="spellStart"/>
      <w:r>
        <w:t>AgeWell</w:t>
      </w:r>
      <w:proofErr w:type="spellEnd"/>
      <w:r>
        <w:t xml:space="preserve"> Connect can help older adults build confidence, well-being, and independence by providing easy-to-access, proactive, and self-managed care choices. The users will be able to track their health, participate in </w:t>
      </w:r>
      <w:proofErr w:type="spellStart"/>
      <w:r>
        <w:t>neighbourhood</w:t>
      </w:r>
      <w:proofErr w:type="spellEnd"/>
      <w:r>
        <w:t xml:space="preserve"> networks, and have access to timely professional care. A study by NICE (2022) indicates that </w:t>
      </w:r>
      <w:proofErr w:type="spellStart"/>
      <w:r>
        <w:t>reablement</w:t>
      </w:r>
      <w:proofErr w:type="spellEnd"/>
      <w:r>
        <w:t xml:space="preserve"> services can decrease hospital readmissions by twenty-five per cent, which fits the aim of this model, which is to employ early intervention (Greenhalgh and Papoutsi, 2021). Carers and families can experience less stress due to digital check-in services and emotional support. The platform helps healthcare providers by eliminating superfluous consultations and enhancing evidence-based decision-making (Jones and </w:t>
      </w:r>
      <w:r>
        <w:lastRenderedPageBreak/>
        <w:t xml:space="preserve">Adams, 2022). In the social dimension, it would fight loneliness through building peer connections and enhancing intergenerational communication. At the national level, the initiative contributes to the UK Healthy Ageing Challenge and the UN Decade of Healthy Ageing (20212030), which covers global goals of fair access to health and wellbeing and inclusiveness. </w:t>
      </w:r>
      <w:proofErr w:type="spellStart"/>
      <w:r>
        <w:t>AgeWell</w:t>
      </w:r>
      <w:proofErr w:type="spellEnd"/>
      <w:r>
        <w:t xml:space="preserve"> Connect therefore enhances the incorporation of healthcare innovation, empowerment and sustainable ageing.</w:t>
      </w:r>
    </w:p>
    <w:p w14:paraId="0000004F" w14:textId="77777777" w:rsidR="00E63A8D" w:rsidRDefault="00000000">
      <w:pPr>
        <w:pStyle w:val="Heading2"/>
      </w:pPr>
      <w:bookmarkStart w:id="25" w:name="_j3a6vkk7oalx" w:colFirst="0" w:colLast="0"/>
      <w:bookmarkStart w:id="26" w:name="_Toc212826891"/>
      <w:bookmarkEnd w:id="25"/>
      <w:r>
        <w:t>5. Implementation and Feasibility</w:t>
      </w:r>
      <w:bookmarkEnd w:id="26"/>
    </w:p>
    <w:p w14:paraId="00000050" w14:textId="77777777" w:rsidR="00E63A8D" w:rsidRDefault="00000000">
      <w:r>
        <w:t xml:space="preserve">The implementation plan will be implemented in three phases over three years. Phase one will commence in 2026 and pilot the innovation in Manchester and Birmingham with five hundred participants by working with NHS Trusts, Age UK, and local authorities. Phase two, 2027, will go to rural locations and be aimed at enhancing digital literacy by conducting practical workshops (Marmot and Allen, 2021). The third phase, in 2028, will incorporate </w:t>
      </w:r>
      <w:proofErr w:type="spellStart"/>
      <w:r>
        <w:t>AgeWell</w:t>
      </w:r>
      <w:proofErr w:type="spellEnd"/>
      <w:r>
        <w:t xml:space="preserve"> Connect in the NHS digital care systems across the country. The investment will be based on NHS Digital Transformation Grants, government innovation funding, and partnerships. There is good technical feasibility in the digital infrastructure that exists in the NHS (Oliver and Burns, 2023). The inclusivity will be guaranteed through partnership with local councils, charities, and volunteer </w:t>
      </w:r>
      <w:proofErr w:type="spellStart"/>
      <w:r>
        <w:t>organisations</w:t>
      </w:r>
      <w:proofErr w:type="spellEnd"/>
      <w:r>
        <w:t>. Quality will be ensured through regular audits, user feedback and independent assessments.</w:t>
      </w:r>
    </w:p>
    <w:p w14:paraId="00000051" w14:textId="77777777" w:rsidR="00E63A8D" w:rsidRDefault="00000000">
      <w:pPr>
        <w:pStyle w:val="Heading2"/>
      </w:pPr>
      <w:bookmarkStart w:id="27" w:name="_o45k90hets8x" w:colFirst="0" w:colLast="0"/>
      <w:bookmarkStart w:id="28" w:name="_Toc212826892"/>
      <w:bookmarkEnd w:id="27"/>
      <w:r>
        <w:t>6. Dissemination and Engagement</w:t>
      </w:r>
      <w:bookmarkEnd w:id="28"/>
    </w:p>
    <w:p w14:paraId="00000052" w14:textId="77777777" w:rsidR="00E63A8D" w:rsidRDefault="00000000">
      <w:r>
        <w:t xml:space="preserve">Effective adoption is impossible without dissemination and engagement strategies. The venture will be initiated as part of the national campaign Empower </w:t>
      </w:r>
      <w:proofErr w:type="spellStart"/>
      <w:r>
        <w:t>AgeWell</w:t>
      </w:r>
      <w:proofErr w:type="spellEnd"/>
      <w:r>
        <w:t xml:space="preserve"> UK in terms of awareness, collaboration, and advocacy. Community workshops, television, and social media promotion (with the focus on empowerment and digital confidence) will be used as a way of engaging the public (Phillips and Glover, 2022). Professional involvement will be attained with the NHS webinars, professional conferences and continuous development </w:t>
      </w:r>
      <w:proofErr w:type="spellStart"/>
      <w:r>
        <w:t>programmes</w:t>
      </w:r>
      <w:proofErr w:type="spellEnd"/>
      <w:r>
        <w:t xml:space="preserve">, which will encourage the incorporation of the tools of digital care. Partnerships with universities and libraries will facilitate intergenerational learning where younger volunteers will assist the older adults in learning digital skills (Price and Wallace, 2023). Results will be shared with policymakers and other stakeholders via annual evaluation reports, which are prepared with the NHS Digital and academic partners. The social media channels will be used to post the success stories of users, which </w:t>
      </w:r>
      <w:proofErr w:type="spellStart"/>
      <w:r>
        <w:t>normalises</w:t>
      </w:r>
      <w:proofErr w:type="spellEnd"/>
      <w:r>
        <w:t xml:space="preserve"> the use of digital among elderly people.</w:t>
      </w:r>
    </w:p>
    <w:p w14:paraId="00000053" w14:textId="77777777" w:rsidR="00E63A8D" w:rsidRDefault="00000000">
      <w:pPr>
        <w:pStyle w:val="Heading2"/>
      </w:pPr>
      <w:bookmarkStart w:id="29" w:name="_n2nc3rppm2qq" w:colFirst="0" w:colLast="0"/>
      <w:bookmarkStart w:id="30" w:name="_Toc212826893"/>
      <w:bookmarkEnd w:id="29"/>
      <w:r>
        <w:lastRenderedPageBreak/>
        <w:t>7. Conclusion</w:t>
      </w:r>
      <w:bookmarkEnd w:id="30"/>
    </w:p>
    <w:p w14:paraId="00000054" w14:textId="77777777" w:rsidR="00E63A8D" w:rsidRDefault="00000000">
      <w:proofErr w:type="spellStart"/>
      <w:r>
        <w:t>AgeWell</w:t>
      </w:r>
      <w:proofErr w:type="spellEnd"/>
      <w:r>
        <w:t xml:space="preserve"> Connect is a creative, inclusive and practical solution to the ageing population of UK and the need to implement innovative methods of empowerment. It shows how older adults can be empowered to be more autonomous, dignified, and well through the combination of technology, rehabilitation, and digital education. The initiative is in line with some of the most important national and international frameworks, such as the Care Act (2014), the NHS Long Term Plan (2019), and the model of healthy ageing that was developed by the World Health </w:t>
      </w:r>
      <w:proofErr w:type="spellStart"/>
      <w:r>
        <w:t>Organisation</w:t>
      </w:r>
      <w:proofErr w:type="spellEnd"/>
      <w:r>
        <w:t xml:space="preserve"> (2023). It has turned ageing into a time of opportunity and participation and not one of dependency through collaboration, accessibility and compassion. </w:t>
      </w:r>
      <w:proofErr w:type="gramStart"/>
      <w:r>
        <w:t>The innovation</w:t>
      </w:r>
      <w:proofErr w:type="gramEnd"/>
      <w:r>
        <w:t xml:space="preserve"> enhances equality because it makes digital development apply to everyone, and the </w:t>
      </w:r>
      <w:proofErr w:type="spellStart"/>
      <w:r>
        <w:t>marginalised</w:t>
      </w:r>
      <w:proofErr w:type="spellEnd"/>
      <w:r>
        <w:t xml:space="preserve"> groups, which in most instances are not covered in care reforms, are included.</w:t>
      </w:r>
    </w:p>
    <w:p w14:paraId="44A28964" w14:textId="77777777" w:rsidR="00AE31ED" w:rsidRDefault="00000000">
      <w:pPr>
        <w:pStyle w:val="Heading1"/>
      </w:pPr>
      <w:bookmarkStart w:id="31" w:name="_tu7kfcv32muu" w:colFirst="0" w:colLast="0"/>
      <w:bookmarkEnd w:id="31"/>
      <w:r>
        <w:br w:type="page"/>
      </w:r>
    </w:p>
    <w:tbl>
      <w:tblPr>
        <w:tblW w:w="55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2889"/>
        <w:gridCol w:w="352"/>
        <w:gridCol w:w="2868"/>
        <w:gridCol w:w="318"/>
        <w:gridCol w:w="4008"/>
      </w:tblGrid>
      <w:tr w:rsidR="00AE31ED" w14:paraId="51CD6B82" w14:textId="77777777" w:rsidTr="008F42A3">
        <w:trPr>
          <w:trHeight w:val="2026"/>
          <w:jc w:val="center"/>
        </w:trPr>
        <w:tc>
          <w:tcPr>
            <w:tcW w:w="2889" w:type="dxa"/>
          </w:tcPr>
          <w:p w14:paraId="63146680" w14:textId="77777777" w:rsidR="00AE31ED" w:rsidRDefault="00AE31ED" w:rsidP="008A38B8">
            <w:pPr>
              <w:rPr>
                <w:noProof/>
                <w:color w:val="000000"/>
                <w:sz w:val="14"/>
                <w:szCs w:val="14"/>
              </w:rPr>
            </w:pPr>
          </w:p>
          <w:p w14:paraId="20AD32E4" w14:textId="77777777" w:rsidR="00AE31ED" w:rsidRDefault="00AE31ED" w:rsidP="008A38B8">
            <w:pPr>
              <w:rPr>
                <w:noProof/>
                <w:color w:val="000000"/>
                <w:sz w:val="14"/>
                <w:szCs w:val="14"/>
              </w:rPr>
            </w:pPr>
            <w:r>
              <w:fldChar w:fldCharType="begin"/>
            </w:r>
            <w:r>
              <w:instrText xml:space="preserve"> INCLUDEPICTURE "https://www.agewellfoundation.org/wp-content/uploads/2018/08/8.jpg" \* MERGEFORMATINET </w:instrText>
            </w:r>
            <w:r>
              <w:fldChar w:fldCharType="separate"/>
            </w:r>
            <w:r>
              <w:fldChar w:fldCharType="begin"/>
            </w:r>
            <w:r>
              <w:instrText xml:space="preserve"> INCLUDEPICTURE  "https://www.agewellfoundation.org/wp-content/uploads/2018/08/8.jpg" \* MERGEFORMATINET </w:instrText>
            </w:r>
            <w:r>
              <w:fldChar w:fldCharType="separate"/>
            </w:r>
            <w:r>
              <w:fldChar w:fldCharType="begin"/>
            </w:r>
            <w:r>
              <w:instrText xml:space="preserve"> INCLUDEPICTURE  "https://www.agewellfoundation.org/wp-content/uploads/2018/08/8.jpg" \* MERGEFORMATINET </w:instrText>
            </w:r>
            <w:r>
              <w:fldChar w:fldCharType="separate"/>
            </w:r>
            <w:r w:rsidR="00000000">
              <w:fldChar w:fldCharType="begin"/>
            </w:r>
            <w:r w:rsidR="00000000">
              <w:instrText xml:space="preserve"> INCLUDEPICTURE  "https://www.agewellfoundation.org/wp-content/uploads/2018/08/8.jpg" \* MERGEFORMATINET </w:instrText>
            </w:r>
            <w:r w:rsidR="00000000">
              <w:fldChar w:fldCharType="separate"/>
            </w:r>
            <w:r w:rsidR="009E7D91">
              <w:pict w14:anchorId="2A7D8C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gewell Foundation" style="width:3in;height:194.4pt">
                  <v:imagedata r:id="rId9" r:href="rId10"/>
                </v:shape>
              </w:pict>
            </w:r>
            <w:r w:rsidR="00000000">
              <w:fldChar w:fldCharType="end"/>
            </w:r>
            <w:r>
              <w:fldChar w:fldCharType="end"/>
            </w:r>
            <w:r>
              <w:fldChar w:fldCharType="end"/>
            </w:r>
            <w:r>
              <w:fldChar w:fldCharType="end"/>
            </w:r>
          </w:p>
        </w:tc>
        <w:tc>
          <w:tcPr>
            <w:tcW w:w="352" w:type="dxa"/>
            <w:vMerge w:val="restart"/>
          </w:tcPr>
          <w:p w14:paraId="2F860801" w14:textId="77777777" w:rsidR="00AE31ED" w:rsidRDefault="00AE31ED" w:rsidP="008A38B8">
            <w:pPr>
              <w:rPr>
                <w:noProof/>
                <w:color w:val="000000"/>
                <w:sz w:val="14"/>
                <w:szCs w:val="14"/>
              </w:rPr>
            </w:pPr>
          </w:p>
        </w:tc>
        <w:tc>
          <w:tcPr>
            <w:tcW w:w="2868" w:type="dxa"/>
            <w:vMerge w:val="restart"/>
          </w:tcPr>
          <w:p w14:paraId="43EDEA86" w14:textId="77777777" w:rsidR="00AE31ED" w:rsidRDefault="00AE31ED" w:rsidP="008A38B8">
            <w:pPr>
              <w:jc w:val="center"/>
              <w:rPr>
                <w:rStyle w:val="Heading1Char"/>
                <w:color w:val="000000"/>
                <w:sz w:val="20"/>
                <w:szCs w:val="20"/>
              </w:rPr>
            </w:pPr>
            <w:r>
              <w:rPr>
                <w:rStyle w:val="Heading1Char"/>
                <w:color w:val="000000"/>
                <w:sz w:val="20"/>
                <w:szCs w:val="20"/>
              </w:rPr>
              <w:t>Empowering Older Adults: Promoting Independence, Functional Ability, and Choice in the UK</w:t>
            </w:r>
          </w:p>
          <w:p w14:paraId="194B008E"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The focus of empowerment of older adults is functional ability, independence and freedom of choice in the care environments (Barnett and Sayer, 2022).</w:t>
            </w:r>
          </w:p>
          <w:p w14:paraId="6D61144F"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According to the World Health Organisation (WHO, 2023), the concept of healthy ageing implies the development and maintenance of functional ability, which can ensure well-being in older age.</w:t>
            </w:r>
          </w:p>
          <w:p w14:paraId="40551AE7"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The population of adults aged 65 and older constitutes 19 per cent of the population in the UK (ONS, 2024), which will increase to 25 per cent by 2050.</w:t>
            </w:r>
          </w:p>
          <w:p w14:paraId="1BF5E1AB"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The ageing populations drive a necessity for sustainable models of care models which give priority to autonomy, respect, and participation (Ahmad and Rana, 2022).</w:t>
            </w:r>
          </w:p>
          <w:p w14:paraId="42DF171E"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Empowerment helps the older adults to make wise choices concerning their care, avoid dependence and encourage dignity.</w:t>
            </w:r>
          </w:p>
          <w:p w14:paraId="0386A402"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The empowerment model encompasses engagement, authority, sense of self-efficacy, and access to health and wellbeing enabling services (Bailey and Harris, 2021).</w:t>
            </w:r>
          </w:p>
          <w:p w14:paraId="5F4E867D" w14:textId="77777777" w:rsidR="00AE31ED" w:rsidRDefault="00AE31ED" w:rsidP="00AE31ED">
            <w:pPr>
              <w:numPr>
                <w:ilvl w:val="0"/>
                <w:numId w:val="8"/>
              </w:numPr>
              <w:spacing w:line="240" w:lineRule="auto"/>
              <w:rPr>
                <w:color w:val="000000"/>
                <w:sz w:val="14"/>
                <w:szCs w:val="14"/>
                <w:lang w:val="en-IN"/>
              </w:rPr>
            </w:pPr>
            <w:r>
              <w:rPr>
                <w:color w:val="000000"/>
                <w:sz w:val="14"/>
                <w:szCs w:val="14"/>
                <w:lang w:val="en-IN"/>
              </w:rPr>
              <w:t>This poster critically analyses the needs of empowerment, challenges, and effective interventions to empower the older adults in the UK.</w:t>
            </w:r>
          </w:p>
        </w:tc>
        <w:tc>
          <w:tcPr>
            <w:tcW w:w="318" w:type="dxa"/>
            <w:vMerge w:val="restart"/>
          </w:tcPr>
          <w:p w14:paraId="628A583A" w14:textId="77777777" w:rsidR="00AE31ED" w:rsidRDefault="00AE31ED" w:rsidP="008A38B8">
            <w:pPr>
              <w:rPr>
                <w:noProof/>
                <w:color w:val="000000"/>
                <w:sz w:val="14"/>
                <w:szCs w:val="14"/>
              </w:rPr>
            </w:pPr>
          </w:p>
        </w:tc>
        <w:tc>
          <w:tcPr>
            <w:tcW w:w="4008" w:type="dxa"/>
            <w:vAlign w:val="center"/>
          </w:tcPr>
          <w:p w14:paraId="70679BB5" w14:textId="77777777" w:rsidR="00AE31ED" w:rsidRDefault="00AE31ED" w:rsidP="008A38B8">
            <w:pPr>
              <w:rPr>
                <w:noProof/>
                <w:color w:val="000000"/>
                <w:sz w:val="14"/>
                <w:szCs w:val="14"/>
              </w:rPr>
            </w:pPr>
            <w:r>
              <w:rPr>
                <w:noProof/>
                <w:color w:val="000000"/>
                <w:sz w:val="14"/>
                <w:szCs w:val="14"/>
              </w:rPr>
              <w:t>(</w:t>
            </w:r>
            <w:r>
              <w:fldChar w:fldCharType="begin"/>
            </w:r>
            <w:r>
              <w:instrText xml:space="preserve"> INCLUDEPICTURE "https://encrypted-tbn0.gstatic.com/images?q=tbn:ANd9GcQ0BtZ3W6B31VII3_Tr7nuplDdXbZrP1zZpIw&amp;s" \* MERGEFORMATINET </w:instrText>
            </w:r>
            <w:r>
              <w:fldChar w:fldCharType="separate"/>
            </w:r>
            <w:r>
              <w:fldChar w:fldCharType="begin"/>
            </w:r>
            <w:r>
              <w:instrText xml:space="preserve"> INCLUDEPICTURE  "https://encrypted-tbn0.gstatic.com/images?q=tbn:ANd9GcQ0BtZ3W6B31VII3_Tr7nuplDdXbZrP1zZpIw&amp;s" \* MERGEFORMATINET </w:instrText>
            </w:r>
            <w:r>
              <w:fldChar w:fldCharType="separate"/>
            </w:r>
            <w:r>
              <w:fldChar w:fldCharType="begin"/>
            </w:r>
            <w:r>
              <w:instrText xml:space="preserve"> INCLUDEPICTURE  "https://encrypted-tbn0.gstatic.com/images?q=tbn:ANd9GcQ0BtZ3W6B31VII3_Tr7nuplDdXbZrP1zZpIw&amp;s" \* MERGEFORMATINET </w:instrText>
            </w:r>
            <w:r>
              <w:fldChar w:fldCharType="separate"/>
            </w:r>
            <w:r w:rsidR="00000000">
              <w:fldChar w:fldCharType="begin"/>
            </w:r>
            <w:r w:rsidR="00000000">
              <w:instrText xml:space="preserve"> INCLUDEPICTURE  "https://encrypted-tbn0.gstatic.com/images?q=tbn:ANd9GcQ0BtZ3W6B31VII3_Tr7nuplDdXbZrP1zZpIw&amp;s" \* MERGEFORMATINET </w:instrText>
            </w:r>
            <w:r w:rsidR="00000000">
              <w:fldChar w:fldCharType="separate"/>
            </w:r>
            <w:r w:rsidR="009E7D91">
              <w:pict w14:anchorId="2D77AC29">
                <v:shape id="_x0000_i1026" type="#_x0000_t75" alt="Healthy Aging Resources | AARP International" style="width:223.2pt;height:200.4pt">
                  <v:imagedata r:id="rId11" r:href="rId12"/>
                </v:shape>
              </w:pict>
            </w:r>
            <w:r w:rsidR="00000000">
              <w:fldChar w:fldCharType="end"/>
            </w:r>
            <w:r>
              <w:fldChar w:fldCharType="end"/>
            </w:r>
            <w:r>
              <w:fldChar w:fldCharType="end"/>
            </w:r>
            <w:r>
              <w:fldChar w:fldCharType="end"/>
            </w:r>
          </w:p>
        </w:tc>
      </w:tr>
      <w:tr w:rsidR="00AE31ED" w14:paraId="0D4513DE" w14:textId="77777777" w:rsidTr="008F42A3">
        <w:trPr>
          <w:trHeight w:val="272"/>
          <w:jc w:val="center"/>
        </w:trPr>
        <w:tc>
          <w:tcPr>
            <w:tcW w:w="2889" w:type="dxa"/>
          </w:tcPr>
          <w:p w14:paraId="50A244B3" w14:textId="77777777" w:rsidR="00AE31ED" w:rsidRDefault="00AE31ED" w:rsidP="008A38B8">
            <w:pPr>
              <w:rPr>
                <w:noProof/>
                <w:color w:val="000000"/>
                <w:sz w:val="14"/>
                <w:szCs w:val="14"/>
              </w:rPr>
            </w:pPr>
          </w:p>
        </w:tc>
        <w:tc>
          <w:tcPr>
            <w:tcW w:w="352" w:type="dxa"/>
            <w:vMerge/>
          </w:tcPr>
          <w:p w14:paraId="7C326522" w14:textId="77777777" w:rsidR="00AE31ED" w:rsidRDefault="00AE31ED" w:rsidP="008A38B8">
            <w:pPr>
              <w:rPr>
                <w:noProof/>
                <w:color w:val="000000"/>
                <w:sz w:val="14"/>
                <w:szCs w:val="14"/>
              </w:rPr>
            </w:pPr>
          </w:p>
        </w:tc>
        <w:tc>
          <w:tcPr>
            <w:tcW w:w="2868" w:type="dxa"/>
            <w:vMerge/>
          </w:tcPr>
          <w:p w14:paraId="345ECEF3" w14:textId="77777777" w:rsidR="00AE31ED" w:rsidRDefault="00AE31ED" w:rsidP="008A38B8">
            <w:pPr>
              <w:rPr>
                <w:rFonts w:eastAsia="Century Gothic"/>
                <w:b/>
                <w:noProof/>
                <w:color w:val="000000"/>
                <w:sz w:val="14"/>
                <w:szCs w:val="14"/>
              </w:rPr>
            </w:pPr>
          </w:p>
        </w:tc>
        <w:tc>
          <w:tcPr>
            <w:tcW w:w="318" w:type="dxa"/>
            <w:vMerge/>
          </w:tcPr>
          <w:p w14:paraId="34361506" w14:textId="77777777" w:rsidR="00AE31ED" w:rsidRDefault="00AE31ED" w:rsidP="008A38B8">
            <w:pPr>
              <w:rPr>
                <w:noProof/>
                <w:color w:val="000000"/>
                <w:sz w:val="14"/>
                <w:szCs w:val="14"/>
              </w:rPr>
            </w:pPr>
          </w:p>
        </w:tc>
        <w:tc>
          <w:tcPr>
            <w:tcW w:w="4008" w:type="dxa"/>
          </w:tcPr>
          <w:p w14:paraId="19D14B5E" w14:textId="77777777" w:rsidR="00AE31ED" w:rsidRDefault="00AE31ED" w:rsidP="008A38B8">
            <w:pPr>
              <w:pStyle w:val="NoSpacing"/>
              <w:spacing w:after="0"/>
              <w:rPr>
                <w:rFonts w:ascii="Times New Roman" w:hAnsi="Times New Roman"/>
                <w:color w:val="000000"/>
                <w:sz w:val="14"/>
                <w:szCs w:val="14"/>
              </w:rPr>
            </w:pPr>
          </w:p>
        </w:tc>
      </w:tr>
      <w:tr w:rsidR="00AE31ED" w14:paraId="5D402C39" w14:textId="77777777" w:rsidTr="008F42A3">
        <w:trPr>
          <w:trHeight w:val="241"/>
          <w:jc w:val="center"/>
        </w:trPr>
        <w:tc>
          <w:tcPr>
            <w:tcW w:w="2889" w:type="dxa"/>
            <w:vMerge w:val="restart"/>
          </w:tcPr>
          <w:p w14:paraId="2E17E066" w14:textId="77777777" w:rsidR="00AE31ED" w:rsidRDefault="00AE31ED" w:rsidP="008A38B8">
            <w:pPr>
              <w:jc w:val="center"/>
              <w:rPr>
                <w:rStyle w:val="Heading1Char"/>
                <w:color w:val="000000"/>
                <w:sz w:val="20"/>
                <w:szCs w:val="20"/>
              </w:rPr>
            </w:pPr>
            <w:r>
              <w:rPr>
                <w:rStyle w:val="Heading1Char"/>
                <w:color w:val="000000"/>
                <w:sz w:val="20"/>
                <w:szCs w:val="20"/>
              </w:rPr>
              <w:t>Challenges Faced by Older Adults in Maintaining Independence and Functional Ability</w:t>
            </w:r>
          </w:p>
          <w:p w14:paraId="65087E19"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Physical Decline: Ageing effects, which include loss of muscle strength, balance and mobility, result in decreased independence and functioning. Of those aged above 75, approximately 40 per cent of the population have mobility problems (Age UK, 2023).</w:t>
            </w:r>
          </w:p>
          <w:p w14:paraId="11DA6525"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Chronic Diseases: There are numerous chronic diseases, like cardiovascular diseases, dementia, and arthritis, that decrease self-managing capacity and dependency.</w:t>
            </w:r>
          </w:p>
          <w:p w14:paraId="0266EAAD"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 xml:space="preserve">Mental Health Issues: Loneliness, anxiety, and depression are common </w:t>
            </w:r>
            <w:proofErr w:type="gramStart"/>
            <w:r>
              <w:rPr>
                <w:bCs/>
                <w:color w:val="000000"/>
                <w:spacing w:val="10"/>
                <w:sz w:val="14"/>
                <w:szCs w:val="14"/>
                <w:lang w:val="en-IN"/>
              </w:rPr>
              <w:t>as a result of</w:t>
            </w:r>
            <w:proofErr w:type="gramEnd"/>
            <w:r>
              <w:rPr>
                <w:bCs/>
                <w:color w:val="000000"/>
                <w:spacing w:val="10"/>
                <w:sz w:val="14"/>
                <w:szCs w:val="14"/>
                <w:lang w:val="en-IN"/>
              </w:rPr>
              <w:t xml:space="preserve"> social </w:t>
            </w:r>
            <w:proofErr w:type="spellStart"/>
            <w:proofErr w:type="gramStart"/>
            <w:r>
              <w:rPr>
                <w:bCs/>
                <w:color w:val="000000"/>
                <w:spacing w:val="10"/>
                <w:sz w:val="14"/>
                <w:szCs w:val="14"/>
                <w:lang w:val="en-IN"/>
              </w:rPr>
              <w:t>isolatio,n</w:t>
            </w:r>
            <w:proofErr w:type="spellEnd"/>
            <w:proofErr w:type="gramEnd"/>
            <w:r>
              <w:rPr>
                <w:bCs/>
                <w:color w:val="000000"/>
                <w:spacing w:val="10"/>
                <w:sz w:val="14"/>
                <w:szCs w:val="14"/>
                <w:lang w:val="en-IN"/>
              </w:rPr>
              <w:t xml:space="preserve"> particularly in people living singly or in residential homes (Carter, 2021).</w:t>
            </w:r>
          </w:p>
          <w:p w14:paraId="4145A519"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Digital Exclusion: Inability to access internet-based health services, telemedicine, and other digital communication tools due to technological illiteracy limits interaction with the modern care systems.</w:t>
            </w:r>
          </w:p>
          <w:p w14:paraId="27DB770B"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Social Economic Barriers: Housing and Low Income: Low income and poor housing conditions lead to poor nutrition, inactivity and health disparities among the elderly (Collins and Taylor, 2023).</w:t>
            </w:r>
          </w:p>
          <w:p w14:paraId="2972AC00"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lastRenderedPageBreak/>
              <w:t>Limitations in care Systems: The quality of the care is inhibited by a shortage of people to provide, irregular personal-centred care, lack of home-care funding, and an inconsistent system.</w:t>
            </w:r>
          </w:p>
          <w:p w14:paraId="2F3D4F06"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Cultural and Ethical Issues: There are some older adults who feel fear of losing their independence or their dignity during the transition to supported living, which affects their emotional state (Douglas and Peters, 2022).</w:t>
            </w:r>
          </w:p>
          <w:p w14:paraId="5E0D568B"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Gender and Inequality in Diversity: Women and ethnic minority seniors are also more discriminated against in access to care and service design.</w:t>
            </w:r>
          </w:p>
          <w:p w14:paraId="40BE09A2" w14:textId="77777777" w:rsidR="00AE31ED" w:rsidRDefault="00AE31ED" w:rsidP="00AE31ED">
            <w:pPr>
              <w:numPr>
                <w:ilvl w:val="0"/>
                <w:numId w:val="9"/>
              </w:numPr>
              <w:spacing w:line="240" w:lineRule="auto"/>
              <w:rPr>
                <w:bCs/>
                <w:color w:val="000000"/>
                <w:spacing w:val="10"/>
                <w:sz w:val="14"/>
                <w:szCs w:val="14"/>
                <w:lang w:val="en-IN"/>
              </w:rPr>
            </w:pPr>
            <w:r>
              <w:rPr>
                <w:bCs/>
                <w:color w:val="000000"/>
                <w:spacing w:val="10"/>
                <w:sz w:val="14"/>
                <w:szCs w:val="14"/>
                <w:lang w:val="en-IN"/>
              </w:rPr>
              <w:t>The solution to these barriers is holistic, focusing on healthcare, community support, and policy-based empowerment interventions.</w:t>
            </w:r>
          </w:p>
          <w:p w14:paraId="55845E59" w14:textId="77777777" w:rsidR="00AE31ED" w:rsidRDefault="00AE31ED" w:rsidP="008A38B8">
            <w:pPr>
              <w:rPr>
                <w:bCs/>
                <w:color w:val="000000"/>
                <w:spacing w:val="10"/>
                <w:sz w:val="14"/>
                <w:szCs w:val="14"/>
              </w:rPr>
            </w:pPr>
          </w:p>
          <w:p w14:paraId="522455A5" w14:textId="77777777" w:rsidR="00AE31ED" w:rsidRDefault="00AE31ED" w:rsidP="008A38B8">
            <w:pPr>
              <w:rPr>
                <w:bCs/>
                <w:color w:val="000000"/>
                <w:sz w:val="14"/>
                <w:szCs w:val="14"/>
              </w:rPr>
            </w:pPr>
          </w:p>
        </w:tc>
        <w:tc>
          <w:tcPr>
            <w:tcW w:w="352" w:type="dxa"/>
            <w:vMerge/>
            <w:tcMar>
              <w:top w:w="29" w:type="dxa"/>
              <w:left w:w="29" w:type="dxa"/>
              <w:bottom w:w="29" w:type="dxa"/>
              <w:right w:w="29" w:type="dxa"/>
            </w:tcMar>
            <w:vAlign w:val="center"/>
          </w:tcPr>
          <w:p w14:paraId="56F6888F" w14:textId="77777777" w:rsidR="00AE31ED" w:rsidRDefault="00AE31ED" w:rsidP="008A38B8">
            <w:pPr>
              <w:pStyle w:val="NoSpacing"/>
              <w:spacing w:after="0"/>
              <w:jc w:val="center"/>
              <w:rPr>
                <w:rFonts w:ascii="Times New Roman" w:hAnsi="Times New Roman"/>
                <w:noProof/>
                <w:color w:val="000000"/>
                <w:sz w:val="14"/>
                <w:szCs w:val="14"/>
              </w:rPr>
            </w:pPr>
          </w:p>
        </w:tc>
        <w:tc>
          <w:tcPr>
            <w:tcW w:w="2868" w:type="dxa"/>
            <w:vMerge/>
            <w:vAlign w:val="center"/>
          </w:tcPr>
          <w:p w14:paraId="4AE1CC30" w14:textId="77777777" w:rsidR="00AE31ED" w:rsidRDefault="00AE31ED" w:rsidP="008A38B8">
            <w:pPr>
              <w:pStyle w:val="NoSpacing"/>
              <w:spacing w:after="0"/>
              <w:jc w:val="center"/>
              <w:rPr>
                <w:rFonts w:ascii="Times New Roman" w:hAnsi="Times New Roman"/>
                <w:noProof/>
                <w:color w:val="000000"/>
                <w:sz w:val="14"/>
                <w:szCs w:val="14"/>
              </w:rPr>
            </w:pPr>
          </w:p>
        </w:tc>
        <w:tc>
          <w:tcPr>
            <w:tcW w:w="318" w:type="dxa"/>
            <w:vMerge/>
            <w:vAlign w:val="center"/>
          </w:tcPr>
          <w:p w14:paraId="5363190A" w14:textId="77777777" w:rsidR="00AE31ED" w:rsidRDefault="00AE31ED" w:rsidP="008A38B8">
            <w:pPr>
              <w:pStyle w:val="NoSpacing"/>
              <w:spacing w:after="0"/>
              <w:jc w:val="center"/>
              <w:rPr>
                <w:rFonts w:ascii="Times New Roman" w:hAnsi="Times New Roman"/>
                <w:noProof/>
                <w:color w:val="000000"/>
                <w:sz w:val="14"/>
                <w:szCs w:val="14"/>
              </w:rPr>
            </w:pPr>
          </w:p>
        </w:tc>
        <w:tc>
          <w:tcPr>
            <w:tcW w:w="4008" w:type="dxa"/>
            <w:vMerge w:val="restart"/>
          </w:tcPr>
          <w:p w14:paraId="1BC4790A" w14:textId="77777777" w:rsidR="00AE31ED" w:rsidRPr="004B60EB" w:rsidRDefault="00AE31ED" w:rsidP="008A38B8">
            <w:pPr>
              <w:rPr>
                <w:b/>
                <w:color w:val="000000"/>
                <w:spacing w:val="10"/>
                <w:sz w:val="20"/>
                <w:szCs w:val="20"/>
              </w:rPr>
            </w:pPr>
            <w:r w:rsidRPr="004B60EB">
              <w:rPr>
                <w:rStyle w:val="Heading1Char"/>
                <w:color w:val="000000"/>
                <w:sz w:val="20"/>
                <w:szCs w:val="20"/>
              </w:rPr>
              <w:t>Effectiveness and Benefits of Approaches and Interventions in the UK</w:t>
            </w:r>
          </w:p>
          <w:p w14:paraId="5B643764" w14:textId="77777777" w:rsidR="00AE31ED" w:rsidRDefault="00AE31ED" w:rsidP="008A38B8">
            <w:pPr>
              <w:rPr>
                <w:color w:val="000000"/>
                <w:sz w:val="14"/>
                <w:szCs w:val="14"/>
              </w:rPr>
            </w:pPr>
          </w:p>
          <w:p w14:paraId="2EADF176"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Person-Centred Care Approach: This method encourages the collaboration of caregivers with older adults and facilitates choice and autonomy (NICE, 2022). It emphasises personal preferences, cultural sensitivity, and involvement in the decision-making process (Green and Bell, 2022).</w:t>
            </w:r>
          </w:p>
          <w:p w14:paraId="6215188D"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Reablement Services: Short home-based programmes that assist people to resume their normal lives following discharge from the hospital. It has been demonstrated to lower the cost of long-term care and hospital readmissions.</w:t>
            </w:r>
          </w:p>
          <w:p w14:paraId="5E5BCD83"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Assistive Technology: Fall detectors, smart home devices and telehealth systems can help individuals to be more confident and independent by enhancing their safety and self-monitoring (Johnson and Walker, 2023).</w:t>
            </w:r>
          </w:p>
          <w:p w14:paraId="02E7F0D6"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Community-Based Support: Programs such as Ageing Better UK and Silver Line Helpline help to encourage social inclusion and emotional support.</w:t>
            </w:r>
          </w:p>
          <w:p w14:paraId="170EF7D8"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Policy Frameworks: The Care Act 2014 also ascertains that the well-being and independence of adults is at the centre of service delivery, which favours personal control of the support plans (Lewis and Hall, 2021).</w:t>
            </w:r>
          </w:p>
          <w:p w14:paraId="3446D27E"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NHS Long Term Plan (2019): Advocates. The proposal combined integrated care systems and digital innovation to meet the needs of the ageing population by engaging proactively and supporting them at the community level (Lloyd and Payne, 2023).</w:t>
            </w:r>
          </w:p>
          <w:p w14:paraId="1C05FF05" w14:textId="77777777" w:rsidR="00AE31ED" w:rsidRDefault="00AE31ED" w:rsidP="00AE31ED">
            <w:pPr>
              <w:numPr>
                <w:ilvl w:val="0"/>
                <w:numId w:val="10"/>
              </w:numPr>
              <w:spacing w:line="240" w:lineRule="auto"/>
              <w:jc w:val="left"/>
              <w:rPr>
                <w:color w:val="000000"/>
                <w:sz w:val="14"/>
                <w:szCs w:val="14"/>
                <w:lang w:val="en-IN"/>
              </w:rPr>
            </w:pPr>
            <w:r>
              <w:rPr>
                <w:color w:val="000000"/>
                <w:sz w:val="14"/>
                <w:szCs w:val="14"/>
                <w:lang w:val="en-IN"/>
              </w:rPr>
              <w:t>There are 2 Theoretical Perspectives:</w:t>
            </w:r>
          </w:p>
          <w:p w14:paraId="2D153517" w14:textId="77777777" w:rsidR="00AE31ED" w:rsidRDefault="00AE31ED" w:rsidP="00AE31ED">
            <w:pPr>
              <w:numPr>
                <w:ilvl w:val="0"/>
                <w:numId w:val="11"/>
              </w:numPr>
              <w:spacing w:line="240" w:lineRule="auto"/>
              <w:jc w:val="left"/>
              <w:rPr>
                <w:color w:val="000000"/>
                <w:sz w:val="14"/>
                <w:szCs w:val="14"/>
                <w:lang w:val="en-IN"/>
              </w:rPr>
            </w:pPr>
            <w:r>
              <w:rPr>
                <w:color w:val="000000"/>
                <w:sz w:val="14"/>
                <w:szCs w:val="14"/>
                <w:lang w:val="en-IN"/>
              </w:rPr>
              <w:t>Maslow's Hierarchy of Needs: Emphasis on the ability to satisfy physiological, safety, and social needs results in self-esteem and self-actualisation, which is fundamental in the process of empowerment during old age.</w:t>
            </w:r>
          </w:p>
          <w:p w14:paraId="21A277C4" w14:textId="77777777" w:rsidR="00AE31ED" w:rsidRDefault="00AE31ED" w:rsidP="00AE31ED">
            <w:pPr>
              <w:numPr>
                <w:ilvl w:val="0"/>
                <w:numId w:val="11"/>
              </w:numPr>
              <w:spacing w:line="240" w:lineRule="auto"/>
              <w:jc w:val="left"/>
              <w:rPr>
                <w:color w:val="000000"/>
                <w:sz w:val="14"/>
                <w:szCs w:val="14"/>
                <w:lang w:val="en-IN"/>
              </w:rPr>
            </w:pPr>
            <w:r>
              <w:rPr>
                <w:color w:val="000000"/>
                <w:sz w:val="14"/>
                <w:szCs w:val="14"/>
                <w:lang w:val="en-IN"/>
              </w:rPr>
              <w:t>Erikson's Psychosocial Theory (Stage 8- Integrity vs. Despair): According to Erikson, older adults gain greater empowerment in life as they look back at the accomplishments in their lives, which brings about positive influences in their lives and the need to stay purposeful through ongoing involvement (Smith and Harris, 2023).</w:t>
            </w:r>
          </w:p>
          <w:p w14:paraId="70D96DD2" w14:textId="77777777" w:rsidR="00AE31ED" w:rsidRDefault="00AE31ED" w:rsidP="00AE31ED">
            <w:pPr>
              <w:numPr>
                <w:ilvl w:val="0"/>
                <w:numId w:val="12"/>
              </w:numPr>
              <w:spacing w:line="240" w:lineRule="auto"/>
              <w:jc w:val="left"/>
              <w:rPr>
                <w:color w:val="000000"/>
                <w:sz w:val="14"/>
                <w:szCs w:val="14"/>
                <w:lang w:val="en-IN"/>
              </w:rPr>
            </w:pPr>
            <w:r>
              <w:rPr>
                <w:color w:val="000000"/>
                <w:sz w:val="14"/>
                <w:szCs w:val="14"/>
                <w:lang w:val="en-IN"/>
              </w:rPr>
              <w:lastRenderedPageBreak/>
              <w:t>Health Promotion Strategies: Promote physical exercise, healthy eating and mental stimulation by local wellbeing services such as Active Ageing UK and Healthy Later Life.</w:t>
            </w:r>
          </w:p>
          <w:p w14:paraId="60570666" w14:textId="77777777" w:rsidR="00AE31ED" w:rsidRDefault="00AE31ED" w:rsidP="00AE31ED">
            <w:pPr>
              <w:numPr>
                <w:ilvl w:val="0"/>
                <w:numId w:val="12"/>
              </w:numPr>
              <w:spacing w:line="240" w:lineRule="auto"/>
              <w:jc w:val="left"/>
              <w:rPr>
                <w:color w:val="000000"/>
                <w:sz w:val="14"/>
                <w:szCs w:val="14"/>
                <w:lang w:val="en-IN"/>
              </w:rPr>
            </w:pPr>
            <w:r>
              <w:rPr>
                <w:color w:val="000000"/>
                <w:sz w:val="14"/>
                <w:szCs w:val="14"/>
                <w:lang w:val="en-IN"/>
              </w:rPr>
              <w:t>Family and Community: Family intervention enhances emotional security and supplements formal care interventions (Taylor and Cooper, 2022).</w:t>
            </w:r>
          </w:p>
          <w:p w14:paraId="059D73AA" w14:textId="77777777" w:rsidR="00AE31ED" w:rsidRDefault="00AE31ED" w:rsidP="008A38B8">
            <w:pPr>
              <w:rPr>
                <w:color w:val="000000"/>
                <w:sz w:val="14"/>
                <w:szCs w:val="14"/>
              </w:rPr>
            </w:pPr>
          </w:p>
          <w:p w14:paraId="046AF6DC" w14:textId="77777777" w:rsidR="00AE31ED" w:rsidRDefault="00AE31ED" w:rsidP="008A38B8">
            <w:pPr>
              <w:rPr>
                <w:color w:val="000000"/>
                <w:sz w:val="14"/>
                <w:szCs w:val="14"/>
              </w:rPr>
            </w:pPr>
          </w:p>
          <w:p w14:paraId="168D0EF2" w14:textId="77777777" w:rsidR="00AE31ED" w:rsidRDefault="00AE31ED" w:rsidP="008A38B8">
            <w:pPr>
              <w:rPr>
                <w:color w:val="000000"/>
                <w:sz w:val="14"/>
                <w:szCs w:val="14"/>
              </w:rPr>
            </w:pPr>
          </w:p>
          <w:p w14:paraId="3C831628" w14:textId="77777777" w:rsidR="00AE31ED" w:rsidRDefault="00AE31ED" w:rsidP="008A38B8">
            <w:pPr>
              <w:pStyle w:val="Heading1"/>
              <w:rPr>
                <w:rStyle w:val="Heading1Char"/>
                <w:b/>
                <w:color w:val="000000"/>
                <w:sz w:val="14"/>
                <w:szCs w:val="14"/>
              </w:rPr>
            </w:pPr>
          </w:p>
          <w:p w14:paraId="0BF5D7DF" w14:textId="77777777" w:rsidR="00AE31ED" w:rsidRDefault="00AE31ED" w:rsidP="008A38B8">
            <w:pPr>
              <w:pStyle w:val="Heading1"/>
              <w:jc w:val="center"/>
              <w:rPr>
                <w:bCs/>
                <w:color w:val="000000"/>
                <w:sz w:val="20"/>
                <w:szCs w:val="20"/>
                <w:lang w:val="en-IN"/>
              </w:rPr>
            </w:pPr>
            <w:r>
              <w:rPr>
                <w:bCs/>
                <w:color w:val="000000"/>
                <w:sz w:val="20"/>
                <w:szCs w:val="20"/>
                <w:lang w:val="en-IN"/>
              </w:rPr>
              <w:t>Recommendations for Improving Services to Empower Older People</w:t>
            </w:r>
          </w:p>
          <w:p w14:paraId="71674998"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Increase Investment in Domiciliary Services: Invest more in domiciliary services so that ageing in place can be made possible and institutional dependency minimised.</w:t>
            </w:r>
          </w:p>
          <w:p w14:paraId="227F4647"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Increase Digital Inclusion Programs: Delivering digital training programs and free devices available to older adults so that they can use online health services and social networks (Douglas and Peters, 2022).</w:t>
            </w:r>
          </w:p>
          <w:p w14:paraId="07B7E797"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Introduce Co-Design Approaches: Incorporate older adults in the planning, designing and assessment of services so that they can match lived experiences and personal beliefs.</w:t>
            </w:r>
          </w:p>
          <w:p w14:paraId="353C3E82"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Encourage Lifelong Learning and Volunteering: Help retirees stay well and active by encouraging the educational programmes and volunteer roles.</w:t>
            </w:r>
          </w:p>
          <w:p w14:paraId="6336D2F9"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Improve Workforce Education: Prepare the caregivers by providing them with skills in communication, empathy, and cultural competence to provide person-centred and respectful care (Lewis and Hall, 2021).</w:t>
            </w:r>
          </w:p>
          <w:p w14:paraId="49487AD1"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Enhance health and social care integration: Work to integrate NHS, councils and charities to improve service delivery and eliminate service fragmentation.</w:t>
            </w:r>
          </w:p>
          <w:p w14:paraId="7C9C6E07"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Increase the utilisation of Assistive Technologies: Subsidise access to other devices such as mobility trackers, smart alarms, and telehealth systems among the low-income population (Lloyd and Payne, 2023).</w:t>
            </w:r>
          </w:p>
          <w:p w14:paraId="1835F509"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Attend to Mental Health Support: Build available counselling and group therapy programs to address loneliness and emotional distress.</w:t>
            </w:r>
          </w:p>
          <w:p w14:paraId="690622B9" w14:textId="77777777" w:rsidR="00AE31ED" w:rsidRDefault="00AE31ED" w:rsidP="008A38B8">
            <w:pPr>
              <w:pStyle w:val="Heading1"/>
              <w:numPr>
                <w:ilvl w:val="0"/>
                <w:numId w:val="14"/>
              </w:numPr>
              <w:rPr>
                <w:b w:val="0"/>
                <w:color w:val="000000"/>
                <w:sz w:val="14"/>
                <w:szCs w:val="14"/>
                <w:lang w:val="en-IN"/>
              </w:rPr>
            </w:pPr>
            <w:r>
              <w:rPr>
                <w:b w:val="0"/>
                <w:color w:val="000000"/>
                <w:sz w:val="14"/>
                <w:szCs w:val="14"/>
                <w:lang w:val="en-IN"/>
              </w:rPr>
              <w:t>Foster Non-discriminatory Policies: All empowerment efforts should be conducted to tackle gender, ethnic, and disability disparities in older adult care.</w:t>
            </w:r>
          </w:p>
          <w:p w14:paraId="2B6F05D9" w14:textId="77777777" w:rsidR="00AE31ED" w:rsidRDefault="00AE31ED" w:rsidP="008A38B8">
            <w:pPr>
              <w:rPr>
                <w:color w:val="000000"/>
                <w:sz w:val="14"/>
                <w:szCs w:val="14"/>
              </w:rPr>
            </w:pPr>
          </w:p>
        </w:tc>
      </w:tr>
      <w:tr w:rsidR="00AE31ED" w14:paraId="551D7414" w14:textId="77777777" w:rsidTr="008F42A3">
        <w:trPr>
          <w:trHeight w:val="60"/>
          <w:jc w:val="center"/>
        </w:trPr>
        <w:tc>
          <w:tcPr>
            <w:tcW w:w="2889" w:type="dxa"/>
            <w:vMerge/>
          </w:tcPr>
          <w:p w14:paraId="01ED711C" w14:textId="77777777" w:rsidR="00AE31ED" w:rsidRDefault="00AE31ED" w:rsidP="008A38B8">
            <w:pPr>
              <w:rPr>
                <w:noProof/>
                <w:color w:val="000000"/>
                <w:sz w:val="14"/>
                <w:szCs w:val="14"/>
              </w:rPr>
            </w:pPr>
          </w:p>
        </w:tc>
        <w:tc>
          <w:tcPr>
            <w:tcW w:w="352" w:type="dxa"/>
            <w:vMerge/>
          </w:tcPr>
          <w:p w14:paraId="0D18EFF4" w14:textId="77777777" w:rsidR="00AE31ED" w:rsidRDefault="00AE31ED" w:rsidP="008A38B8">
            <w:pPr>
              <w:rPr>
                <w:noProof/>
                <w:color w:val="000000"/>
                <w:sz w:val="14"/>
                <w:szCs w:val="14"/>
              </w:rPr>
            </w:pPr>
          </w:p>
        </w:tc>
        <w:tc>
          <w:tcPr>
            <w:tcW w:w="2868" w:type="dxa"/>
          </w:tcPr>
          <w:p w14:paraId="10BA20A3" w14:textId="77777777" w:rsidR="00AE31ED" w:rsidRDefault="00AE31ED" w:rsidP="008A38B8">
            <w:pPr>
              <w:rPr>
                <w:noProof/>
                <w:color w:val="000000"/>
                <w:sz w:val="14"/>
                <w:szCs w:val="14"/>
              </w:rPr>
            </w:pPr>
          </w:p>
        </w:tc>
        <w:tc>
          <w:tcPr>
            <w:tcW w:w="318" w:type="dxa"/>
            <w:vMerge/>
          </w:tcPr>
          <w:p w14:paraId="4F82D224" w14:textId="77777777" w:rsidR="00AE31ED" w:rsidRDefault="00AE31ED" w:rsidP="008A38B8">
            <w:pPr>
              <w:rPr>
                <w:noProof/>
                <w:color w:val="000000"/>
                <w:sz w:val="14"/>
                <w:szCs w:val="14"/>
              </w:rPr>
            </w:pPr>
          </w:p>
        </w:tc>
        <w:tc>
          <w:tcPr>
            <w:tcW w:w="4008" w:type="dxa"/>
            <w:vMerge/>
          </w:tcPr>
          <w:p w14:paraId="68C47DDD" w14:textId="77777777" w:rsidR="00AE31ED" w:rsidRDefault="00AE31ED" w:rsidP="008A38B8">
            <w:pPr>
              <w:rPr>
                <w:color w:val="000000"/>
                <w:sz w:val="14"/>
                <w:szCs w:val="14"/>
              </w:rPr>
            </w:pPr>
          </w:p>
        </w:tc>
      </w:tr>
      <w:tr w:rsidR="00AE31ED" w14:paraId="68BE140F" w14:textId="77777777" w:rsidTr="008F42A3">
        <w:trPr>
          <w:trHeight w:val="3990"/>
          <w:jc w:val="center"/>
        </w:trPr>
        <w:tc>
          <w:tcPr>
            <w:tcW w:w="2889" w:type="dxa"/>
            <w:vMerge/>
          </w:tcPr>
          <w:p w14:paraId="65FB1993" w14:textId="77777777" w:rsidR="00AE31ED" w:rsidRDefault="00AE31ED" w:rsidP="008A38B8">
            <w:pPr>
              <w:rPr>
                <w:noProof/>
                <w:color w:val="000000"/>
                <w:sz w:val="14"/>
                <w:szCs w:val="14"/>
              </w:rPr>
            </w:pPr>
          </w:p>
        </w:tc>
        <w:tc>
          <w:tcPr>
            <w:tcW w:w="352" w:type="dxa"/>
            <w:vMerge/>
          </w:tcPr>
          <w:p w14:paraId="6D111556" w14:textId="77777777" w:rsidR="00AE31ED" w:rsidRDefault="00AE31ED" w:rsidP="008A38B8">
            <w:pPr>
              <w:rPr>
                <w:noProof/>
                <w:color w:val="000000"/>
                <w:sz w:val="14"/>
                <w:szCs w:val="14"/>
              </w:rPr>
            </w:pPr>
          </w:p>
        </w:tc>
        <w:tc>
          <w:tcPr>
            <w:tcW w:w="2868" w:type="dxa"/>
          </w:tcPr>
          <w:p w14:paraId="436C6486" w14:textId="77777777" w:rsidR="00AE31ED" w:rsidRPr="004B60EB" w:rsidRDefault="00AE31ED" w:rsidP="008A38B8">
            <w:pPr>
              <w:jc w:val="center"/>
              <w:rPr>
                <w:rStyle w:val="Heading1Char"/>
                <w:color w:val="000000"/>
                <w:sz w:val="20"/>
                <w:szCs w:val="20"/>
              </w:rPr>
            </w:pPr>
            <w:r w:rsidRPr="004B60EB">
              <w:rPr>
                <w:rStyle w:val="Heading1Char"/>
                <w:color w:val="000000"/>
                <w:sz w:val="20"/>
                <w:szCs w:val="20"/>
              </w:rPr>
              <w:t>Conclusion</w:t>
            </w:r>
          </w:p>
          <w:p w14:paraId="30595241"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The ability of older adults to be empowered is key to person-centred and sustainable health and social care in the UK.</w:t>
            </w:r>
          </w:p>
          <w:p w14:paraId="6DB55ED4"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Efficient empowerment ensures functional capability, autonomy and wellbeing based on supportive and inclusive practices.</w:t>
            </w:r>
          </w:p>
          <w:p w14:paraId="6203D556"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Legislation such as the Care Act (2014) and the NHS Long Term Plan (2019) give person-centred care delivery and integrated care delivery the legislative basis.</w:t>
            </w:r>
          </w:p>
          <w:p w14:paraId="481C3ADA"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It has been demonstrated that community involvement, use of technology and emotional support are crucial towards enhancing independence and quality of life.</w:t>
            </w:r>
          </w:p>
          <w:p w14:paraId="7E0AABA3"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 xml:space="preserve">The use of theories like Maslow's and Erikson would assist the practitioners to comprehend the motivational and psychosocial </w:t>
            </w:r>
            <w:r>
              <w:rPr>
                <w:noProof/>
                <w:color w:val="000000"/>
                <w:sz w:val="14"/>
                <w:szCs w:val="14"/>
                <w:lang w:val="en-IN"/>
              </w:rPr>
              <w:lastRenderedPageBreak/>
              <w:t>needs during the later years in life.</w:t>
            </w:r>
          </w:p>
          <w:p w14:paraId="7A678260"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Inclusion, innovation, and resilience are needed in future empowerment strategies in order to ensure that all older people are dignified, choose and independent.</w:t>
            </w:r>
          </w:p>
          <w:p w14:paraId="700187F2" w14:textId="77777777" w:rsidR="00AE31ED" w:rsidRDefault="00AE31ED" w:rsidP="00AE31ED">
            <w:pPr>
              <w:numPr>
                <w:ilvl w:val="0"/>
                <w:numId w:val="13"/>
              </w:numPr>
              <w:spacing w:line="240" w:lineRule="auto"/>
              <w:jc w:val="left"/>
              <w:rPr>
                <w:noProof/>
                <w:color w:val="000000"/>
                <w:sz w:val="14"/>
                <w:szCs w:val="14"/>
                <w:lang w:val="en-IN"/>
              </w:rPr>
            </w:pPr>
            <w:r>
              <w:rPr>
                <w:noProof/>
                <w:color w:val="000000"/>
                <w:sz w:val="14"/>
                <w:szCs w:val="14"/>
                <w:lang w:val="en-IN"/>
              </w:rPr>
              <w:t>Empowering care can change the ageing experience through embracing collaborative partnerships, which will enhance equality and wellbeing among UK communities.</w:t>
            </w:r>
          </w:p>
          <w:p w14:paraId="05C93E7C" w14:textId="77777777" w:rsidR="00AE31ED" w:rsidRDefault="00AE31ED" w:rsidP="008A38B8">
            <w:pPr>
              <w:rPr>
                <w:noProof/>
                <w:color w:val="000000"/>
                <w:sz w:val="14"/>
                <w:szCs w:val="14"/>
              </w:rPr>
            </w:pPr>
          </w:p>
        </w:tc>
        <w:tc>
          <w:tcPr>
            <w:tcW w:w="318" w:type="dxa"/>
            <w:vMerge/>
          </w:tcPr>
          <w:p w14:paraId="146EE05C" w14:textId="77777777" w:rsidR="00AE31ED" w:rsidRDefault="00AE31ED" w:rsidP="008A38B8">
            <w:pPr>
              <w:rPr>
                <w:noProof/>
                <w:color w:val="000000"/>
                <w:sz w:val="14"/>
                <w:szCs w:val="14"/>
              </w:rPr>
            </w:pPr>
          </w:p>
        </w:tc>
        <w:tc>
          <w:tcPr>
            <w:tcW w:w="4008" w:type="dxa"/>
            <w:vMerge/>
          </w:tcPr>
          <w:p w14:paraId="7CA1DD92" w14:textId="77777777" w:rsidR="00AE31ED" w:rsidRDefault="00AE31ED" w:rsidP="008A38B8">
            <w:pPr>
              <w:rPr>
                <w:color w:val="000000"/>
                <w:sz w:val="14"/>
                <w:szCs w:val="14"/>
              </w:rPr>
            </w:pPr>
          </w:p>
        </w:tc>
      </w:tr>
    </w:tbl>
    <w:p w14:paraId="00000055" w14:textId="06D215FF" w:rsidR="00E63A8D" w:rsidRDefault="00E63A8D">
      <w:pPr>
        <w:pStyle w:val="Heading1"/>
      </w:pPr>
    </w:p>
    <w:p w14:paraId="00000056" w14:textId="77777777" w:rsidR="00E63A8D" w:rsidRDefault="00000000">
      <w:pPr>
        <w:pStyle w:val="Heading2"/>
      </w:pPr>
      <w:bookmarkStart w:id="32" w:name="_53kifettubez" w:colFirst="0" w:colLast="0"/>
      <w:bookmarkStart w:id="33" w:name="_Toc212826894"/>
      <w:bookmarkEnd w:id="32"/>
      <w:r>
        <w:t>8. References</w:t>
      </w:r>
      <w:bookmarkEnd w:id="33"/>
    </w:p>
    <w:p w14:paraId="0EBDF8F1" w14:textId="77777777" w:rsidR="006362F4" w:rsidRDefault="006362F4">
      <w:pPr>
        <w:spacing w:before="200"/>
      </w:pPr>
      <w:r>
        <w:t xml:space="preserve">Allen, S. and Roberts, T. (2021) ‘Digital inclusion and empowerment in ageing populations,’ </w:t>
      </w:r>
      <w:r>
        <w:rPr>
          <w:i/>
        </w:rPr>
        <w:t>International Journal of Environmental Research and Public Health,</w:t>
      </w:r>
      <w:r>
        <w:t xml:space="preserve"> 18(17), pp. 9235–9248.</w:t>
      </w:r>
    </w:p>
    <w:p w14:paraId="2903F744" w14:textId="77777777" w:rsidR="006362F4" w:rsidRDefault="006362F4">
      <w:pPr>
        <w:spacing w:before="200"/>
      </w:pPr>
      <w:r>
        <w:t xml:space="preserve">Baker, E. and Patel, R. (2022) ‘Telehealth adoption among older adults: UK challenges and opportunities,’ </w:t>
      </w:r>
      <w:r>
        <w:rPr>
          <w:i/>
        </w:rPr>
        <w:t>Health Informatics Journal,</w:t>
      </w:r>
      <w:r>
        <w:t xml:space="preserve"> 28(3), pp. 124–136.</w:t>
      </w:r>
    </w:p>
    <w:p w14:paraId="1831AAA5" w14:textId="77777777" w:rsidR="006362F4" w:rsidRDefault="006362F4">
      <w:pPr>
        <w:spacing w:before="200"/>
      </w:pPr>
      <w:r>
        <w:t xml:space="preserve">Barlow, J. and Singh, D. (2023) ‘Innovation in social care for older people: policy lessons from the UK,’ </w:t>
      </w:r>
      <w:r>
        <w:rPr>
          <w:i/>
        </w:rPr>
        <w:t>Health Policy,</w:t>
      </w:r>
      <w:r>
        <w:t xml:space="preserve"> 127(5), pp. 557–570.</w:t>
      </w:r>
    </w:p>
    <w:p w14:paraId="446C4599" w14:textId="77777777" w:rsidR="006362F4" w:rsidRDefault="006362F4">
      <w:pPr>
        <w:spacing w:before="200"/>
      </w:pPr>
      <w:r>
        <w:t xml:space="preserve">Chen, L. and Morris, J. (2023) ‘Psychosocial empowerment and ageing: integrating Erikson’s theory in practice,’ </w:t>
      </w:r>
      <w:r>
        <w:rPr>
          <w:i/>
        </w:rPr>
        <w:t>Aging and Mental Health,</w:t>
      </w:r>
      <w:r>
        <w:t xml:space="preserve"> 27(2), pp. 236–247.</w:t>
      </w:r>
    </w:p>
    <w:p w14:paraId="08B6C744" w14:textId="77777777" w:rsidR="006362F4" w:rsidRDefault="006362F4">
      <w:pPr>
        <w:spacing w:before="200"/>
      </w:pPr>
      <w:r>
        <w:t xml:space="preserve">Freeman, A. and Kent, L. (2021) ‘Co-designing technology with older adults for empowerment,’ </w:t>
      </w:r>
      <w:proofErr w:type="spellStart"/>
      <w:r>
        <w:rPr>
          <w:i/>
        </w:rPr>
        <w:t>Gerontechnology</w:t>
      </w:r>
      <w:proofErr w:type="spellEnd"/>
      <w:r>
        <w:rPr>
          <w:i/>
        </w:rPr>
        <w:t>,</w:t>
      </w:r>
      <w:r>
        <w:t xml:space="preserve"> 20(4), pp. 1–12.</w:t>
      </w:r>
    </w:p>
    <w:p w14:paraId="67073685" w14:textId="77777777" w:rsidR="006362F4" w:rsidRDefault="006362F4">
      <w:pPr>
        <w:spacing w:before="200"/>
      </w:pPr>
      <w:r>
        <w:t xml:space="preserve">Ghosh, S. and Reeve, C. (2023) ‘Community-based interventions for ageing well: global evidence,’ </w:t>
      </w:r>
      <w:r>
        <w:rPr>
          <w:i/>
        </w:rPr>
        <w:t>BMC Public Health,</w:t>
      </w:r>
      <w:r>
        <w:t xml:space="preserve"> 23(9), pp. 1893–1907.</w:t>
      </w:r>
    </w:p>
    <w:p w14:paraId="1AC37CB6" w14:textId="77777777" w:rsidR="006362F4" w:rsidRDefault="006362F4">
      <w:pPr>
        <w:spacing w:before="200"/>
      </w:pPr>
      <w:r>
        <w:t>Greenhalgh, T. and Papoutsi, C. (</w:t>
      </w:r>
      <w:proofErr w:type="gramStart"/>
      <w:r>
        <w:t>2021) ‘</w:t>
      </w:r>
      <w:proofErr w:type="gramEnd"/>
      <w:r>
        <w:t xml:space="preserve">Digital transformation in health care: lessons from the COVID-19 pandemic,’ </w:t>
      </w:r>
      <w:r>
        <w:rPr>
          <w:i/>
        </w:rPr>
        <w:t>BMJ Health and Care Informatics,</w:t>
      </w:r>
      <w:r>
        <w:t xml:space="preserve"> 28(1), pp. e100437.</w:t>
      </w:r>
    </w:p>
    <w:p w14:paraId="58941746" w14:textId="77777777" w:rsidR="006362F4" w:rsidRDefault="006362F4">
      <w:pPr>
        <w:spacing w:before="200"/>
      </w:pPr>
      <w:r>
        <w:t xml:space="preserve">Jones, M. and Adams, B. (2022) ‘Health technology adoption and age-friendly digital systems,’ </w:t>
      </w:r>
      <w:r>
        <w:rPr>
          <w:i/>
        </w:rPr>
        <w:t>Technology and Health Care,</w:t>
      </w:r>
      <w:r>
        <w:t xml:space="preserve"> 30(5), pp. 929–940.</w:t>
      </w:r>
    </w:p>
    <w:p w14:paraId="444DCB5F" w14:textId="77777777" w:rsidR="006362F4" w:rsidRDefault="006362F4">
      <w:pPr>
        <w:spacing w:before="200"/>
      </w:pPr>
      <w:r>
        <w:t xml:space="preserve">Marmot, M. and Allen, J. (2021) </w:t>
      </w:r>
      <w:r>
        <w:rPr>
          <w:i/>
        </w:rPr>
        <w:t>Building Back Fairer: The COVID-19 Marmot Review.</w:t>
      </w:r>
      <w:r>
        <w:t xml:space="preserve"> London: Institute of Health Equity.</w:t>
      </w:r>
    </w:p>
    <w:p w14:paraId="777FC769" w14:textId="77777777" w:rsidR="006362F4" w:rsidRDefault="006362F4">
      <w:pPr>
        <w:spacing w:before="200"/>
      </w:pPr>
      <w:r>
        <w:t xml:space="preserve">Oliver, D. and Burns, L. (2023) ‘Integrating care for older adults through digital systems,’ </w:t>
      </w:r>
      <w:r>
        <w:rPr>
          <w:i/>
        </w:rPr>
        <w:t>BMJ,</w:t>
      </w:r>
      <w:r>
        <w:t xml:space="preserve"> 381(6), pp. 1204–1213.</w:t>
      </w:r>
    </w:p>
    <w:p w14:paraId="7C12076B" w14:textId="77777777" w:rsidR="006362F4" w:rsidRDefault="006362F4">
      <w:pPr>
        <w:spacing w:before="200"/>
      </w:pPr>
      <w:r>
        <w:t xml:space="preserve">Phillips, D. and Glover, E. (2022) ‘Empowerment in later life: social connectedness through digital participation,’ </w:t>
      </w:r>
      <w:r>
        <w:rPr>
          <w:i/>
        </w:rPr>
        <w:t>Journal of Social Inclusion Studies,</w:t>
      </w:r>
      <w:r>
        <w:t xml:space="preserve"> 8(1), pp. 34–47.</w:t>
      </w:r>
    </w:p>
    <w:p w14:paraId="5AB392E0" w14:textId="77777777" w:rsidR="006362F4" w:rsidRDefault="006362F4">
      <w:pPr>
        <w:spacing w:before="200"/>
      </w:pPr>
      <w:r>
        <w:lastRenderedPageBreak/>
        <w:t xml:space="preserve">Price, H. and Wallace, S. (2023) ‘Assistive technologies for ageing populations: evidence-based review,’ </w:t>
      </w:r>
      <w:r>
        <w:rPr>
          <w:i/>
        </w:rPr>
        <w:t>Journal of Assistive Technologies,</w:t>
      </w:r>
      <w:r>
        <w:t xml:space="preserve"> 17(2), pp. 85–102.</w:t>
      </w:r>
    </w:p>
    <w:sectPr w:rsidR="006362F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5BEB1" w14:textId="77777777" w:rsidR="00E353B1" w:rsidRDefault="00E353B1" w:rsidP="008F42A3">
      <w:pPr>
        <w:spacing w:line="240" w:lineRule="auto"/>
      </w:pPr>
      <w:r>
        <w:separator/>
      </w:r>
    </w:p>
  </w:endnote>
  <w:endnote w:type="continuationSeparator" w:id="0">
    <w:p w14:paraId="5BBB3993" w14:textId="77777777" w:rsidR="00E353B1" w:rsidRDefault="00E353B1" w:rsidP="008F42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899F61-8087-46AF-B2BC-FE8D1D1562AB}"/>
  </w:font>
  <w:font w:name="Century Schoolbook">
    <w:panose1 w:val="02040604050505020304"/>
    <w:charset w:val="00"/>
    <w:family w:val="roman"/>
    <w:pitch w:val="variable"/>
    <w:sig w:usb0="00000287" w:usb1="00000000" w:usb2="00000000" w:usb3="00000000" w:csb0="0000009F" w:csb1="00000000"/>
    <w:embedRegular r:id="rId2" w:fontKey="{EB572F1A-FC62-40A9-9EDB-81B47418ABE1}"/>
  </w:font>
  <w:font w:name="Century Gothic">
    <w:panose1 w:val="020B0502020202020204"/>
    <w:charset w:val="00"/>
    <w:family w:val="swiss"/>
    <w:pitch w:val="variable"/>
    <w:sig w:usb0="00000287" w:usb1="00000000" w:usb2="00000000" w:usb3="00000000" w:csb0="0000009F" w:csb1="00000000"/>
    <w:embedBold r:id="rId3" w:fontKey="{8A0FA66F-25BF-4660-A801-4B9230F17494}"/>
  </w:font>
  <w:font w:name="Cambria">
    <w:panose1 w:val="02040503050406030204"/>
    <w:charset w:val="00"/>
    <w:family w:val="roman"/>
    <w:pitch w:val="variable"/>
    <w:sig w:usb0="E00006FF" w:usb1="420024FF" w:usb2="02000000" w:usb3="00000000" w:csb0="0000019F" w:csb1="00000000"/>
    <w:embedRegular r:id="rId4" w:fontKey="{02B3E84A-1D80-4F43-B8BD-4684EE38611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AEA4E" w14:textId="77777777" w:rsidR="00E353B1" w:rsidRDefault="00E353B1" w:rsidP="008F42A3">
      <w:pPr>
        <w:spacing w:line="240" w:lineRule="auto"/>
      </w:pPr>
      <w:r>
        <w:separator/>
      </w:r>
    </w:p>
  </w:footnote>
  <w:footnote w:type="continuationSeparator" w:id="0">
    <w:p w14:paraId="78301A3A" w14:textId="77777777" w:rsidR="00E353B1" w:rsidRDefault="00E353B1" w:rsidP="008F42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2BE"/>
    <w:multiLevelType w:val="multilevel"/>
    <w:tmpl w:val="FDBA7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906357C"/>
    <w:multiLevelType w:val="multilevel"/>
    <w:tmpl w:val="287C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40975"/>
    <w:multiLevelType w:val="multilevel"/>
    <w:tmpl w:val="12A25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124ABF"/>
    <w:multiLevelType w:val="multilevel"/>
    <w:tmpl w:val="ACBA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AA59A5"/>
    <w:multiLevelType w:val="multilevel"/>
    <w:tmpl w:val="B082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BF0D77"/>
    <w:multiLevelType w:val="multilevel"/>
    <w:tmpl w:val="7F1CE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683586"/>
    <w:multiLevelType w:val="multilevel"/>
    <w:tmpl w:val="1DCC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2C2387"/>
    <w:multiLevelType w:val="multilevel"/>
    <w:tmpl w:val="42C27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834E9F"/>
    <w:multiLevelType w:val="multilevel"/>
    <w:tmpl w:val="DA9E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DE42D1"/>
    <w:multiLevelType w:val="multilevel"/>
    <w:tmpl w:val="2214E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96226D"/>
    <w:multiLevelType w:val="multilevel"/>
    <w:tmpl w:val="CA720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5B47C8"/>
    <w:multiLevelType w:val="multilevel"/>
    <w:tmpl w:val="ECF4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1D461A"/>
    <w:multiLevelType w:val="multilevel"/>
    <w:tmpl w:val="3B741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E241A16"/>
    <w:multiLevelType w:val="multilevel"/>
    <w:tmpl w:val="F38C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108438">
    <w:abstractNumId w:val="7"/>
  </w:num>
  <w:num w:numId="2" w16cid:durableId="1974871369">
    <w:abstractNumId w:val="5"/>
  </w:num>
  <w:num w:numId="3" w16cid:durableId="881291123">
    <w:abstractNumId w:val="2"/>
  </w:num>
  <w:num w:numId="4" w16cid:durableId="2634443">
    <w:abstractNumId w:val="9"/>
  </w:num>
  <w:num w:numId="5" w16cid:durableId="1915042083">
    <w:abstractNumId w:val="12"/>
  </w:num>
  <w:num w:numId="6" w16cid:durableId="207962033">
    <w:abstractNumId w:val="3"/>
  </w:num>
  <w:num w:numId="7" w16cid:durableId="1827014417">
    <w:abstractNumId w:val="0"/>
  </w:num>
  <w:num w:numId="8" w16cid:durableId="347948150">
    <w:abstractNumId w:val="11"/>
  </w:num>
  <w:num w:numId="9" w16cid:durableId="657728325">
    <w:abstractNumId w:val="8"/>
  </w:num>
  <w:num w:numId="10" w16cid:durableId="1248881626">
    <w:abstractNumId w:val="1"/>
  </w:num>
  <w:num w:numId="11" w16cid:durableId="1289629012">
    <w:abstractNumId w:val="10"/>
  </w:num>
  <w:num w:numId="12" w16cid:durableId="972060080">
    <w:abstractNumId w:val="13"/>
  </w:num>
  <w:num w:numId="13" w16cid:durableId="899822722">
    <w:abstractNumId w:val="4"/>
  </w:num>
  <w:num w:numId="14" w16cid:durableId="6652052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A8D"/>
    <w:rsid w:val="00004E00"/>
    <w:rsid w:val="002A5625"/>
    <w:rsid w:val="00432418"/>
    <w:rsid w:val="005151FC"/>
    <w:rsid w:val="00530024"/>
    <w:rsid w:val="006362F4"/>
    <w:rsid w:val="006C69CB"/>
    <w:rsid w:val="00737A72"/>
    <w:rsid w:val="00892ACC"/>
    <w:rsid w:val="008E2FA7"/>
    <w:rsid w:val="008E6178"/>
    <w:rsid w:val="008F42A3"/>
    <w:rsid w:val="009E7D91"/>
    <w:rsid w:val="009F1B28"/>
    <w:rsid w:val="00AE31ED"/>
    <w:rsid w:val="00B867C5"/>
    <w:rsid w:val="00BF530D"/>
    <w:rsid w:val="00E353B1"/>
    <w:rsid w:val="00E63A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F5B99"/>
  <w15:docId w15:val="{77994491-A717-4ACB-95D4-656276677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362F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362F4"/>
    <w:pPr>
      <w:spacing w:after="100"/>
    </w:pPr>
  </w:style>
  <w:style w:type="paragraph" w:styleId="TOC2">
    <w:name w:val="toc 2"/>
    <w:basedOn w:val="Normal"/>
    <w:next w:val="Normal"/>
    <w:autoRedefine/>
    <w:uiPriority w:val="39"/>
    <w:unhideWhenUsed/>
    <w:rsid w:val="006362F4"/>
    <w:pPr>
      <w:spacing w:after="100"/>
      <w:ind w:left="240"/>
    </w:pPr>
  </w:style>
  <w:style w:type="character" w:styleId="Hyperlink">
    <w:name w:val="Hyperlink"/>
    <w:basedOn w:val="DefaultParagraphFont"/>
    <w:uiPriority w:val="99"/>
    <w:unhideWhenUsed/>
    <w:rsid w:val="006362F4"/>
    <w:rPr>
      <w:color w:val="0000FF" w:themeColor="hyperlink"/>
      <w:u w:val="single"/>
    </w:rPr>
  </w:style>
  <w:style w:type="character" w:customStyle="1" w:styleId="Heading1Char">
    <w:name w:val="Heading 1 Char"/>
    <w:link w:val="Heading1"/>
    <w:uiPriority w:val="9"/>
    <w:rsid w:val="00AE31ED"/>
    <w:rPr>
      <w:b/>
      <w:sz w:val="28"/>
      <w:szCs w:val="28"/>
    </w:rPr>
  </w:style>
  <w:style w:type="paragraph" w:styleId="NoSpacing">
    <w:name w:val="No Spacing"/>
    <w:uiPriority w:val="1"/>
    <w:qFormat/>
    <w:rsid w:val="00AE31ED"/>
    <w:pPr>
      <w:spacing w:after="220" w:line="240" w:lineRule="auto"/>
      <w:jc w:val="left"/>
    </w:pPr>
    <w:rPr>
      <w:rFonts w:ascii="Century Schoolbook" w:hAnsi="Century Schoolbook"/>
      <w:sz w:val="22"/>
      <w:szCs w:val="22"/>
      <w:lang w:val="en-US" w:eastAsia="en-US"/>
    </w:rPr>
  </w:style>
  <w:style w:type="paragraph" w:styleId="Header">
    <w:name w:val="header"/>
    <w:basedOn w:val="Normal"/>
    <w:link w:val="HeaderChar"/>
    <w:uiPriority w:val="99"/>
    <w:unhideWhenUsed/>
    <w:rsid w:val="008F42A3"/>
    <w:pPr>
      <w:tabs>
        <w:tab w:val="center" w:pos="4680"/>
        <w:tab w:val="right" w:pos="9360"/>
      </w:tabs>
      <w:spacing w:line="240" w:lineRule="auto"/>
    </w:pPr>
  </w:style>
  <w:style w:type="character" w:customStyle="1" w:styleId="HeaderChar">
    <w:name w:val="Header Char"/>
    <w:basedOn w:val="DefaultParagraphFont"/>
    <w:link w:val="Header"/>
    <w:uiPriority w:val="99"/>
    <w:rsid w:val="008F42A3"/>
  </w:style>
  <w:style w:type="paragraph" w:styleId="Footer">
    <w:name w:val="footer"/>
    <w:basedOn w:val="Normal"/>
    <w:link w:val="FooterChar"/>
    <w:uiPriority w:val="99"/>
    <w:unhideWhenUsed/>
    <w:rsid w:val="008F42A3"/>
    <w:pPr>
      <w:tabs>
        <w:tab w:val="center" w:pos="4680"/>
        <w:tab w:val="right" w:pos="9360"/>
      </w:tabs>
      <w:spacing w:line="240" w:lineRule="auto"/>
    </w:pPr>
  </w:style>
  <w:style w:type="character" w:customStyle="1" w:styleId="FooterChar">
    <w:name w:val="Footer Char"/>
    <w:basedOn w:val="DefaultParagraphFont"/>
    <w:link w:val="Footer"/>
    <w:uiPriority w:val="99"/>
    <w:rsid w:val="008F4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encrypted-tbn0.gstatic.com/images?q=tbn:ANd9GcQ0BtZ3W6B31VII3_Tr7nuplDdXbZrP1zZpIw&amp;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https://www.agewellfoundation.org/wp-content/uploads/2018/08/8.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BE89F-4E36-4EB4-850C-FED31832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4678</Words>
  <Characters>26669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Anca</cp:lastModifiedBy>
  <cp:revision>6</cp:revision>
  <dcterms:created xsi:type="dcterms:W3CDTF">2025-12-16T19:35:00Z</dcterms:created>
  <dcterms:modified xsi:type="dcterms:W3CDTF">2025-12-16T19:46:00Z</dcterms:modified>
</cp:coreProperties>
</file>