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2E6" w:rsidRDefault="00CD62E6" w:rsidP="00F20E92">
      <w:pPr>
        <w:spacing w:line="360" w:lineRule="auto"/>
        <w:jc w:val="both"/>
        <w:rPr>
          <w:rFonts w:ascii="Arial" w:hAnsi="Arial" w:cs="Arial"/>
          <w:sz w:val="24"/>
          <w:szCs w:val="24"/>
          <w:lang w:val="cy-GB"/>
        </w:rPr>
      </w:pPr>
      <w:r w:rsidRPr="00CD62E6">
        <w:rPr>
          <w:rFonts w:ascii="Arial" w:hAnsi="Arial" w:cs="Arial"/>
          <w:sz w:val="24"/>
          <w:szCs w:val="24"/>
          <w:lang w:val="cy-GB"/>
        </w:rPr>
        <w:t xml:space="preserve">Caiff plentyndod eu diffinio fel yr amser treuliwyd o fod yn blentyn tan eu bod yn cael eu labeli fel oedolyn, sydd gan amlaf pan fyddant yn cyrraedd tua Undeg wyth oed (Waller a Davies, 2005). Yn ôl Jenks (2005), nid ydyn yn gwybod unrhyw beth am blentyndod. Dwedwyd fod yr ysgrifenwyr doethaf i weld yn ymrwymo eu hun i’r ffaith y dylai dyn wybod beth mae plentyn yn gallu dysgu, heb ofyn i blant. Credwyd Jenks fod pobl yn edrych am y dyn mewn plentyn, heb ystyried beth yw’r plentyn cyn iddo ddod yn ddyn. </w:t>
      </w:r>
    </w:p>
    <w:p w:rsidR="00CD62E6" w:rsidRDefault="00CD62E6" w:rsidP="00F20E92">
      <w:pPr>
        <w:spacing w:line="360" w:lineRule="auto"/>
        <w:jc w:val="both"/>
        <w:rPr>
          <w:rFonts w:ascii="Arial" w:hAnsi="Arial" w:cs="Arial"/>
          <w:sz w:val="24"/>
          <w:szCs w:val="24"/>
          <w:lang w:val="cy-GB"/>
        </w:rPr>
      </w:pPr>
      <w:r w:rsidRPr="00CD62E6">
        <w:rPr>
          <w:rFonts w:ascii="Arial" w:hAnsi="Arial" w:cs="Arial"/>
          <w:sz w:val="24"/>
          <w:szCs w:val="24"/>
          <w:lang w:val="cy-GB"/>
        </w:rPr>
        <w:t xml:space="preserve">Mae’r Iseldiroedd yn un o wledydd yn y byd sydd yn rhedeg nifer o brosiectau plentyndod cynnar, sydd naill ai yn uniongyrchol neu anuniongyrchol drwy sefydliadau anllywodraethol. Er hynny, mae’r Deyrnas Unedig yn cael eu heithrio, gan eu bod yn dadlau yn erbyn cyllido plentyndod cynnar, gan nad iw’n  gweld yn flaenoriaeth (Penn, 2005). </w:t>
      </w:r>
    </w:p>
    <w:p w:rsidR="00CD62E6" w:rsidRDefault="00CD62E6" w:rsidP="00F20E92">
      <w:pPr>
        <w:spacing w:line="360" w:lineRule="auto"/>
        <w:jc w:val="both"/>
        <w:rPr>
          <w:rFonts w:ascii="Arial" w:hAnsi="Arial" w:cs="Arial"/>
          <w:sz w:val="24"/>
          <w:szCs w:val="24"/>
          <w:lang w:val="cy-GB"/>
        </w:rPr>
      </w:pPr>
      <w:r w:rsidRPr="00CD62E6">
        <w:rPr>
          <w:rFonts w:ascii="Arial" w:hAnsi="Arial" w:cs="Arial"/>
          <w:sz w:val="24"/>
          <w:szCs w:val="24"/>
          <w:lang w:val="cy-GB"/>
        </w:rPr>
        <w:t>Nod yr aseiniad ydy cymharu'r effaith mae byw mewn dwy wlad ddewisedig, sef Cymru a’r Iseldiroedd yn cael ar fywydau plant yn y blynyddoedd cynnar o’i bywydau. Bu’n bwysig i edrych ar y ffordd o fyw yn y ddwy wlad, yr hawliau gwahanol sydd gan blant, yr addysg sy’n cael eu darparu, ag unrhyw bolisïau sydd yn cael effaith ar y ffordd o fyw, a datblygiad plant ifanc yn y ddwy wlad ddewisedig. Fel rhan o’r aseiniad, byddwn yn gwneud cysylltiadau gyda’r ‘UNCRC’, y deddfau gwahanol sydd ar gael yn y ddwy wlad dewisiedig, ag hefyd y hawl sydd gan blant i siarad eu iaith cartrefol heb cael eu labelu.</w:t>
      </w:r>
    </w:p>
    <w:p w:rsidR="00CD62E6" w:rsidRDefault="00CD62E6" w:rsidP="00FD11AE">
      <w:pPr>
        <w:spacing w:line="360" w:lineRule="auto"/>
        <w:jc w:val="both"/>
        <w:rPr>
          <w:rFonts w:ascii="Arial" w:hAnsi="Arial" w:cs="Arial"/>
          <w:sz w:val="24"/>
          <w:szCs w:val="24"/>
          <w:lang w:val="cy-GB"/>
        </w:rPr>
      </w:pPr>
      <w:r w:rsidRPr="00CD62E6">
        <w:rPr>
          <w:rFonts w:ascii="Arial" w:hAnsi="Arial" w:cs="Arial"/>
          <w:sz w:val="24"/>
          <w:szCs w:val="24"/>
          <w:lang w:val="cy-GB"/>
        </w:rPr>
        <w:t xml:space="preserve">Un damcaniaeth sydd yn cefnogi hawliau plant fel unigolion ydy’r United Nations Conventions on the Rights of the Child (UNCRC). Mae’r damcaniaeth wedi cael eu hadeiladu allan o bumdeg pedwar erthygl sydd yn amlinellu hawliau plant sydd o dan Undeg wyth blwydd oed, oni bai fod llywodraethau mewn gwledydd gwahanol yn gosod yr oedran oedolyn yn iselach nag Undeg wyth. </w:t>
      </w:r>
    </w:p>
    <w:p w:rsidR="00CD62E6" w:rsidRDefault="00CD62E6" w:rsidP="00FD11AE">
      <w:pPr>
        <w:spacing w:line="360" w:lineRule="auto"/>
        <w:jc w:val="both"/>
        <w:rPr>
          <w:rFonts w:ascii="Arial" w:hAnsi="Arial" w:cs="Arial"/>
          <w:sz w:val="24"/>
          <w:szCs w:val="24"/>
          <w:lang w:val="cy-GB"/>
        </w:rPr>
      </w:pPr>
      <w:r w:rsidRPr="00CD62E6">
        <w:rPr>
          <w:rFonts w:ascii="Arial" w:hAnsi="Arial" w:cs="Arial"/>
          <w:sz w:val="24"/>
          <w:szCs w:val="24"/>
          <w:lang w:val="cy-GB"/>
        </w:rPr>
        <w:t xml:space="preserve">Yn ôl Unicef, ers i’r confensiwn cael eu cyhoeddi yn1989, mae’r UNCRC wedi cael eu mabwysiadu gan holl wledydd y cenhedloedd unedig heb law am America, sydd yn gyfanswm o can nawdeg tri o wledydd (UNICEF, No date).  </w:t>
      </w:r>
    </w:p>
    <w:p w:rsidR="00CD62E6" w:rsidRDefault="00D35154" w:rsidP="00CD62E6">
      <w:pPr>
        <w:spacing w:line="360" w:lineRule="auto"/>
        <w:jc w:val="both"/>
        <w:rPr>
          <w:rFonts w:ascii="Arial" w:hAnsi="Arial" w:cs="Arial"/>
          <w:sz w:val="24"/>
          <w:szCs w:val="24"/>
          <w:lang w:val="cy-GB"/>
        </w:rPr>
      </w:pPr>
      <w:r>
        <w:rPr>
          <w:rFonts w:ascii="Arial" w:hAnsi="Arial" w:cs="Arial"/>
          <w:sz w:val="24"/>
          <w:szCs w:val="24"/>
          <w:lang w:val="cy-GB"/>
        </w:rPr>
        <w:t xml:space="preserve">Mae dau allan o’r cant nawdeg tri o wledydd yma yn cynnwys Cymru, a’r Iseldiroedd. </w:t>
      </w:r>
      <w:r w:rsidR="00CD62E6" w:rsidRPr="00CD62E6">
        <w:rPr>
          <w:rFonts w:ascii="Arial" w:hAnsi="Arial" w:cs="Arial"/>
          <w:sz w:val="24"/>
          <w:szCs w:val="24"/>
          <w:lang w:val="cy-GB"/>
        </w:rPr>
        <w:t xml:space="preserve">Arwyddwyd yr Iseldiroedd yr UNCRC yn 1995 (Government of Netherlands, No </w:t>
      </w:r>
      <w:r w:rsidR="00CD62E6" w:rsidRPr="00CD62E6">
        <w:rPr>
          <w:rFonts w:ascii="Arial" w:hAnsi="Arial" w:cs="Arial"/>
          <w:sz w:val="24"/>
          <w:szCs w:val="24"/>
          <w:lang w:val="cy-GB"/>
        </w:rPr>
        <w:lastRenderedPageBreak/>
        <w:t xml:space="preserve">Date), lle bu Cymru tipyn yn hwyrach yn arwyddo yn y flwyddyn 2004 (Llywodraeth Cymru, 2015). </w:t>
      </w:r>
    </w:p>
    <w:p w:rsidR="00CD62E6" w:rsidRDefault="00CD62E6" w:rsidP="00CD62E6">
      <w:pPr>
        <w:spacing w:line="360" w:lineRule="auto"/>
        <w:jc w:val="both"/>
        <w:rPr>
          <w:rFonts w:ascii="Arial" w:hAnsi="Arial" w:cs="Arial"/>
          <w:color w:val="212121"/>
          <w:sz w:val="24"/>
          <w:szCs w:val="24"/>
          <w:lang w:val="cy-GB"/>
        </w:rPr>
      </w:pPr>
      <w:r w:rsidRPr="00CD62E6">
        <w:rPr>
          <w:rFonts w:ascii="Arial" w:hAnsi="Arial" w:cs="Arial"/>
          <w:sz w:val="24"/>
          <w:szCs w:val="24"/>
          <w:lang w:val="cy-GB"/>
        </w:rPr>
        <w:t xml:space="preserve">Yn ôl Llywodraeth yr Iseldiroedd mae hawliau plant yn cael eu rheoleiddio’n arbennig o dda, ag er mwyn sicrhau hyn, mae ganddynt Ombwdsmon Plant yn arsylwi un rhywbeth sydd yn chwarae rhan ym mywydau plant, er mwyn sicrhau fod y llywodraeth yn dilyn Confensiwn y Cenhedloedd Unedig ar hawliau plant. Mae’r ombwdsmon yn archwilio unrhyw gwynion sydd yn ymwneud a’r llwydroaeth, ysgolion, ysbytai a meithrinfeydd. Mae’n archwilio unrhyw droseddau o fewn hawliau plant yn yr Iseldiroedd ag hefyd yn rhoi cymorth i blant am eu hawliau nhw fel unigolion (Government of Netherlands, No Date). </w:t>
      </w:r>
      <w:r w:rsidRPr="00CD62E6">
        <w:rPr>
          <w:rFonts w:ascii="Arial" w:hAnsi="Arial" w:cs="Arial"/>
          <w:color w:val="212121"/>
          <w:sz w:val="24"/>
          <w:szCs w:val="24"/>
          <w:lang w:val="cy-GB"/>
        </w:rPr>
        <w:t xml:space="preserve">Fodd bynnag, yn ôl Humanium.org (No Date), cyhoeddwyd Comisiynydd Hawliau Dynol Cyngor Ewrop eu bod yn pryderu am y tueddiadau hiliol a mathau eraill o anoddefgarwch sydd i’w weld yn yr Iseldiroedd. Dwedwyd fod mathau o wahaniaethu sydd i’w weld yn yr Iseldiroedd yn seiliedig ar hil, rhyw, crefydd a tharddiad unigolion. Dwedwyd fod plant Mwslimaidd, ceiswyr lloches a ffoaduriaid yn dioddef o sylwadau a gweithredoedd hiliol o’r gymdeithas ehangach. Er gwaethaf gwelliannau, mae’r pryderon dal i sefyll, dwedwyd fod angen iddynt atgyfnerthu polisïau lle fydd yn atal a ymwybyddu pobl er mwyn ceisio lleihau a dileu'r gwahaniaethu sydd yn digwydd yn yr Iseldiroedd. </w:t>
      </w:r>
    </w:p>
    <w:p w:rsidR="00CD62E6" w:rsidRDefault="00CD62E6" w:rsidP="00CD62E6">
      <w:pPr>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Yn debyg i’r Iseldiroedd, mae rôl y Comisiynydd Plant wedi bodoli yng Nghymru ers 2001. Mae Sally Holland, sydd erbyn hyn yn cynrychioli ei’n plant yng Nghymru yn sicrhau bod lleisiau ei’n plant, a fod polisïau a gweithredoedd sydd yn cael eu cynnig gan y Llywodraeth a safleoedd gofal plant yn glynu gyda’r Confensiwn ar Hawliau Plant (Comisiynydd Plant Cymru, 2018). Mae rôl y Comisiynydd yn cynnwys y pŵer i fonitro pa mor effeithiol yw’r gweithredoedd sydd gyda ni fel Llywodraeth mewn lle er mwyn delio gyda chwynion, hybu hawliau a lles plant, a delio gyda digwyddiadau fel ‘whistle blowing’. Y pŵer i archwilio achosion mewn perthynas ag unigolion mewn amgylchiadau gwahanol, a rhoi cymorth i’r plentyn</w:t>
      </w:r>
      <w:r w:rsidR="00BE1A80">
        <w:rPr>
          <w:rFonts w:ascii="Arial" w:hAnsi="Arial" w:cs="Arial"/>
          <w:color w:val="212121"/>
          <w:sz w:val="24"/>
          <w:szCs w:val="24"/>
          <w:lang w:val="cy-GB"/>
        </w:rPr>
        <w:t xml:space="preserve">. </w:t>
      </w:r>
      <w:r w:rsidRPr="00CD62E6">
        <w:rPr>
          <w:rFonts w:ascii="Arial" w:hAnsi="Arial" w:cs="Arial"/>
          <w:color w:val="212121"/>
          <w:sz w:val="24"/>
          <w:szCs w:val="24"/>
          <w:lang w:val="cy-GB"/>
        </w:rPr>
        <w:t xml:space="preserve">Er bod rôl y Comisiynydd wedi cael eu creu ar gyfer sicrhau fod hawliau plant yn cael eu gweithredu yng Nghymru, dwedwyd Jones a Walker, (2011) fod pwyllgor y Confensiwn yng Nghymru wedi beirniadu methiant y Llywodraeth i weithredu'r confensiwn. Daw hyn bron i ddegawd ers i Gymru arwyddo’r Confensiwn. Mae Cymru i weld yn cymryd sylw rhai erthyglau'r confensiwn yn fwy na rhai eraill. Mae erthygl Undeg dau, ag Undeg tri, sef </w:t>
      </w:r>
      <w:r w:rsidRPr="00CD62E6">
        <w:rPr>
          <w:rFonts w:ascii="Arial" w:hAnsi="Arial" w:cs="Arial"/>
          <w:color w:val="212121"/>
          <w:sz w:val="24"/>
          <w:szCs w:val="24"/>
          <w:lang w:val="cy-GB"/>
        </w:rPr>
        <w:lastRenderedPageBreak/>
        <w:t xml:space="preserve">ymgorffori hawl plant a phobl ifanc i fynegi llais a barn, ag yr hawl fod y rhain yn cael eu hystyried mewn penderfyniadau sydd yn cael effaith ar eu bywydau. Yn wahanol i’r Iseldiroedd, mae’r hawl hyn yn cynnwys pob plentyn a pherson ifanc, beth bynnag yw eu rhyw, hil, lliw croen, cefndir, iaith, crefydd a gallu'r unigolyn (Jones a Walker, 2011). </w:t>
      </w:r>
    </w:p>
    <w:p w:rsidR="00CD62E6" w:rsidRDefault="00CD62E6" w:rsidP="00D9792F">
      <w:pPr>
        <w:pStyle w:val="HTMLPreformatted"/>
        <w:shd w:val="clear" w:color="auto" w:fill="FFFFFF"/>
        <w:spacing w:line="360" w:lineRule="auto"/>
        <w:jc w:val="both"/>
        <w:rPr>
          <w:rFonts w:ascii="Arial" w:eastAsiaTheme="minorHAnsi" w:hAnsi="Arial" w:cs="Arial"/>
          <w:color w:val="212121"/>
          <w:sz w:val="24"/>
          <w:szCs w:val="24"/>
          <w:lang w:val="cy-GB" w:eastAsia="en-US"/>
        </w:rPr>
      </w:pPr>
      <w:r w:rsidRPr="00CD62E6">
        <w:rPr>
          <w:rFonts w:ascii="Arial" w:eastAsiaTheme="minorHAnsi" w:hAnsi="Arial" w:cs="Arial"/>
          <w:color w:val="212121"/>
          <w:sz w:val="24"/>
          <w:szCs w:val="24"/>
          <w:lang w:val="cy-GB" w:eastAsia="en-US"/>
        </w:rPr>
        <w:t xml:space="preserve">Er bod y pryderon cyhoeddwyd gan y Comisiynydd Hawliau Dynol Cyngor Ewrop yn edrych ar y gwahaniaethu sydd yn digwydd yn yr Iseldiroedd, lle mae unigolion yn cael eu gwahaniaethu am eu rhyw, lliw, crefydd a hil. Mae Llywodraeth yr Iseldiroedd yn datgan fod ganddynt bolisi sydd wedi eu henwi fel ‘Gwahardd Gwahaniaethu’ mewn lle, er mwyn sicrhau fod neb yn cael eu gwahaniaethu. Mae’r gyfraith yn rhestri beth sydd yn cael eu cyfri fel gwahaniaethu yn eu gwlad, sydd yn cynnwys, rhyw, lliw, crefydd a chenedl (Government of the Netherlands, no date). </w:t>
      </w:r>
    </w:p>
    <w:p w:rsidR="00CD62E6" w:rsidRDefault="00CD62E6" w:rsidP="00D9792F">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 xml:space="preserve">Wrth edrych ar erthygl gan Verkutyen a Thijs (2010) sydd yn edrych ar yr effaith mae gwahaniaethu yn cael ar blant yn yr Iseldiroedd, darganfyddwyd fod plant o gefndiroedd Twrci a Moroco yn fwy tebygol o gael eu gwahaniaethu yn yr Iseldiroedd na rhai unigolion o gefndiroedd gwahanol. Nid oedd darganfyddiadau'r erthygl yn pwysleisio ar beth oedd effaith y gwahaniaethu, a sut oedd yr unigolion yn cael eu gwahaniaethu.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 xml:space="preserve">Fel rhan o asesu'r effaith mae polisïau a gweithdrefnau sydd yn cael eu cyhoeddi yng Nghymru, darganfyddwyd mae asesu yw’r ffordd allweddol mae awdurdodau cyhoeddus yng Nghymru yn talu sylw penodol ar sut maent yn gwneud yr ymdrech i ddileu unrhyw fathau o wahaniaethu (Llywodraeth Cymru, 2017).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 xml:space="preserve">Yn ôl adroddiad gan Unicef (2007) sydd yn cymryd golwg ar les plant sydd yn byw mewn gwledydd cyfoethog. Mae’r Iseldiroedd yn dod i’r brig, ond mae’r Deyrnas Unedig fel teyrnas gyfan yn ymddangos ar waelod y tabl.  Mae darganfyddiadau'r tabl yn seiliedig ar astudiaethau sydd yn edrych ar safonau addysgol ac iechyd, ymddygiad rhywiol a pherthynas y plant rhwng ffrindiau a rhieni (Westcott, 2007). Mae’r Iseldiroedd yn cael eu hadnabod fel gwlad gyfoethog dros ben, lle mae’r perthynas rhwng rhieni a phlant yn un cryf, sydd yn cael eu hadrodd i roi llai o bwysau ar blant yn yr ysgol. Ag yn ôl Acosta a Hutchison (2017) mae’r hapusrwydd yma yn ymddangos mewn ymddygiad babanod yn yr Iseldiroedd, lle adroddwyd fod y rhyddhad mae’r plant yn cael yn yr Iseldiroedd yn dylanwadu ar hapusrwydd y plant yma cymharu â rhai mewn gwledydd eraill.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lastRenderedPageBreak/>
        <w:t xml:space="preserve">Mae lles plant a phobl ifanc yng Nghymru yn cael eu monitro, a’r darganfyddiadau yn cael eu cyhoeddi gan Lywodraeth Cymru. Ac wrth edrych ar rhai darganfyddiadau'r Llywodraeth, mae lefelau boddhad bywyd merched i weld yn cwympo wrth iddynt fynd yn hyn, i gymharu â bechgyn sydd yn aros yn gymharol gyson wrth iddynt fynd yn hyn.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 xml:space="preserve">Mae’r tabl gan Unicef yn dangos gwahaniaeth enfawr yn adran lles addysgol plant yn y ddwy wlad. Lle caiff yr Iseldiroedd eu sgorio gyda lefel chwech, a’r Deyrnas Unedig yn cael eu sgorio gyda lefel o Undeg saith, sydd yn ymddangos yng nghategori gwaethaf y tabl. Mae’r adroddiad gan Lywodraeth Cymru yn dangos gwelliannau mewn datblygiadau addysgol plant yng Nghymru. Wrth edrych ar addysg yn y blynyddoedd cynnar, ar y cyfan mae disgyblion erbyn hyn yn cyflawni'r lefel ddisgwyliedig o fewn adran y Cyfnod Sylfaen, sydd yn dangos wythdeg pump y cant yn dwy fil ag undeg pedwar. Mae hyn y dangos tamaid bach o gynnydd ers dwy fil ag undeg tri lle'r oedd y canran yn cyrraedd wyth deg tri y cant (Llywodraeth Cymru, 2015). Fodd bynnag, nid yw’r canlyniad cyffredinol yn dangos llawer o newid mewn lles plant yng Nghymru ers rhwng dwy fil ag un, a dwy fil ag undeg pedwar.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Fel rhan o gyfraith addysgol yr Iseldiroedd mae’n rhaid bod plant yn cael eu dysgu mewn ysgol/sefydliad addysgol, felly nid yw dysgu o’r cartref yn opsiwn i blant yr Iseldiroedd (Blok, 2004). Credwyd fod dysgu o adref yn berygl ar gyfer datblygiad plant. Dywed y National Centre on Education and the Economy (No Date) fod nawdeg wyth y cant o blant yr Iseldiroedd yn dechrau meithrin erbyn tair blwydd a deg mis oed, sef yr oedran cynharaf mae’r llywodraeth yn hawlio plant i ddechrau meithrin. Erbyn eu bod yn cyrraedd pum blwydd oed maent yn mynychu’r ysgol gynradd. Mae’r oedrannau tamaid bach yn wahanol yng Nghymru, lle mae gan blant sydd yn ddwy flwydd oed yr hawl i fynychu’r ysgol feithrin cyn symud i’r ysgol gynradd pan fyddai’n cyrraedd pedair blwydd oed. </w:t>
      </w:r>
    </w:p>
    <w:p w:rsidR="00C31594" w:rsidRPr="00C31594" w:rsidRDefault="00C31594" w:rsidP="00C3159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Yng Nghymru rydym yn dilyn fframwaith y Cyfnod Sylfaen, lle rydym yn hybu plant i ddysgu drwy chwarae, mae’r Iseldiroedd i weld yn canolbwyntio mwy ar bynciau a sgiliau sylfaenol, fel darllen, ysgrifennu a rhifedd (Kuiper, No Date). Yn y flwyddyn ddiwethaf o’r ysgol gynradd, bu plant yn gorfod eistedd arholiadau cenedlaethol, lle bu’r canlyniadau yn penderfynu ar ba ysgol uwchradd bydd y plant yn mynychu. Mae’r ysgolion uwchradd yn cael eu rhannu i dair gwahanol gategori, sef,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lastRenderedPageBreak/>
        <w:t>ysgol gyffredinol, academaidd neu alwedigaethol. Ers 2007, yn yr Iseldiroedd mae’n rhaid i unigolion mynychu’r ysgol tan eu bod yn undeg-wyth blwydd oed, neu tan eu bod yn cael cymhwyster sylfaenol (National Centre on Education and the Economy, No Date)</w:t>
      </w:r>
      <w:r w:rsidR="00C17DD2">
        <w:rPr>
          <w:rFonts w:ascii="Arial" w:hAnsi="Arial" w:cs="Arial"/>
          <w:color w:val="212121"/>
          <w:sz w:val="24"/>
          <w:szCs w:val="24"/>
          <w:lang w:val="cy-GB"/>
        </w:rPr>
        <w:t xml:space="preserve">. </w:t>
      </w:r>
      <w:r w:rsidRPr="00C31594">
        <w:rPr>
          <w:rFonts w:ascii="Arial" w:hAnsi="Arial" w:cs="Arial"/>
          <w:color w:val="212121"/>
          <w:sz w:val="24"/>
          <w:szCs w:val="24"/>
          <w:lang w:val="cy-GB"/>
        </w:rPr>
        <w:t xml:space="preserve">Er bod y cwricwlwm yn yr Iseldiroedd yn canolbwyntio ar rhai pynciau eraill, dangoswyd data fod gordewdra yn ymddangos i fod yn broblem yn enwedig mewn plant wrth iddynt fynd yn hyn. Mae rhai yn dadlau fod hyn yn dechrau fod yn broblem oherwydd bod cymaint o bwysau ar blant i wneud yn dda yn eu gwaith darllen, ysgrifenedig a rhifedd, nid ydyn yn cael y cyfleoedd ar addysg i gymryd rhan mewn gweithgareddau corfforol (Jurg et al, 2006).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Dyma ble mae’r cwrricwlwm yn debyg ag yn wahanol rhwng yr Iseldiroedd a Chymru. Mae’r Iseldiroedd yn canolbwyntio ar waith darllen, ysgrifenedig a rhifedd, ag yna edrych ar bynciau eraill yn ychwanegol. Lle mae Cymru yn hybu plant oedran y Cyfnod Sylfaen i ddysgu pynciau'r fframwaith drwy chwarae, darganfod a chymryd risgiau. Felly mae’r fframwaith yng Nghymru yn hybu plant i ddysgu sgiliau fel ysgrifennu, a darllen wrth wneud, chwarae a defnyddio dychymyg (Cyfnod Sylfaen, 2015). Er bod gordewdra hefyd yn broblem yng Nghymru, does dim tystiolaeth i ddangos fod cysylltiadau rhwng gordewdra a’r ffordd mae addysg yn cael eu dosbarthu yn y ddwy wlad ddewisedig. </w:t>
      </w:r>
    </w:p>
    <w:p w:rsidR="004460EC"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Yn ôl Masten et al (1988) mae ymchwil yn dangos fod plant  sydd y dioddef o straen yn fwy tebygol o fod yn aflonydd, a ddim mor llwyddiannus i gymharu ar rai sydd yn gyfforddus mewn amgylchedd ysgol</w:t>
      </w:r>
      <w:r w:rsidR="00A41A29">
        <w:rPr>
          <w:rFonts w:ascii="Arial" w:hAnsi="Arial" w:cs="Arial"/>
          <w:color w:val="212121"/>
          <w:sz w:val="24"/>
          <w:szCs w:val="24"/>
          <w:lang w:val="cy-GB"/>
        </w:rPr>
        <w:t>.</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Mewn byd sydd yn newid yn gyflym, o ran technoleg, costau o fyw, swyddi rhieni, ysgolion, ac iaith. Dyma rhai enghreifftiau sydd yn effeithio teuluoedd heddiw, ag o ganlyniad yn gallu rhoi straen ar y plant. Un ffactor sydd yn medru rhoi straen ar blant o fewn amgylchedd yr ysgol ydy eu hiaith gartrefol, ar hawl i siarad eu hiaith gartrefol wrth iddynt ddysgu. </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Yn ôl Cyngor Ceredigion (2017) caiff pynciau eu cyflwyno yng Nghymraeg a Saesneg, a bod hyn yn ofyniad hanfodol sy'n adlewyrchu gofynion y Cwricwlwm Cenedlaethol. Ond caiff darpariaethau arbennig eu cynnig os fod y disgybl wedi symud i’r ardal yn ddiweddar, wedi symud o dramor sydd ddim yn siarad Cymraeg na Saesneg, neu ddisgybl sydd wedi cael eu hasesu a bod y canlyniadau yn dangos rhai anghenion ychwanegol. </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lastRenderedPageBreak/>
        <w:t>Er enghraifft bu un ysgol gyfun yng Ngheredigion sydd eisoes wedi cau, yn hyrwyddo eu bod yn ysgol ddwyieithog (Schoolguide.co.uk, no date). Fodd bynnag, yn ôl adroddiad gan Estyn (2013) caiff bron pob agwedd o’r cwricwlwm eu cyflwyno trwy gyfrwng y Gymraeg yn yr ysgol. Felly beth am y canran o blant sydd methu neu ddim yn hyderus iawn yn siarad Cymraeg. Mewn adroddiad gan Estyn, maent yn dweud fod tystiolaeth yn dangos fod plant ifanc yn gwneud cynnydd da wrth ddysgu iaith newydd, lle bu plant rhwng tri a pum blwydd oed yn derbyn sylfaen da ar gyfer dysgu’r iaith ychwanegol. Er hynny dwedir, er bod eu sgiliau yn datblygu yn dda, gan amlaf nid yw sgiliau ysgrifennu na darllen Cymraeg yn dderbyniol (Estyn, 2002).</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Bu rhai plant yn fwy cyfforddus i ddysgu am yr iaith, a bu rhai eraill yn fwy cyfforddus i ddysgu wrth ddefnyddio’r iaith, felly bu angen i rieni ac athrawon asesu’r plentyn ar ba ffordd mae’r plentyn i weld yn datblygu yn yr iaith (Marsh, No Date). Er bod dim tystiolaeth yn dangos fod y straen o ddysgu iaith newydd, neu fethu deall yr iaith sy’n cael eu siarad yn yr ysgol yn cael effaith ar blant, mae tystiolaeth yn dangos fod dysgu ail iaith yn fudd i blant. Yn ôl Gibbons (1997) mae gan blant dwyieithog fanteision dros blant uniaith, o ran datblygiad gwybyddol. Dwedir fod hyn yn rhoi mwy o allu i blant ar gyfer datrys problemau, yn ogystal ag agor drysau iddynt yn y dyfodol</w:t>
      </w:r>
      <w:r w:rsidR="001E354E">
        <w:rPr>
          <w:rFonts w:ascii="Arial" w:hAnsi="Arial" w:cs="Arial"/>
          <w:color w:val="212121"/>
          <w:sz w:val="24"/>
          <w:szCs w:val="24"/>
          <w:lang w:val="cy-GB"/>
        </w:rPr>
        <w:t xml:space="preserve">. </w:t>
      </w:r>
      <w:r w:rsidRPr="00C31594">
        <w:rPr>
          <w:rFonts w:ascii="Arial" w:hAnsi="Arial" w:cs="Arial"/>
          <w:color w:val="212121"/>
          <w:sz w:val="24"/>
          <w:szCs w:val="24"/>
          <w:lang w:val="cy-GB"/>
        </w:rPr>
        <w:t>Fodd bynnag, yn ôl Macintyre a Gardner (1994) allai dysgu ail iaith achosi pryder i ddisgyblion pan mae’n dod i brofion, ac arholiadau. Wrth iddynt ddysgu am yr iaith, prosesi’r iaith, a defnyddio’r iaith yn eu gwaith, ag i rai, mae canlyniadau'r arholiadau a phrofion yn medru teimlo fel diwedd y byd, gan fod rhai canlyniadau yn medru cael effaith ar eich dyfodol. Er bod Gibbons yn sôn am y manteision mae dwyieithrwydd yn cael ar blant, mae Extra a Verhorven (2011) yn trafod sut mae plant sydd yn dod o gefndir dwyieithog, ond yn cymdeithasu yn yr un iaith ddewisedig, er eu bod yn deall y ddwy iaith. Ond mae Cummins a Swain (2014) yn dadlau gyda hyn, wrth ddweud beth yw pwynt fod yn ddwyieithog o gwbl, os fod y system addysgol yn hybu twf a datblygiad mewn un iaith yn unig?</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Yng Nghymru mae llyfryn y fframwaith yr ydym yn dilyn, sef y Cyfnod Sylfaen yn cael eu dosbarthu yng Nghymraeg ag yn Saesneg, ond er mwyn cyrraedd gofynion y Cwricwlwm Cenedlaethol, mae’n rhaid bod y gweithgareddau sydd yn cael eu cynllunio yn cael eu dosbarthu trwy gyfrwng y Gymraeg. Er nad yw hyn yn cael eu nodi yn y canllawiau. Felly i’n plant yng Nghymru, os nad yw Cymraeg yn cael eu cyflwyno adref, fe fydd yn cael eu cyflwyno o fewn sefydliadau blynyddoedd cynnar, </w:t>
      </w:r>
      <w:r w:rsidRPr="00C31594">
        <w:rPr>
          <w:rFonts w:ascii="Arial" w:hAnsi="Arial" w:cs="Arial"/>
          <w:color w:val="212121"/>
          <w:sz w:val="24"/>
          <w:szCs w:val="24"/>
          <w:lang w:val="cy-GB"/>
        </w:rPr>
        <w:lastRenderedPageBreak/>
        <w:t xml:space="preserve">boed yn feithrinfa sydd yn cynnig sesiynau ‘Mudiad Meithrin’, sesiynau Cylch ti a fi, neu ysgol gynradd.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Yn ôl The Network of Dutch Bilingual Schools (No Date), mae’r Iseldiroedd yn hybu ysgolion ag addysg ddwyieithog, gan fod ysgolion wedi cymryd hyn ar eu pennau eu hun i helpu disgyblion i ddatblygu. Mae hyn wedi bodoli yn yr Iseldiroedd ers y flwyddyn 1989, lle ddaeth yn fwy poblogaidd a mabwysiadwyd y prosiect gan ran fwyaf o’r ysgolion yn yr Iseldiroedd. Er ar y dechrau pan ddechreuwyd ysgolion mabwysiadu'r prosiect, nid oedd fframwaith na chanllawiau i’w dilyn, felly bu’r ffordd oedd yr iaith yn cael eu dysgu i fyny i’r ysgol fel sefydliad i’w benderfynu. Ond wrth i lawer mwy o ysgolion a sefydliadau mabwysiadi’r prosiect, penderfynodd y Llywodraeth cyhoeddi canllawiau, er mwyn sicrhau fod yr iaith yn cael eu dosbarthu yn effeithiol ag yn gywir.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Yn ôl Smith (2015) mae bron i Undeg pump y cant o ysgolion cynradd yn yr iseldiroedd erbyn hyn yn medru darparu addysg trwy gyfrwng y Saesneg, Ffrenig neu Almaeneg. Mae’r Iseldiroedd wedi gwneud arbrofion ac asesu er mwyn darganfod os caiff hyn dylanwad positif ar ddatblygiad plant. Penderfynwyd gan y Llywodraeth fod eu bod am ymestyn sgiliau eu disgyblion a’i galluogi nhw i ddefnyddio mwy nag un iaith yn eu gwaith, a trwy gydol eu bywydau.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Wrth edrych ar sut mae byw yn yr Iseldiroedd a Chymru yn dylanwadu ar fywydau plant, mae’r ddwy wlad yn wahanol mewn rhai ffyrdd, ag yn debyg mewn ffyrdd eraill. Ar y cyfan mae’r ddwy wlad yn ymddangos yn hollol wahanol, wrth feddwl am y tri phwynt sydd wedi eu trafod trwy gydol yr aseiniad. Mae’r Iseldiroedd yn cael eu cyfleu fel gwlad galed i fyw ynddo os eich bod yn dod o wlad neu gefndir gwahanol yn wreiddiol. Lle mae Cymru i weld yn sicrhau fod plant tramor yn cael eu gwneud i deimlo mor gartrefol ac sy’n bosib wrth i ni weithredu sawl gyfraith er mwyn amddiffyn nhw o hiliaeth o unrhyw fath</w:t>
      </w:r>
      <w:r w:rsidR="00723484">
        <w:rPr>
          <w:rFonts w:ascii="Arial" w:hAnsi="Arial" w:cs="Arial"/>
          <w:color w:val="212121"/>
          <w:sz w:val="24"/>
          <w:szCs w:val="24"/>
          <w:lang w:val="cy-GB"/>
        </w:rPr>
        <w:t xml:space="preserve">. </w:t>
      </w:r>
      <w:r w:rsidRPr="00C31594">
        <w:rPr>
          <w:rFonts w:ascii="Arial" w:hAnsi="Arial" w:cs="Arial"/>
          <w:color w:val="212121"/>
          <w:sz w:val="24"/>
          <w:szCs w:val="24"/>
          <w:lang w:val="cy-GB"/>
        </w:rPr>
        <w:t xml:space="preserve">Yn ôl Hutcheon (2009) mae plant yn cymryd sylw ac adnabod ffactorau o hiliaeth yn gynnar yn eu bywydau, lle mae hyn yn medru effeithio arnynt, ar y ffordd maen nhw’n edrych ar bobl o dramor, a sut maent yn trin plant a theuluoedd o dramor. Ond pan ddaw i edrych ar sut mae addysg yn cael eu dosbarthu yn y ddwy wlad, mae rheolau yn yr Iseldiroedd i weld yn llawer mwy llym na beth ydyn nhw yng Nghymru. Nid oes hawl i blant cael eu dysgu o adref yn yr Iseldiroedd, lle mae hyn yn cael eu derbyn yng Nghymru. O fewn amgylched yr ysgol mae’r Iseldiroedd yn dueddol o ganolbwyntio ar dri maes yn benodol lle mae’r </w:t>
      </w:r>
      <w:r w:rsidRPr="00C31594">
        <w:rPr>
          <w:rFonts w:ascii="Arial" w:hAnsi="Arial" w:cs="Arial"/>
          <w:color w:val="212121"/>
          <w:sz w:val="24"/>
          <w:szCs w:val="24"/>
          <w:lang w:val="cy-GB"/>
        </w:rPr>
        <w:lastRenderedPageBreak/>
        <w:t xml:space="preserve">cwricwlwm yng Nghymru yn canolbwyntio ar y saith maes o ddysgu, ag yn clymu rhai ardaloedd mewn i’w gilydd er mwyn datblygu sawl sgil ar y tro.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Wrth edrych ar sut mae’r ddwy wlad yn hybu dwyieithrwydd o fewn addysg. Mae hyn yn arddangos fod y ddwy wlad yn hollol wahanol, gan fod yr Iseldiroedd wedi mabwysiadi brosiect i hybu amlieithrwydd yn yr ysgolion, lle mae Cymru yn canolbwyntio ar hybu iaith eu cenedl eu hun, sef y Gymraeg. Creda Tait (2015) allwch byth deall un iaith, tan eich bod yn deall dau. Ag ers 2014, cafodd eu gwneud yn hanfo</w:t>
      </w:r>
      <w:bookmarkStart w:id="0" w:name="_GoBack"/>
      <w:bookmarkEnd w:id="0"/>
      <w:r w:rsidRPr="00C31594">
        <w:rPr>
          <w:rFonts w:ascii="Arial" w:hAnsi="Arial" w:cs="Arial"/>
          <w:color w:val="212121"/>
          <w:sz w:val="24"/>
          <w:szCs w:val="24"/>
          <w:lang w:val="cy-GB"/>
        </w:rPr>
        <w:t xml:space="preserve">dol i blant rhwng saith ag unarddeg oedd astudio un iaith tramor, cafodd hyn eu gwneud mewn ymgyrch i gau'r gap rhwng addysg ym Mhrydain a systemau addysg tramor. </w:t>
      </w:r>
    </w:p>
    <w:p w:rsidR="00AC5A48"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I gloi, yn ôl Lee a Yoo (2014) mae’r ardal a’r wlad yr ydym yn byw ynddo yn dylanwadu ar ei’n fywydau, a chael effaith ei’n lles. Ffactorau eraill sydd yn cael effaith ar hyn ei’n amgylchedd yw teulu, ysgol a hawliau dynol. Felly wrth gymharu'r ddwy wlad mae nodweddai tebyg i ddwyieithrwydd ac addysg yn y wlad, yn medru fod yn nodwedd bositif i blant sydd yn byw yn yr Iseldiroedd, ond pan edrychwn ar y ffordd mae’r wlad yn gweithredu hawliau plant, efallai nid yw lles y plant yn dod i’r brig. Ac wrth edrych ar Gymru, mae’n ymddangos fod hawliau plant yn cael eu gweithredu, ond fod dal i fod rhai pryderon ynglŷn â sut maent yn cael eu gweithredu. Ond efallai fod lle i wella ynglŷn â sut yr ydym yn hybu amlieithrwydd yng Nghymru, a’i glymu mewn yn ei’n gwricwlwm. Er hyn, mae’r Iseldiroedd dal i ddod i’r brig wrth edrych ar tabl Unicef (2007) sydd yn asesu lles plant mewn gwledydd penodol.</w:t>
      </w:r>
    </w:p>
    <w:p w:rsidR="00545F0D" w:rsidRPr="00512AD5" w:rsidRDefault="00545F0D" w:rsidP="00512AD5">
      <w:pPr>
        <w:pStyle w:val="HTMLPreformatted"/>
        <w:shd w:val="clear" w:color="auto" w:fill="FFFFFF"/>
        <w:spacing w:line="360" w:lineRule="auto"/>
        <w:jc w:val="both"/>
        <w:rPr>
          <w:rFonts w:ascii="inherit" w:hAnsi="inherit"/>
          <w:color w:val="212121"/>
        </w:rPr>
      </w:pPr>
    </w:p>
    <w:p w:rsidR="00A91D57" w:rsidRDefault="00A91D57" w:rsidP="00FD11AE">
      <w:pPr>
        <w:spacing w:line="360" w:lineRule="auto"/>
        <w:jc w:val="both"/>
        <w:rPr>
          <w:rFonts w:ascii="Arial" w:hAnsi="Arial" w:cs="Arial"/>
          <w:sz w:val="24"/>
          <w:szCs w:val="24"/>
          <w:lang w:val="cy-GB"/>
        </w:rPr>
      </w:pPr>
    </w:p>
    <w:p w:rsidR="001A66F9" w:rsidRDefault="001A66F9" w:rsidP="00FD11AE">
      <w:pPr>
        <w:spacing w:line="360" w:lineRule="auto"/>
        <w:jc w:val="both"/>
        <w:rPr>
          <w:rFonts w:ascii="Arial" w:hAnsi="Arial" w:cs="Arial"/>
          <w:sz w:val="24"/>
          <w:szCs w:val="24"/>
          <w:lang w:val="cy-GB"/>
        </w:rPr>
      </w:pPr>
    </w:p>
    <w:p w:rsidR="002D73BB" w:rsidRDefault="002D73BB" w:rsidP="00FD11AE">
      <w:pPr>
        <w:spacing w:line="360" w:lineRule="auto"/>
        <w:jc w:val="both"/>
        <w:rPr>
          <w:rFonts w:ascii="Arial" w:hAnsi="Arial" w:cs="Arial"/>
          <w:sz w:val="24"/>
          <w:szCs w:val="24"/>
          <w:lang w:val="cy-GB"/>
        </w:rPr>
      </w:pPr>
    </w:p>
    <w:p w:rsidR="00F91083" w:rsidRDefault="00F91083" w:rsidP="00FD11AE">
      <w:pPr>
        <w:spacing w:line="360" w:lineRule="auto"/>
        <w:jc w:val="both"/>
        <w:rPr>
          <w:rFonts w:ascii="Arial" w:hAnsi="Arial" w:cs="Arial"/>
          <w:sz w:val="24"/>
          <w:szCs w:val="24"/>
          <w:lang w:val="cy-GB"/>
        </w:rPr>
      </w:pPr>
    </w:p>
    <w:p w:rsidR="00F91083" w:rsidRDefault="00F91083" w:rsidP="00FD11AE">
      <w:pPr>
        <w:spacing w:line="360" w:lineRule="auto"/>
        <w:jc w:val="both"/>
        <w:rPr>
          <w:rFonts w:ascii="Arial" w:hAnsi="Arial" w:cs="Arial"/>
          <w:sz w:val="24"/>
          <w:szCs w:val="24"/>
          <w:lang w:val="cy-GB"/>
        </w:rPr>
      </w:pPr>
    </w:p>
    <w:p w:rsidR="00F91083" w:rsidRDefault="00F91083" w:rsidP="00FD11AE">
      <w:pPr>
        <w:spacing w:line="360" w:lineRule="auto"/>
        <w:jc w:val="both"/>
        <w:rPr>
          <w:rFonts w:ascii="Arial" w:hAnsi="Arial" w:cs="Arial"/>
          <w:sz w:val="24"/>
          <w:szCs w:val="24"/>
          <w:lang w:val="cy-GB"/>
        </w:rPr>
      </w:pPr>
    </w:p>
    <w:p w:rsidR="00F91083" w:rsidRDefault="00F91083" w:rsidP="00FD11AE">
      <w:pPr>
        <w:spacing w:line="360" w:lineRule="auto"/>
        <w:jc w:val="both"/>
        <w:rPr>
          <w:rFonts w:ascii="Arial" w:hAnsi="Arial" w:cs="Arial"/>
          <w:sz w:val="24"/>
          <w:szCs w:val="24"/>
          <w:lang w:val="cy-GB"/>
        </w:rPr>
      </w:pPr>
    </w:p>
    <w:sectPr w:rsidR="00F9108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DA3" w:rsidRDefault="00894DA3" w:rsidP="00FD11AE">
      <w:pPr>
        <w:spacing w:after="0" w:line="240" w:lineRule="auto"/>
      </w:pPr>
      <w:r>
        <w:separator/>
      </w:r>
    </w:p>
  </w:endnote>
  <w:endnote w:type="continuationSeparator" w:id="0">
    <w:p w:rsidR="00894DA3" w:rsidRDefault="00894DA3" w:rsidP="00FD1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306806"/>
      <w:docPartObj>
        <w:docPartGallery w:val="Page Numbers (Bottom of Page)"/>
        <w:docPartUnique/>
      </w:docPartObj>
    </w:sdtPr>
    <w:sdtEndPr>
      <w:rPr>
        <w:noProof/>
      </w:rPr>
    </w:sdtEndPr>
    <w:sdtContent>
      <w:p w:rsidR="00F91083" w:rsidRDefault="00F91083">
        <w:pPr>
          <w:pStyle w:val="Footer"/>
          <w:jc w:val="right"/>
        </w:pPr>
        <w:r>
          <w:fldChar w:fldCharType="begin"/>
        </w:r>
        <w:r>
          <w:instrText xml:space="preserve"> PAGE   \* MERGEFORMAT </w:instrText>
        </w:r>
        <w:r>
          <w:fldChar w:fldCharType="separate"/>
        </w:r>
        <w:r w:rsidR="00E85AA6">
          <w:rPr>
            <w:noProof/>
          </w:rPr>
          <w:t>8</w:t>
        </w:r>
        <w:r>
          <w:rPr>
            <w:noProof/>
          </w:rPr>
          <w:fldChar w:fldCharType="end"/>
        </w:r>
      </w:p>
    </w:sdtContent>
  </w:sdt>
  <w:p w:rsidR="00F91083" w:rsidRDefault="00F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DA3" w:rsidRDefault="00894DA3" w:rsidP="00FD11AE">
      <w:pPr>
        <w:spacing w:after="0" w:line="240" w:lineRule="auto"/>
      </w:pPr>
      <w:r>
        <w:separator/>
      </w:r>
    </w:p>
  </w:footnote>
  <w:footnote w:type="continuationSeparator" w:id="0">
    <w:p w:rsidR="00894DA3" w:rsidRDefault="00894DA3" w:rsidP="00FD11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083" w:rsidRPr="00F91083" w:rsidRDefault="00F91083">
    <w:pPr>
      <w:pStyle w:val="Header"/>
      <w:rPr>
        <w:rFonts w:ascii="Arial" w:hAnsi="Arial" w:cs="Arial"/>
        <w:sz w:val="24"/>
        <w:szCs w:val="24"/>
      </w:rPr>
    </w:pPr>
    <w:r>
      <w:rPr>
        <w:rFonts w:ascii="Arial" w:hAnsi="Arial" w:cs="Arial"/>
        <w:sz w:val="24"/>
        <w:szCs w:val="24"/>
      </w:rPr>
      <w:t>EAEC6012</w:t>
    </w:r>
    <w:r>
      <w:rPr>
        <w:rFonts w:ascii="Arial" w:hAnsi="Arial" w:cs="Arial"/>
        <w:sz w:val="24"/>
        <w:szCs w:val="24"/>
      </w:rPr>
      <w:tab/>
      <w:t>Nifer</w:t>
    </w:r>
    <w:r w:rsidRPr="00F91083">
      <w:rPr>
        <w:rFonts w:ascii="Arial" w:hAnsi="Arial" w:cs="Arial"/>
        <w:sz w:val="24"/>
        <w:szCs w:val="24"/>
      </w:rPr>
      <w:t xml:space="preserve"> o Eiriau – 3247</w:t>
    </w:r>
    <w:r w:rsidRPr="00F91083">
      <w:rPr>
        <w:rFonts w:ascii="Arial" w:hAnsi="Arial" w:cs="Arial"/>
        <w:sz w:val="24"/>
        <w:szCs w:val="24"/>
      </w:rPr>
      <w:tab/>
      <w:t>Rhif Myfyriwr – 1402425</w:t>
    </w:r>
  </w:p>
  <w:p w:rsidR="00F91083" w:rsidRDefault="00F91083">
    <w:pPr>
      <w:pStyle w:val="Header"/>
    </w:pPr>
  </w:p>
  <w:p w:rsidR="00FD11AE" w:rsidRPr="00FD11AE" w:rsidRDefault="00FD11AE">
    <w:pPr>
      <w:pStyle w:val="Header"/>
      <w:rPr>
        <w:rFonts w:ascii="Arial" w:hAnsi="Arial" w:cs="Arial"/>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B0B93"/>
    <w:multiLevelType w:val="hybridMultilevel"/>
    <w:tmpl w:val="51B60664"/>
    <w:lvl w:ilvl="0" w:tplc="C4FC6A4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6B52F48"/>
    <w:multiLevelType w:val="hybridMultilevel"/>
    <w:tmpl w:val="68CA8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2C09EB"/>
    <w:multiLevelType w:val="multilevel"/>
    <w:tmpl w:val="7846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1AE"/>
    <w:rsid w:val="000254DA"/>
    <w:rsid w:val="00027621"/>
    <w:rsid w:val="00041733"/>
    <w:rsid w:val="000435D0"/>
    <w:rsid w:val="00050B59"/>
    <w:rsid w:val="00091242"/>
    <w:rsid w:val="000A0388"/>
    <w:rsid w:val="000B3898"/>
    <w:rsid w:val="000B535F"/>
    <w:rsid w:val="000C6E3E"/>
    <w:rsid w:val="000F49AC"/>
    <w:rsid w:val="00105233"/>
    <w:rsid w:val="00105A73"/>
    <w:rsid w:val="0013534D"/>
    <w:rsid w:val="001374CB"/>
    <w:rsid w:val="00193DF4"/>
    <w:rsid w:val="001A66F9"/>
    <w:rsid w:val="001D2D4C"/>
    <w:rsid w:val="001E354E"/>
    <w:rsid w:val="00214D4B"/>
    <w:rsid w:val="002421C7"/>
    <w:rsid w:val="002A0571"/>
    <w:rsid w:val="002D314E"/>
    <w:rsid w:val="002D73BB"/>
    <w:rsid w:val="00367D67"/>
    <w:rsid w:val="00370604"/>
    <w:rsid w:val="0037373C"/>
    <w:rsid w:val="003750E2"/>
    <w:rsid w:val="00385E34"/>
    <w:rsid w:val="003A7B4A"/>
    <w:rsid w:val="003C690E"/>
    <w:rsid w:val="0040237D"/>
    <w:rsid w:val="00406E37"/>
    <w:rsid w:val="004460EC"/>
    <w:rsid w:val="004539A6"/>
    <w:rsid w:val="004830F6"/>
    <w:rsid w:val="004975D7"/>
    <w:rsid w:val="00512AD5"/>
    <w:rsid w:val="00545F0D"/>
    <w:rsid w:val="00594183"/>
    <w:rsid w:val="005E6540"/>
    <w:rsid w:val="006147AC"/>
    <w:rsid w:val="00634B16"/>
    <w:rsid w:val="0064350D"/>
    <w:rsid w:val="0064500D"/>
    <w:rsid w:val="00655728"/>
    <w:rsid w:val="00677A44"/>
    <w:rsid w:val="006B255E"/>
    <w:rsid w:val="006D2256"/>
    <w:rsid w:val="00723484"/>
    <w:rsid w:val="00730D93"/>
    <w:rsid w:val="00734A7E"/>
    <w:rsid w:val="0073504C"/>
    <w:rsid w:val="007A3423"/>
    <w:rsid w:val="007A5F2A"/>
    <w:rsid w:val="007C5D74"/>
    <w:rsid w:val="007C6932"/>
    <w:rsid w:val="007D081D"/>
    <w:rsid w:val="007E4F0D"/>
    <w:rsid w:val="008030B3"/>
    <w:rsid w:val="00862D30"/>
    <w:rsid w:val="00894DA3"/>
    <w:rsid w:val="00900206"/>
    <w:rsid w:val="00990E63"/>
    <w:rsid w:val="009B1155"/>
    <w:rsid w:val="009C5773"/>
    <w:rsid w:val="009C5C85"/>
    <w:rsid w:val="00A018C8"/>
    <w:rsid w:val="00A05208"/>
    <w:rsid w:val="00A21FB0"/>
    <w:rsid w:val="00A41A29"/>
    <w:rsid w:val="00A445D3"/>
    <w:rsid w:val="00A91B9D"/>
    <w:rsid w:val="00A91D57"/>
    <w:rsid w:val="00AC5A48"/>
    <w:rsid w:val="00AE27A1"/>
    <w:rsid w:val="00AE564C"/>
    <w:rsid w:val="00B30088"/>
    <w:rsid w:val="00B45398"/>
    <w:rsid w:val="00B75A1A"/>
    <w:rsid w:val="00BB5797"/>
    <w:rsid w:val="00BC2C42"/>
    <w:rsid w:val="00BE1A80"/>
    <w:rsid w:val="00C17DD2"/>
    <w:rsid w:val="00C31594"/>
    <w:rsid w:val="00C81D5E"/>
    <w:rsid w:val="00CD62E6"/>
    <w:rsid w:val="00CE1600"/>
    <w:rsid w:val="00CF135F"/>
    <w:rsid w:val="00D1123C"/>
    <w:rsid w:val="00D35154"/>
    <w:rsid w:val="00D57BA8"/>
    <w:rsid w:val="00D85990"/>
    <w:rsid w:val="00D945D1"/>
    <w:rsid w:val="00D9792F"/>
    <w:rsid w:val="00DC69E9"/>
    <w:rsid w:val="00E1265A"/>
    <w:rsid w:val="00E72F7D"/>
    <w:rsid w:val="00E802E2"/>
    <w:rsid w:val="00E85AA6"/>
    <w:rsid w:val="00E87F27"/>
    <w:rsid w:val="00EC5458"/>
    <w:rsid w:val="00F20E92"/>
    <w:rsid w:val="00F306FE"/>
    <w:rsid w:val="00F35E58"/>
    <w:rsid w:val="00F47E96"/>
    <w:rsid w:val="00F825A8"/>
    <w:rsid w:val="00F91083"/>
    <w:rsid w:val="00F931AD"/>
    <w:rsid w:val="00FA358B"/>
    <w:rsid w:val="00FD11AE"/>
    <w:rsid w:val="00FD5E3F"/>
    <w:rsid w:val="00FE0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7D766-C5EE-4D4B-BDA3-A5D36B5D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450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67D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802E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1AE"/>
  </w:style>
  <w:style w:type="paragraph" w:styleId="Footer">
    <w:name w:val="footer"/>
    <w:basedOn w:val="Normal"/>
    <w:link w:val="FooterChar"/>
    <w:uiPriority w:val="99"/>
    <w:unhideWhenUsed/>
    <w:rsid w:val="00FD1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1AE"/>
  </w:style>
  <w:style w:type="paragraph" w:styleId="BalloonText">
    <w:name w:val="Balloon Text"/>
    <w:basedOn w:val="Normal"/>
    <w:link w:val="BalloonTextChar"/>
    <w:uiPriority w:val="99"/>
    <w:semiHidden/>
    <w:unhideWhenUsed/>
    <w:rsid w:val="00FD11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1AE"/>
    <w:rPr>
      <w:rFonts w:ascii="Tahoma" w:hAnsi="Tahoma" w:cs="Tahoma"/>
      <w:sz w:val="16"/>
      <w:szCs w:val="16"/>
    </w:rPr>
  </w:style>
  <w:style w:type="character" w:customStyle="1" w:styleId="Heading1Char">
    <w:name w:val="Heading 1 Char"/>
    <w:basedOn w:val="DefaultParagraphFont"/>
    <w:link w:val="Heading1"/>
    <w:uiPriority w:val="9"/>
    <w:rsid w:val="0064500D"/>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64500D"/>
  </w:style>
  <w:style w:type="character" w:customStyle="1" w:styleId="Subtitle1">
    <w:name w:val="Subtitle1"/>
    <w:basedOn w:val="DefaultParagraphFont"/>
    <w:rsid w:val="0064500D"/>
  </w:style>
  <w:style w:type="character" w:styleId="Hyperlink">
    <w:name w:val="Hyperlink"/>
    <w:basedOn w:val="DefaultParagraphFont"/>
    <w:uiPriority w:val="99"/>
    <w:unhideWhenUsed/>
    <w:rsid w:val="00D35154"/>
    <w:rPr>
      <w:color w:val="0000FF" w:themeColor="hyperlink"/>
      <w:u w:val="single"/>
    </w:rPr>
  </w:style>
  <w:style w:type="character" w:customStyle="1" w:styleId="Heading2Char">
    <w:name w:val="Heading 2 Char"/>
    <w:basedOn w:val="DefaultParagraphFont"/>
    <w:link w:val="Heading2"/>
    <w:uiPriority w:val="9"/>
    <w:semiHidden/>
    <w:rsid w:val="00367D67"/>
    <w:rPr>
      <w:rFonts w:asciiTheme="majorHAnsi" w:eastAsiaTheme="majorEastAsia" w:hAnsiTheme="majorHAnsi" w:cstheme="majorBidi"/>
      <w:b/>
      <w:bCs/>
      <w:color w:val="4F81BD" w:themeColor="accent1"/>
      <w:sz w:val="26"/>
      <w:szCs w:val="26"/>
    </w:rPr>
  </w:style>
  <w:style w:type="paragraph" w:styleId="HTMLPreformatted">
    <w:name w:val="HTML Preformatted"/>
    <w:basedOn w:val="Normal"/>
    <w:link w:val="HTMLPreformattedChar"/>
    <w:uiPriority w:val="99"/>
    <w:unhideWhenUsed/>
    <w:rsid w:val="00512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12AD5"/>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semiHidden/>
    <w:rsid w:val="00E802E2"/>
    <w:rPr>
      <w:rFonts w:asciiTheme="majorHAnsi" w:eastAsiaTheme="majorEastAsia" w:hAnsiTheme="majorHAnsi" w:cstheme="majorBidi"/>
      <w:b/>
      <w:bCs/>
      <w:color w:val="4F81BD" w:themeColor="accent1"/>
    </w:rPr>
  </w:style>
  <w:style w:type="character" w:customStyle="1" w:styleId="nlmarticle-title">
    <w:name w:val="nlm_article-title"/>
    <w:basedOn w:val="DefaultParagraphFont"/>
    <w:rsid w:val="00E802E2"/>
  </w:style>
  <w:style w:type="character" w:customStyle="1" w:styleId="contribdegrees">
    <w:name w:val="contribdegrees"/>
    <w:basedOn w:val="DefaultParagraphFont"/>
    <w:rsid w:val="00E802E2"/>
  </w:style>
  <w:style w:type="character" w:customStyle="1" w:styleId="titleheading">
    <w:name w:val="titleheading"/>
    <w:basedOn w:val="DefaultParagraphFont"/>
    <w:rsid w:val="00677A44"/>
  </w:style>
  <w:style w:type="character" w:customStyle="1" w:styleId="al-author-name">
    <w:name w:val="al-author-name"/>
    <w:basedOn w:val="DefaultParagraphFont"/>
    <w:rsid w:val="00FD5E3F"/>
  </w:style>
  <w:style w:type="character" w:styleId="Emphasis">
    <w:name w:val="Emphasis"/>
    <w:basedOn w:val="DefaultParagraphFont"/>
    <w:uiPriority w:val="20"/>
    <w:qFormat/>
    <w:rsid w:val="00FD5E3F"/>
    <w:rPr>
      <w:i/>
      <w:iCs/>
    </w:rPr>
  </w:style>
  <w:style w:type="paragraph" w:styleId="NoSpacing">
    <w:name w:val="No Spacing"/>
    <w:uiPriority w:val="1"/>
    <w:qFormat/>
    <w:rsid w:val="00B45398"/>
    <w:pPr>
      <w:spacing w:after="0" w:line="240" w:lineRule="auto"/>
    </w:pPr>
  </w:style>
  <w:style w:type="paragraph" w:styleId="ListParagraph">
    <w:name w:val="List Paragraph"/>
    <w:basedOn w:val="Normal"/>
    <w:uiPriority w:val="34"/>
    <w:qFormat/>
    <w:rsid w:val="001A66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21791">
      <w:bodyDiv w:val="1"/>
      <w:marLeft w:val="0"/>
      <w:marRight w:val="0"/>
      <w:marTop w:val="0"/>
      <w:marBottom w:val="0"/>
      <w:divBdr>
        <w:top w:val="none" w:sz="0" w:space="0" w:color="auto"/>
        <w:left w:val="none" w:sz="0" w:space="0" w:color="auto"/>
        <w:bottom w:val="none" w:sz="0" w:space="0" w:color="auto"/>
        <w:right w:val="none" w:sz="0" w:space="0" w:color="auto"/>
      </w:divBdr>
    </w:div>
    <w:div w:id="214123695">
      <w:bodyDiv w:val="1"/>
      <w:marLeft w:val="0"/>
      <w:marRight w:val="0"/>
      <w:marTop w:val="0"/>
      <w:marBottom w:val="0"/>
      <w:divBdr>
        <w:top w:val="none" w:sz="0" w:space="0" w:color="auto"/>
        <w:left w:val="none" w:sz="0" w:space="0" w:color="auto"/>
        <w:bottom w:val="none" w:sz="0" w:space="0" w:color="auto"/>
        <w:right w:val="none" w:sz="0" w:space="0" w:color="auto"/>
      </w:divBdr>
      <w:divsChild>
        <w:div w:id="1965768372">
          <w:marLeft w:val="107"/>
          <w:marRight w:val="107"/>
          <w:marTop w:val="0"/>
          <w:marBottom w:val="0"/>
          <w:divBdr>
            <w:top w:val="none" w:sz="0" w:space="0" w:color="auto"/>
            <w:left w:val="none" w:sz="0" w:space="0" w:color="auto"/>
            <w:bottom w:val="none" w:sz="0" w:space="0" w:color="auto"/>
            <w:right w:val="none" w:sz="0" w:space="0" w:color="auto"/>
          </w:divBdr>
          <w:divsChild>
            <w:div w:id="848906481">
              <w:marLeft w:val="0"/>
              <w:marRight w:val="0"/>
              <w:marTop w:val="0"/>
              <w:marBottom w:val="0"/>
              <w:divBdr>
                <w:top w:val="none" w:sz="0" w:space="0" w:color="auto"/>
                <w:left w:val="none" w:sz="0" w:space="0" w:color="auto"/>
                <w:bottom w:val="none" w:sz="0" w:space="0" w:color="auto"/>
                <w:right w:val="none" w:sz="0" w:space="0" w:color="auto"/>
              </w:divBdr>
              <w:divsChild>
                <w:div w:id="11953350">
                  <w:marLeft w:val="105"/>
                  <w:marRight w:val="105"/>
                  <w:marTop w:val="0"/>
                  <w:marBottom w:val="0"/>
                  <w:divBdr>
                    <w:top w:val="none" w:sz="0" w:space="0" w:color="auto"/>
                    <w:left w:val="none" w:sz="0" w:space="0" w:color="auto"/>
                    <w:bottom w:val="none" w:sz="0" w:space="0" w:color="auto"/>
                    <w:right w:val="none" w:sz="0" w:space="0" w:color="auto"/>
                  </w:divBdr>
                  <w:divsChild>
                    <w:div w:id="1835878792">
                      <w:marLeft w:val="0"/>
                      <w:marRight w:val="0"/>
                      <w:marTop w:val="0"/>
                      <w:marBottom w:val="0"/>
                      <w:divBdr>
                        <w:top w:val="none" w:sz="0" w:space="0" w:color="auto"/>
                        <w:left w:val="none" w:sz="0" w:space="0" w:color="auto"/>
                        <w:bottom w:val="none" w:sz="0" w:space="0" w:color="auto"/>
                        <w:right w:val="none" w:sz="0" w:space="0" w:color="auto"/>
                      </w:divBdr>
                      <w:divsChild>
                        <w:div w:id="1363365015">
                          <w:marLeft w:val="0"/>
                          <w:marRight w:val="0"/>
                          <w:marTop w:val="0"/>
                          <w:marBottom w:val="0"/>
                          <w:divBdr>
                            <w:top w:val="none" w:sz="0" w:space="0" w:color="auto"/>
                            <w:left w:val="none" w:sz="0" w:space="0" w:color="auto"/>
                            <w:bottom w:val="none" w:sz="0" w:space="0" w:color="auto"/>
                            <w:right w:val="none" w:sz="0" w:space="0" w:color="auto"/>
                          </w:divBdr>
                          <w:divsChild>
                            <w:div w:id="739328086">
                              <w:marLeft w:val="0"/>
                              <w:marRight w:val="0"/>
                              <w:marTop w:val="0"/>
                              <w:marBottom w:val="0"/>
                              <w:divBdr>
                                <w:top w:val="none" w:sz="0" w:space="0" w:color="auto"/>
                                <w:left w:val="none" w:sz="0" w:space="0" w:color="auto"/>
                                <w:bottom w:val="none" w:sz="0" w:space="0" w:color="auto"/>
                                <w:right w:val="none" w:sz="0" w:space="0" w:color="auto"/>
                              </w:divBdr>
                              <w:divsChild>
                                <w:div w:id="366756880">
                                  <w:marLeft w:val="0"/>
                                  <w:marRight w:val="0"/>
                                  <w:marTop w:val="0"/>
                                  <w:marBottom w:val="0"/>
                                  <w:divBdr>
                                    <w:top w:val="none" w:sz="0" w:space="0" w:color="auto"/>
                                    <w:left w:val="none" w:sz="0" w:space="0" w:color="auto"/>
                                    <w:bottom w:val="none" w:sz="0" w:space="0" w:color="auto"/>
                                    <w:right w:val="none" w:sz="0" w:space="0" w:color="auto"/>
                                  </w:divBdr>
                                  <w:divsChild>
                                    <w:div w:id="163325608">
                                      <w:marLeft w:val="0"/>
                                      <w:marRight w:val="0"/>
                                      <w:marTop w:val="0"/>
                                      <w:marBottom w:val="0"/>
                                      <w:divBdr>
                                        <w:top w:val="none" w:sz="0" w:space="0" w:color="auto"/>
                                        <w:left w:val="none" w:sz="0" w:space="0" w:color="auto"/>
                                        <w:bottom w:val="none" w:sz="0" w:space="0" w:color="auto"/>
                                        <w:right w:val="none" w:sz="0" w:space="0" w:color="auto"/>
                                      </w:divBdr>
                                      <w:divsChild>
                                        <w:div w:id="12957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1643236">
          <w:marLeft w:val="107"/>
          <w:marRight w:val="107"/>
          <w:marTop w:val="0"/>
          <w:marBottom w:val="0"/>
          <w:divBdr>
            <w:top w:val="none" w:sz="0" w:space="0" w:color="auto"/>
            <w:left w:val="none" w:sz="0" w:space="0" w:color="auto"/>
            <w:bottom w:val="none" w:sz="0" w:space="0" w:color="auto"/>
            <w:right w:val="none" w:sz="0" w:space="0" w:color="auto"/>
          </w:divBdr>
          <w:divsChild>
            <w:div w:id="415443566">
              <w:marLeft w:val="0"/>
              <w:marRight w:val="0"/>
              <w:marTop w:val="0"/>
              <w:marBottom w:val="0"/>
              <w:divBdr>
                <w:top w:val="none" w:sz="0" w:space="0" w:color="auto"/>
                <w:left w:val="none" w:sz="0" w:space="0" w:color="auto"/>
                <w:bottom w:val="none" w:sz="0" w:space="0" w:color="auto"/>
                <w:right w:val="none" w:sz="0" w:space="0" w:color="auto"/>
              </w:divBdr>
              <w:divsChild>
                <w:div w:id="1706521168">
                  <w:marLeft w:val="0"/>
                  <w:marRight w:val="0"/>
                  <w:marTop w:val="0"/>
                  <w:marBottom w:val="0"/>
                  <w:divBdr>
                    <w:top w:val="none" w:sz="0" w:space="0" w:color="auto"/>
                    <w:left w:val="none" w:sz="0" w:space="0" w:color="auto"/>
                    <w:bottom w:val="none" w:sz="0" w:space="0" w:color="auto"/>
                    <w:right w:val="none" w:sz="0" w:space="0" w:color="auto"/>
                  </w:divBdr>
                  <w:divsChild>
                    <w:div w:id="966010488">
                      <w:marLeft w:val="0"/>
                      <w:marRight w:val="0"/>
                      <w:marTop w:val="0"/>
                      <w:marBottom w:val="0"/>
                      <w:divBdr>
                        <w:top w:val="none" w:sz="0" w:space="0" w:color="auto"/>
                        <w:left w:val="none" w:sz="0" w:space="0" w:color="auto"/>
                        <w:bottom w:val="none" w:sz="0" w:space="0" w:color="auto"/>
                        <w:right w:val="none" w:sz="0" w:space="0" w:color="auto"/>
                      </w:divBdr>
                      <w:divsChild>
                        <w:div w:id="711655634">
                          <w:marLeft w:val="0"/>
                          <w:marRight w:val="0"/>
                          <w:marTop w:val="0"/>
                          <w:marBottom w:val="0"/>
                          <w:divBdr>
                            <w:top w:val="none" w:sz="0" w:space="0" w:color="auto"/>
                            <w:left w:val="none" w:sz="0" w:space="0" w:color="auto"/>
                            <w:bottom w:val="none" w:sz="0" w:space="0" w:color="auto"/>
                            <w:right w:val="none" w:sz="0" w:space="0" w:color="auto"/>
                          </w:divBdr>
                        </w:div>
                        <w:div w:id="1593665304">
                          <w:marLeft w:val="0"/>
                          <w:marRight w:val="0"/>
                          <w:marTop w:val="0"/>
                          <w:marBottom w:val="0"/>
                          <w:divBdr>
                            <w:top w:val="none" w:sz="0" w:space="0" w:color="auto"/>
                            <w:left w:val="none" w:sz="0" w:space="0" w:color="auto"/>
                            <w:bottom w:val="none" w:sz="0" w:space="0" w:color="auto"/>
                            <w:right w:val="none" w:sz="0" w:space="0" w:color="auto"/>
                          </w:divBdr>
                          <w:divsChild>
                            <w:div w:id="604311295">
                              <w:marLeft w:val="0"/>
                              <w:marRight w:val="0"/>
                              <w:marTop w:val="0"/>
                              <w:marBottom w:val="0"/>
                              <w:divBdr>
                                <w:top w:val="none" w:sz="0" w:space="0" w:color="auto"/>
                                <w:left w:val="none" w:sz="0" w:space="0" w:color="auto"/>
                                <w:bottom w:val="none" w:sz="0" w:space="0" w:color="auto"/>
                                <w:right w:val="none" w:sz="0" w:space="0" w:color="auto"/>
                              </w:divBdr>
                              <w:divsChild>
                                <w:div w:id="188101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498190">
      <w:bodyDiv w:val="1"/>
      <w:marLeft w:val="0"/>
      <w:marRight w:val="0"/>
      <w:marTop w:val="0"/>
      <w:marBottom w:val="0"/>
      <w:divBdr>
        <w:top w:val="none" w:sz="0" w:space="0" w:color="auto"/>
        <w:left w:val="none" w:sz="0" w:space="0" w:color="auto"/>
        <w:bottom w:val="none" w:sz="0" w:space="0" w:color="auto"/>
        <w:right w:val="none" w:sz="0" w:space="0" w:color="auto"/>
      </w:divBdr>
    </w:div>
    <w:div w:id="303972930">
      <w:bodyDiv w:val="1"/>
      <w:marLeft w:val="0"/>
      <w:marRight w:val="0"/>
      <w:marTop w:val="0"/>
      <w:marBottom w:val="0"/>
      <w:divBdr>
        <w:top w:val="none" w:sz="0" w:space="0" w:color="auto"/>
        <w:left w:val="none" w:sz="0" w:space="0" w:color="auto"/>
        <w:bottom w:val="none" w:sz="0" w:space="0" w:color="auto"/>
        <w:right w:val="none" w:sz="0" w:space="0" w:color="auto"/>
      </w:divBdr>
    </w:div>
    <w:div w:id="388920141">
      <w:bodyDiv w:val="1"/>
      <w:marLeft w:val="0"/>
      <w:marRight w:val="0"/>
      <w:marTop w:val="0"/>
      <w:marBottom w:val="0"/>
      <w:divBdr>
        <w:top w:val="none" w:sz="0" w:space="0" w:color="auto"/>
        <w:left w:val="none" w:sz="0" w:space="0" w:color="auto"/>
        <w:bottom w:val="none" w:sz="0" w:space="0" w:color="auto"/>
        <w:right w:val="none" w:sz="0" w:space="0" w:color="auto"/>
      </w:divBdr>
      <w:divsChild>
        <w:div w:id="1687366231">
          <w:marLeft w:val="0"/>
          <w:marRight w:val="0"/>
          <w:marTop w:val="0"/>
          <w:marBottom w:val="0"/>
          <w:divBdr>
            <w:top w:val="none" w:sz="0" w:space="0" w:color="auto"/>
            <w:left w:val="none" w:sz="0" w:space="0" w:color="auto"/>
            <w:bottom w:val="none" w:sz="0" w:space="0" w:color="auto"/>
            <w:right w:val="none" w:sz="0" w:space="0" w:color="auto"/>
          </w:divBdr>
        </w:div>
        <w:div w:id="1829665374">
          <w:marLeft w:val="0"/>
          <w:marRight w:val="0"/>
          <w:marTop w:val="0"/>
          <w:marBottom w:val="0"/>
          <w:divBdr>
            <w:top w:val="none" w:sz="0" w:space="0" w:color="auto"/>
            <w:left w:val="none" w:sz="0" w:space="0" w:color="auto"/>
            <w:bottom w:val="none" w:sz="0" w:space="0" w:color="auto"/>
            <w:right w:val="none" w:sz="0" w:space="0" w:color="auto"/>
          </w:divBdr>
        </w:div>
        <w:div w:id="229079822">
          <w:marLeft w:val="0"/>
          <w:marRight w:val="0"/>
          <w:marTop w:val="0"/>
          <w:marBottom w:val="0"/>
          <w:divBdr>
            <w:top w:val="none" w:sz="0" w:space="0" w:color="auto"/>
            <w:left w:val="none" w:sz="0" w:space="0" w:color="auto"/>
            <w:bottom w:val="none" w:sz="0" w:space="0" w:color="auto"/>
            <w:right w:val="none" w:sz="0" w:space="0" w:color="auto"/>
          </w:divBdr>
        </w:div>
        <w:div w:id="91628963">
          <w:marLeft w:val="0"/>
          <w:marRight w:val="0"/>
          <w:marTop w:val="0"/>
          <w:marBottom w:val="0"/>
          <w:divBdr>
            <w:top w:val="none" w:sz="0" w:space="0" w:color="auto"/>
            <w:left w:val="none" w:sz="0" w:space="0" w:color="auto"/>
            <w:bottom w:val="none" w:sz="0" w:space="0" w:color="auto"/>
            <w:right w:val="none" w:sz="0" w:space="0" w:color="auto"/>
          </w:divBdr>
        </w:div>
        <w:div w:id="1670714493">
          <w:marLeft w:val="0"/>
          <w:marRight w:val="0"/>
          <w:marTop w:val="0"/>
          <w:marBottom w:val="0"/>
          <w:divBdr>
            <w:top w:val="none" w:sz="0" w:space="0" w:color="auto"/>
            <w:left w:val="none" w:sz="0" w:space="0" w:color="auto"/>
            <w:bottom w:val="none" w:sz="0" w:space="0" w:color="auto"/>
            <w:right w:val="none" w:sz="0" w:space="0" w:color="auto"/>
          </w:divBdr>
        </w:div>
        <w:div w:id="382409714">
          <w:marLeft w:val="0"/>
          <w:marRight w:val="0"/>
          <w:marTop w:val="0"/>
          <w:marBottom w:val="0"/>
          <w:divBdr>
            <w:top w:val="none" w:sz="0" w:space="0" w:color="auto"/>
            <w:left w:val="none" w:sz="0" w:space="0" w:color="auto"/>
            <w:bottom w:val="none" w:sz="0" w:space="0" w:color="auto"/>
            <w:right w:val="none" w:sz="0" w:space="0" w:color="auto"/>
          </w:divBdr>
        </w:div>
      </w:divsChild>
    </w:div>
    <w:div w:id="562106414">
      <w:bodyDiv w:val="1"/>
      <w:marLeft w:val="0"/>
      <w:marRight w:val="0"/>
      <w:marTop w:val="0"/>
      <w:marBottom w:val="0"/>
      <w:divBdr>
        <w:top w:val="none" w:sz="0" w:space="0" w:color="auto"/>
        <w:left w:val="none" w:sz="0" w:space="0" w:color="auto"/>
        <w:bottom w:val="none" w:sz="0" w:space="0" w:color="auto"/>
        <w:right w:val="none" w:sz="0" w:space="0" w:color="auto"/>
      </w:divBdr>
    </w:div>
    <w:div w:id="677074707">
      <w:bodyDiv w:val="1"/>
      <w:marLeft w:val="0"/>
      <w:marRight w:val="0"/>
      <w:marTop w:val="0"/>
      <w:marBottom w:val="0"/>
      <w:divBdr>
        <w:top w:val="none" w:sz="0" w:space="0" w:color="auto"/>
        <w:left w:val="none" w:sz="0" w:space="0" w:color="auto"/>
        <w:bottom w:val="none" w:sz="0" w:space="0" w:color="auto"/>
        <w:right w:val="none" w:sz="0" w:space="0" w:color="auto"/>
      </w:divBdr>
    </w:div>
    <w:div w:id="908270419">
      <w:bodyDiv w:val="1"/>
      <w:marLeft w:val="0"/>
      <w:marRight w:val="0"/>
      <w:marTop w:val="0"/>
      <w:marBottom w:val="0"/>
      <w:divBdr>
        <w:top w:val="none" w:sz="0" w:space="0" w:color="auto"/>
        <w:left w:val="none" w:sz="0" w:space="0" w:color="auto"/>
        <w:bottom w:val="none" w:sz="0" w:space="0" w:color="auto"/>
        <w:right w:val="none" w:sz="0" w:space="0" w:color="auto"/>
      </w:divBdr>
      <w:divsChild>
        <w:div w:id="1277441483">
          <w:marLeft w:val="107"/>
          <w:marRight w:val="107"/>
          <w:marTop w:val="0"/>
          <w:marBottom w:val="0"/>
          <w:divBdr>
            <w:top w:val="none" w:sz="0" w:space="0" w:color="auto"/>
            <w:left w:val="none" w:sz="0" w:space="0" w:color="auto"/>
            <w:bottom w:val="none" w:sz="0" w:space="0" w:color="auto"/>
            <w:right w:val="none" w:sz="0" w:space="0" w:color="auto"/>
          </w:divBdr>
          <w:divsChild>
            <w:div w:id="1169321553">
              <w:marLeft w:val="0"/>
              <w:marRight w:val="0"/>
              <w:marTop w:val="0"/>
              <w:marBottom w:val="0"/>
              <w:divBdr>
                <w:top w:val="none" w:sz="0" w:space="0" w:color="auto"/>
                <w:left w:val="none" w:sz="0" w:space="0" w:color="auto"/>
                <w:bottom w:val="none" w:sz="0" w:space="0" w:color="auto"/>
                <w:right w:val="none" w:sz="0" w:space="0" w:color="auto"/>
              </w:divBdr>
              <w:divsChild>
                <w:div w:id="380787733">
                  <w:marLeft w:val="105"/>
                  <w:marRight w:val="105"/>
                  <w:marTop w:val="0"/>
                  <w:marBottom w:val="0"/>
                  <w:divBdr>
                    <w:top w:val="none" w:sz="0" w:space="0" w:color="auto"/>
                    <w:left w:val="none" w:sz="0" w:space="0" w:color="auto"/>
                    <w:bottom w:val="none" w:sz="0" w:space="0" w:color="auto"/>
                    <w:right w:val="none" w:sz="0" w:space="0" w:color="auto"/>
                  </w:divBdr>
                  <w:divsChild>
                    <w:div w:id="2020421095">
                      <w:marLeft w:val="0"/>
                      <w:marRight w:val="0"/>
                      <w:marTop w:val="0"/>
                      <w:marBottom w:val="0"/>
                      <w:divBdr>
                        <w:top w:val="none" w:sz="0" w:space="0" w:color="auto"/>
                        <w:left w:val="none" w:sz="0" w:space="0" w:color="auto"/>
                        <w:bottom w:val="none" w:sz="0" w:space="0" w:color="auto"/>
                        <w:right w:val="none" w:sz="0" w:space="0" w:color="auto"/>
                      </w:divBdr>
                      <w:divsChild>
                        <w:div w:id="1522741531">
                          <w:marLeft w:val="0"/>
                          <w:marRight w:val="0"/>
                          <w:marTop w:val="0"/>
                          <w:marBottom w:val="0"/>
                          <w:divBdr>
                            <w:top w:val="none" w:sz="0" w:space="0" w:color="auto"/>
                            <w:left w:val="none" w:sz="0" w:space="0" w:color="auto"/>
                            <w:bottom w:val="none" w:sz="0" w:space="0" w:color="auto"/>
                            <w:right w:val="none" w:sz="0" w:space="0" w:color="auto"/>
                          </w:divBdr>
                          <w:divsChild>
                            <w:div w:id="367799912">
                              <w:marLeft w:val="0"/>
                              <w:marRight w:val="0"/>
                              <w:marTop w:val="0"/>
                              <w:marBottom w:val="0"/>
                              <w:divBdr>
                                <w:top w:val="none" w:sz="0" w:space="0" w:color="auto"/>
                                <w:left w:val="none" w:sz="0" w:space="0" w:color="auto"/>
                                <w:bottom w:val="none" w:sz="0" w:space="0" w:color="auto"/>
                                <w:right w:val="none" w:sz="0" w:space="0" w:color="auto"/>
                              </w:divBdr>
                              <w:divsChild>
                                <w:div w:id="1019507525">
                                  <w:marLeft w:val="0"/>
                                  <w:marRight w:val="0"/>
                                  <w:marTop w:val="0"/>
                                  <w:marBottom w:val="0"/>
                                  <w:divBdr>
                                    <w:top w:val="none" w:sz="0" w:space="0" w:color="auto"/>
                                    <w:left w:val="none" w:sz="0" w:space="0" w:color="auto"/>
                                    <w:bottom w:val="none" w:sz="0" w:space="0" w:color="auto"/>
                                    <w:right w:val="none" w:sz="0" w:space="0" w:color="auto"/>
                                  </w:divBdr>
                                  <w:divsChild>
                                    <w:div w:id="1505432409">
                                      <w:marLeft w:val="0"/>
                                      <w:marRight w:val="0"/>
                                      <w:marTop w:val="0"/>
                                      <w:marBottom w:val="0"/>
                                      <w:divBdr>
                                        <w:top w:val="none" w:sz="0" w:space="0" w:color="auto"/>
                                        <w:left w:val="none" w:sz="0" w:space="0" w:color="auto"/>
                                        <w:bottom w:val="none" w:sz="0" w:space="0" w:color="auto"/>
                                        <w:right w:val="none" w:sz="0" w:space="0" w:color="auto"/>
                                      </w:divBdr>
                                    </w:div>
                                  </w:divsChild>
                                </w:div>
                                <w:div w:id="741172823">
                                  <w:marLeft w:val="0"/>
                                  <w:marRight w:val="0"/>
                                  <w:marTop w:val="0"/>
                                  <w:marBottom w:val="0"/>
                                  <w:divBdr>
                                    <w:top w:val="none" w:sz="0" w:space="0" w:color="auto"/>
                                    <w:left w:val="none" w:sz="0" w:space="0" w:color="auto"/>
                                    <w:bottom w:val="none" w:sz="0" w:space="0" w:color="auto"/>
                                    <w:right w:val="none" w:sz="0" w:space="0" w:color="auto"/>
                                  </w:divBdr>
                                  <w:divsChild>
                                    <w:div w:id="1038319191">
                                      <w:marLeft w:val="0"/>
                                      <w:marRight w:val="0"/>
                                      <w:marTop w:val="0"/>
                                      <w:marBottom w:val="0"/>
                                      <w:divBdr>
                                        <w:top w:val="none" w:sz="0" w:space="0" w:color="auto"/>
                                        <w:left w:val="none" w:sz="0" w:space="0" w:color="auto"/>
                                        <w:bottom w:val="none" w:sz="0" w:space="0" w:color="auto"/>
                                        <w:right w:val="none" w:sz="0" w:space="0" w:color="auto"/>
                                      </w:divBdr>
                                    </w:div>
                                    <w:div w:id="1951012546">
                                      <w:marLeft w:val="0"/>
                                      <w:marRight w:val="0"/>
                                      <w:marTop w:val="0"/>
                                      <w:marBottom w:val="0"/>
                                      <w:divBdr>
                                        <w:top w:val="none" w:sz="0" w:space="0" w:color="auto"/>
                                        <w:left w:val="none" w:sz="0" w:space="0" w:color="auto"/>
                                        <w:bottom w:val="none" w:sz="0" w:space="0" w:color="auto"/>
                                        <w:right w:val="none" w:sz="0" w:space="0" w:color="auto"/>
                                      </w:divBdr>
                                    </w:div>
                                  </w:divsChild>
                                </w:div>
                                <w:div w:id="1012880344">
                                  <w:marLeft w:val="0"/>
                                  <w:marRight w:val="0"/>
                                  <w:marTop w:val="0"/>
                                  <w:marBottom w:val="0"/>
                                  <w:divBdr>
                                    <w:top w:val="none" w:sz="0" w:space="0" w:color="auto"/>
                                    <w:left w:val="none" w:sz="0" w:space="0" w:color="auto"/>
                                    <w:bottom w:val="none" w:sz="0" w:space="0" w:color="auto"/>
                                    <w:right w:val="none" w:sz="0" w:space="0" w:color="auto"/>
                                  </w:divBdr>
                                  <w:divsChild>
                                    <w:div w:id="121776092">
                                      <w:marLeft w:val="0"/>
                                      <w:marRight w:val="0"/>
                                      <w:marTop w:val="0"/>
                                      <w:marBottom w:val="0"/>
                                      <w:divBdr>
                                        <w:top w:val="none" w:sz="0" w:space="0" w:color="auto"/>
                                        <w:left w:val="none" w:sz="0" w:space="0" w:color="auto"/>
                                        <w:bottom w:val="none" w:sz="0" w:space="0" w:color="auto"/>
                                        <w:right w:val="none" w:sz="0" w:space="0" w:color="auto"/>
                                      </w:divBdr>
                                      <w:divsChild>
                                        <w:div w:id="1226601034">
                                          <w:marLeft w:val="0"/>
                                          <w:marRight w:val="0"/>
                                          <w:marTop w:val="0"/>
                                          <w:marBottom w:val="0"/>
                                          <w:divBdr>
                                            <w:top w:val="none" w:sz="0" w:space="0" w:color="auto"/>
                                            <w:left w:val="none" w:sz="0" w:space="0" w:color="auto"/>
                                            <w:bottom w:val="none" w:sz="0" w:space="0" w:color="auto"/>
                                            <w:right w:val="none" w:sz="0" w:space="0" w:color="auto"/>
                                          </w:divBdr>
                                        </w:div>
                                        <w:div w:id="56460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02746">
          <w:marLeft w:val="107"/>
          <w:marRight w:val="107"/>
          <w:marTop w:val="0"/>
          <w:marBottom w:val="0"/>
          <w:divBdr>
            <w:top w:val="none" w:sz="0" w:space="0" w:color="auto"/>
            <w:left w:val="none" w:sz="0" w:space="0" w:color="auto"/>
            <w:bottom w:val="none" w:sz="0" w:space="0" w:color="auto"/>
            <w:right w:val="none" w:sz="0" w:space="0" w:color="auto"/>
          </w:divBdr>
          <w:divsChild>
            <w:div w:id="1209533577">
              <w:marLeft w:val="0"/>
              <w:marRight w:val="0"/>
              <w:marTop w:val="0"/>
              <w:marBottom w:val="0"/>
              <w:divBdr>
                <w:top w:val="none" w:sz="0" w:space="0" w:color="auto"/>
                <w:left w:val="none" w:sz="0" w:space="0" w:color="auto"/>
                <w:bottom w:val="none" w:sz="0" w:space="0" w:color="auto"/>
                <w:right w:val="none" w:sz="0" w:space="0" w:color="auto"/>
              </w:divBdr>
              <w:divsChild>
                <w:div w:id="1253585812">
                  <w:marLeft w:val="0"/>
                  <w:marRight w:val="0"/>
                  <w:marTop w:val="0"/>
                  <w:marBottom w:val="0"/>
                  <w:divBdr>
                    <w:top w:val="none" w:sz="0" w:space="0" w:color="auto"/>
                    <w:left w:val="none" w:sz="0" w:space="0" w:color="auto"/>
                    <w:bottom w:val="none" w:sz="0" w:space="0" w:color="auto"/>
                    <w:right w:val="none" w:sz="0" w:space="0" w:color="auto"/>
                  </w:divBdr>
                  <w:divsChild>
                    <w:div w:id="512695647">
                      <w:marLeft w:val="0"/>
                      <w:marRight w:val="0"/>
                      <w:marTop w:val="0"/>
                      <w:marBottom w:val="0"/>
                      <w:divBdr>
                        <w:top w:val="none" w:sz="0" w:space="0" w:color="auto"/>
                        <w:left w:val="none" w:sz="0" w:space="0" w:color="auto"/>
                        <w:bottom w:val="none" w:sz="0" w:space="0" w:color="auto"/>
                        <w:right w:val="none" w:sz="0" w:space="0" w:color="auto"/>
                      </w:divBdr>
                      <w:divsChild>
                        <w:div w:id="1448282435">
                          <w:marLeft w:val="0"/>
                          <w:marRight w:val="0"/>
                          <w:marTop w:val="0"/>
                          <w:marBottom w:val="0"/>
                          <w:divBdr>
                            <w:top w:val="none" w:sz="0" w:space="0" w:color="auto"/>
                            <w:left w:val="none" w:sz="0" w:space="0" w:color="auto"/>
                            <w:bottom w:val="none" w:sz="0" w:space="0" w:color="auto"/>
                            <w:right w:val="none" w:sz="0" w:space="0" w:color="auto"/>
                          </w:divBdr>
                        </w:div>
                        <w:div w:id="2000380088">
                          <w:marLeft w:val="0"/>
                          <w:marRight w:val="0"/>
                          <w:marTop w:val="0"/>
                          <w:marBottom w:val="0"/>
                          <w:divBdr>
                            <w:top w:val="none" w:sz="0" w:space="0" w:color="auto"/>
                            <w:left w:val="none" w:sz="0" w:space="0" w:color="auto"/>
                            <w:bottom w:val="none" w:sz="0" w:space="0" w:color="auto"/>
                            <w:right w:val="none" w:sz="0" w:space="0" w:color="auto"/>
                          </w:divBdr>
                          <w:divsChild>
                            <w:div w:id="738598814">
                              <w:marLeft w:val="0"/>
                              <w:marRight w:val="0"/>
                              <w:marTop w:val="0"/>
                              <w:marBottom w:val="0"/>
                              <w:divBdr>
                                <w:top w:val="none" w:sz="0" w:space="0" w:color="auto"/>
                                <w:left w:val="none" w:sz="0" w:space="0" w:color="auto"/>
                                <w:bottom w:val="none" w:sz="0" w:space="0" w:color="auto"/>
                                <w:right w:val="none" w:sz="0" w:space="0" w:color="auto"/>
                              </w:divBdr>
                              <w:divsChild>
                                <w:div w:id="170717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557160">
                  <w:marLeft w:val="0"/>
                  <w:marRight w:val="0"/>
                  <w:marTop w:val="0"/>
                  <w:marBottom w:val="0"/>
                  <w:divBdr>
                    <w:top w:val="none" w:sz="0" w:space="0" w:color="auto"/>
                    <w:left w:val="none" w:sz="0" w:space="0" w:color="auto"/>
                    <w:bottom w:val="none" w:sz="0" w:space="0" w:color="auto"/>
                    <w:right w:val="none" w:sz="0" w:space="0" w:color="auto"/>
                  </w:divBdr>
                  <w:divsChild>
                    <w:div w:id="1010448116">
                      <w:marLeft w:val="0"/>
                      <w:marRight w:val="0"/>
                      <w:marTop w:val="0"/>
                      <w:marBottom w:val="0"/>
                      <w:divBdr>
                        <w:top w:val="none" w:sz="0" w:space="0" w:color="auto"/>
                        <w:left w:val="none" w:sz="0" w:space="0" w:color="auto"/>
                        <w:bottom w:val="none" w:sz="0" w:space="0" w:color="auto"/>
                        <w:right w:val="none" w:sz="0" w:space="0" w:color="auto"/>
                      </w:divBdr>
                      <w:divsChild>
                        <w:div w:id="362286686">
                          <w:marLeft w:val="0"/>
                          <w:marRight w:val="0"/>
                          <w:marTop w:val="0"/>
                          <w:marBottom w:val="0"/>
                          <w:divBdr>
                            <w:top w:val="none" w:sz="0" w:space="0" w:color="auto"/>
                            <w:left w:val="none" w:sz="0" w:space="0" w:color="auto"/>
                            <w:bottom w:val="none" w:sz="0" w:space="0" w:color="auto"/>
                            <w:right w:val="none" w:sz="0" w:space="0" w:color="auto"/>
                          </w:divBdr>
                          <w:divsChild>
                            <w:div w:id="109665704">
                              <w:marLeft w:val="0"/>
                              <w:marRight w:val="0"/>
                              <w:marTop w:val="0"/>
                              <w:marBottom w:val="0"/>
                              <w:divBdr>
                                <w:top w:val="none" w:sz="0" w:space="0" w:color="auto"/>
                                <w:left w:val="none" w:sz="0" w:space="0" w:color="auto"/>
                                <w:bottom w:val="none" w:sz="0" w:space="0" w:color="auto"/>
                                <w:right w:val="none" w:sz="0" w:space="0" w:color="auto"/>
                              </w:divBdr>
                              <w:divsChild>
                                <w:div w:id="1219319344">
                                  <w:marLeft w:val="0"/>
                                  <w:marRight w:val="0"/>
                                  <w:marTop w:val="0"/>
                                  <w:marBottom w:val="0"/>
                                  <w:divBdr>
                                    <w:top w:val="none" w:sz="0" w:space="0" w:color="auto"/>
                                    <w:left w:val="none" w:sz="0" w:space="0" w:color="auto"/>
                                    <w:bottom w:val="none" w:sz="0" w:space="0" w:color="auto"/>
                                    <w:right w:val="none" w:sz="0" w:space="0" w:color="auto"/>
                                  </w:divBdr>
                                  <w:divsChild>
                                    <w:div w:id="629408663">
                                      <w:marLeft w:val="0"/>
                                      <w:marRight w:val="0"/>
                                      <w:marTop w:val="0"/>
                                      <w:marBottom w:val="0"/>
                                      <w:divBdr>
                                        <w:top w:val="none" w:sz="0" w:space="0" w:color="auto"/>
                                        <w:left w:val="none" w:sz="0" w:space="0" w:color="auto"/>
                                        <w:bottom w:val="none" w:sz="0" w:space="0" w:color="auto"/>
                                        <w:right w:val="none" w:sz="0" w:space="0" w:color="auto"/>
                                      </w:divBdr>
                                      <w:divsChild>
                                        <w:div w:id="552230159">
                                          <w:marLeft w:val="0"/>
                                          <w:marRight w:val="0"/>
                                          <w:marTop w:val="0"/>
                                          <w:marBottom w:val="0"/>
                                          <w:divBdr>
                                            <w:top w:val="none" w:sz="0" w:space="0" w:color="auto"/>
                                            <w:left w:val="none" w:sz="0" w:space="0" w:color="auto"/>
                                            <w:bottom w:val="none" w:sz="0" w:space="0" w:color="auto"/>
                                            <w:right w:val="none" w:sz="0" w:space="0" w:color="auto"/>
                                          </w:divBdr>
                                          <w:divsChild>
                                            <w:div w:id="245070263">
                                              <w:marLeft w:val="0"/>
                                              <w:marRight w:val="0"/>
                                              <w:marTop w:val="0"/>
                                              <w:marBottom w:val="0"/>
                                              <w:divBdr>
                                                <w:top w:val="none" w:sz="0" w:space="0" w:color="auto"/>
                                                <w:left w:val="none" w:sz="0" w:space="0" w:color="auto"/>
                                                <w:bottom w:val="none" w:sz="0" w:space="0" w:color="auto"/>
                                                <w:right w:val="none" w:sz="0" w:space="0" w:color="auto"/>
                                              </w:divBdr>
                                              <w:divsChild>
                                                <w:div w:id="283541053">
                                                  <w:marLeft w:val="0"/>
                                                  <w:marRight w:val="0"/>
                                                  <w:marTop w:val="0"/>
                                                  <w:marBottom w:val="0"/>
                                                  <w:divBdr>
                                                    <w:top w:val="none" w:sz="0" w:space="0" w:color="auto"/>
                                                    <w:left w:val="none" w:sz="0" w:space="0" w:color="auto"/>
                                                    <w:bottom w:val="none" w:sz="0" w:space="0" w:color="auto"/>
                                                    <w:right w:val="none" w:sz="0" w:space="0" w:color="auto"/>
                                                  </w:divBdr>
                                                  <w:divsChild>
                                                    <w:div w:id="103226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4575794">
      <w:bodyDiv w:val="1"/>
      <w:marLeft w:val="0"/>
      <w:marRight w:val="0"/>
      <w:marTop w:val="0"/>
      <w:marBottom w:val="0"/>
      <w:divBdr>
        <w:top w:val="none" w:sz="0" w:space="0" w:color="auto"/>
        <w:left w:val="none" w:sz="0" w:space="0" w:color="auto"/>
        <w:bottom w:val="none" w:sz="0" w:space="0" w:color="auto"/>
        <w:right w:val="none" w:sz="0" w:space="0" w:color="auto"/>
      </w:divBdr>
    </w:div>
    <w:div w:id="1112555375">
      <w:bodyDiv w:val="1"/>
      <w:marLeft w:val="0"/>
      <w:marRight w:val="0"/>
      <w:marTop w:val="0"/>
      <w:marBottom w:val="0"/>
      <w:divBdr>
        <w:top w:val="none" w:sz="0" w:space="0" w:color="auto"/>
        <w:left w:val="none" w:sz="0" w:space="0" w:color="auto"/>
        <w:bottom w:val="none" w:sz="0" w:space="0" w:color="auto"/>
        <w:right w:val="none" w:sz="0" w:space="0" w:color="auto"/>
      </w:divBdr>
      <w:divsChild>
        <w:div w:id="1214737439">
          <w:marLeft w:val="0"/>
          <w:marRight w:val="0"/>
          <w:marTop w:val="0"/>
          <w:marBottom w:val="0"/>
          <w:divBdr>
            <w:top w:val="none" w:sz="0" w:space="0" w:color="auto"/>
            <w:left w:val="none" w:sz="0" w:space="0" w:color="auto"/>
            <w:bottom w:val="none" w:sz="0" w:space="0" w:color="auto"/>
            <w:right w:val="none" w:sz="0" w:space="0" w:color="auto"/>
          </w:divBdr>
          <w:divsChild>
            <w:div w:id="327711104">
              <w:marLeft w:val="0"/>
              <w:marRight w:val="0"/>
              <w:marTop w:val="0"/>
              <w:marBottom w:val="165"/>
              <w:divBdr>
                <w:top w:val="none" w:sz="0" w:space="0" w:color="auto"/>
                <w:left w:val="none" w:sz="0" w:space="0" w:color="auto"/>
                <w:bottom w:val="none" w:sz="0" w:space="0" w:color="auto"/>
                <w:right w:val="none" w:sz="0" w:space="0" w:color="auto"/>
              </w:divBdr>
            </w:div>
          </w:divsChild>
        </w:div>
        <w:div w:id="1773551165">
          <w:marLeft w:val="0"/>
          <w:marRight w:val="0"/>
          <w:marTop w:val="165"/>
          <w:marBottom w:val="165"/>
          <w:divBdr>
            <w:top w:val="none" w:sz="0" w:space="0" w:color="auto"/>
            <w:left w:val="none" w:sz="0" w:space="0" w:color="auto"/>
            <w:bottom w:val="none" w:sz="0" w:space="0" w:color="auto"/>
            <w:right w:val="none" w:sz="0" w:space="0" w:color="auto"/>
          </w:divBdr>
          <w:divsChild>
            <w:div w:id="1369452992">
              <w:marLeft w:val="0"/>
              <w:marRight w:val="0"/>
              <w:marTop w:val="0"/>
              <w:marBottom w:val="0"/>
              <w:divBdr>
                <w:top w:val="none" w:sz="0" w:space="0" w:color="auto"/>
                <w:left w:val="none" w:sz="0" w:space="0" w:color="auto"/>
                <w:bottom w:val="none" w:sz="0" w:space="0" w:color="auto"/>
                <w:right w:val="none" w:sz="0" w:space="0" w:color="auto"/>
              </w:divBdr>
              <w:divsChild>
                <w:div w:id="137041366">
                  <w:marLeft w:val="0"/>
                  <w:marRight w:val="225"/>
                  <w:marTop w:val="0"/>
                  <w:marBottom w:val="0"/>
                  <w:divBdr>
                    <w:top w:val="none" w:sz="0" w:space="0" w:color="auto"/>
                    <w:left w:val="none" w:sz="0" w:space="0" w:color="auto"/>
                    <w:bottom w:val="none" w:sz="0" w:space="0" w:color="auto"/>
                    <w:right w:val="none" w:sz="0" w:space="0" w:color="auto"/>
                  </w:divBdr>
                </w:div>
              </w:divsChild>
            </w:div>
            <w:div w:id="1906984717">
              <w:marLeft w:val="0"/>
              <w:marRight w:val="0"/>
              <w:marTop w:val="0"/>
              <w:marBottom w:val="0"/>
              <w:divBdr>
                <w:top w:val="none" w:sz="0" w:space="0" w:color="auto"/>
                <w:left w:val="none" w:sz="0" w:space="0" w:color="auto"/>
                <w:bottom w:val="none" w:sz="0" w:space="0" w:color="auto"/>
                <w:right w:val="none" w:sz="0" w:space="0" w:color="auto"/>
              </w:divBdr>
              <w:divsChild>
                <w:div w:id="162817651">
                  <w:marLeft w:val="0"/>
                  <w:marRight w:val="300"/>
                  <w:marTop w:val="0"/>
                  <w:marBottom w:val="0"/>
                  <w:divBdr>
                    <w:top w:val="none" w:sz="0" w:space="0" w:color="auto"/>
                    <w:left w:val="none" w:sz="0" w:space="0" w:color="auto"/>
                    <w:bottom w:val="none" w:sz="0" w:space="0" w:color="auto"/>
                    <w:right w:val="none" w:sz="0" w:space="0" w:color="auto"/>
                  </w:divBdr>
                  <w:divsChild>
                    <w:div w:id="379717268">
                      <w:marLeft w:val="0"/>
                      <w:marRight w:val="75"/>
                      <w:marTop w:val="0"/>
                      <w:marBottom w:val="0"/>
                      <w:divBdr>
                        <w:top w:val="none" w:sz="0" w:space="0" w:color="auto"/>
                        <w:left w:val="none" w:sz="0" w:space="0" w:color="auto"/>
                        <w:bottom w:val="none" w:sz="0" w:space="0" w:color="auto"/>
                        <w:right w:val="none" w:sz="0" w:space="0" w:color="auto"/>
                      </w:divBdr>
                    </w:div>
                    <w:div w:id="175269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913013">
      <w:bodyDiv w:val="1"/>
      <w:marLeft w:val="0"/>
      <w:marRight w:val="0"/>
      <w:marTop w:val="0"/>
      <w:marBottom w:val="0"/>
      <w:divBdr>
        <w:top w:val="none" w:sz="0" w:space="0" w:color="auto"/>
        <w:left w:val="none" w:sz="0" w:space="0" w:color="auto"/>
        <w:bottom w:val="none" w:sz="0" w:space="0" w:color="auto"/>
        <w:right w:val="none" w:sz="0" w:space="0" w:color="auto"/>
      </w:divBdr>
    </w:div>
    <w:div w:id="1272473908">
      <w:bodyDiv w:val="1"/>
      <w:marLeft w:val="0"/>
      <w:marRight w:val="0"/>
      <w:marTop w:val="0"/>
      <w:marBottom w:val="0"/>
      <w:divBdr>
        <w:top w:val="none" w:sz="0" w:space="0" w:color="auto"/>
        <w:left w:val="none" w:sz="0" w:space="0" w:color="auto"/>
        <w:bottom w:val="none" w:sz="0" w:space="0" w:color="auto"/>
        <w:right w:val="none" w:sz="0" w:space="0" w:color="auto"/>
      </w:divBdr>
    </w:div>
    <w:div w:id="1284069833">
      <w:bodyDiv w:val="1"/>
      <w:marLeft w:val="0"/>
      <w:marRight w:val="0"/>
      <w:marTop w:val="0"/>
      <w:marBottom w:val="0"/>
      <w:divBdr>
        <w:top w:val="none" w:sz="0" w:space="0" w:color="auto"/>
        <w:left w:val="none" w:sz="0" w:space="0" w:color="auto"/>
        <w:bottom w:val="none" w:sz="0" w:space="0" w:color="auto"/>
        <w:right w:val="none" w:sz="0" w:space="0" w:color="auto"/>
      </w:divBdr>
    </w:div>
    <w:div w:id="1349677158">
      <w:bodyDiv w:val="1"/>
      <w:marLeft w:val="0"/>
      <w:marRight w:val="0"/>
      <w:marTop w:val="0"/>
      <w:marBottom w:val="0"/>
      <w:divBdr>
        <w:top w:val="none" w:sz="0" w:space="0" w:color="auto"/>
        <w:left w:val="none" w:sz="0" w:space="0" w:color="auto"/>
        <w:bottom w:val="none" w:sz="0" w:space="0" w:color="auto"/>
        <w:right w:val="none" w:sz="0" w:space="0" w:color="auto"/>
      </w:divBdr>
    </w:div>
    <w:div w:id="1439595179">
      <w:bodyDiv w:val="1"/>
      <w:marLeft w:val="0"/>
      <w:marRight w:val="0"/>
      <w:marTop w:val="0"/>
      <w:marBottom w:val="0"/>
      <w:divBdr>
        <w:top w:val="none" w:sz="0" w:space="0" w:color="auto"/>
        <w:left w:val="none" w:sz="0" w:space="0" w:color="auto"/>
        <w:bottom w:val="none" w:sz="0" w:space="0" w:color="auto"/>
        <w:right w:val="none" w:sz="0" w:space="0" w:color="auto"/>
      </w:divBdr>
    </w:div>
    <w:div w:id="1542745617">
      <w:bodyDiv w:val="1"/>
      <w:marLeft w:val="0"/>
      <w:marRight w:val="0"/>
      <w:marTop w:val="0"/>
      <w:marBottom w:val="0"/>
      <w:divBdr>
        <w:top w:val="none" w:sz="0" w:space="0" w:color="auto"/>
        <w:left w:val="none" w:sz="0" w:space="0" w:color="auto"/>
        <w:bottom w:val="none" w:sz="0" w:space="0" w:color="auto"/>
        <w:right w:val="none" w:sz="0" w:space="0" w:color="auto"/>
      </w:divBdr>
    </w:div>
    <w:div w:id="1698853627">
      <w:bodyDiv w:val="1"/>
      <w:marLeft w:val="0"/>
      <w:marRight w:val="0"/>
      <w:marTop w:val="0"/>
      <w:marBottom w:val="0"/>
      <w:divBdr>
        <w:top w:val="none" w:sz="0" w:space="0" w:color="auto"/>
        <w:left w:val="none" w:sz="0" w:space="0" w:color="auto"/>
        <w:bottom w:val="none" w:sz="0" w:space="0" w:color="auto"/>
        <w:right w:val="none" w:sz="0" w:space="0" w:color="auto"/>
      </w:divBdr>
    </w:div>
    <w:div w:id="2027053207">
      <w:bodyDiv w:val="1"/>
      <w:marLeft w:val="0"/>
      <w:marRight w:val="0"/>
      <w:marTop w:val="0"/>
      <w:marBottom w:val="0"/>
      <w:divBdr>
        <w:top w:val="none" w:sz="0" w:space="0" w:color="auto"/>
        <w:left w:val="none" w:sz="0" w:space="0" w:color="auto"/>
        <w:bottom w:val="none" w:sz="0" w:space="0" w:color="auto"/>
        <w:right w:val="none" w:sz="0" w:space="0" w:color="auto"/>
      </w:divBdr>
    </w:div>
    <w:div w:id="212638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10A1F09-E814-4644-A769-50D595926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Heulwen</dc:creator>
  <cp:lastModifiedBy>Heulwen Evans</cp:lastModifiedBy>
  <cp:revision>2</cp:revision>
  <dcterms:created xsi:type="dcterms:W3CDTF">2018-04-04T09:57:00Z</dcterms:created>
  <dcterms:modified xsi:type="dcterms:W3CDTF">2018-04-04T09:57:00Z</dcterms:modified>
</cp:coreProperties>
</file>