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8A1B53D" w:rsidR="7908378C" w:rsidRDefault="7908378C" w:rsidP="33572C6E">
            <w:pPr>
              <w:ind w:right="237"/>
              <w:rPr>
                <w:b/>
                <w:bCs/>
                <w:color w:val="auto"/>
                <w:sz w:val="32"/>
                <w:szCs w:val="32"/>
              </w:rPr>
            </w:pPr>
            <w:r w:rsidRPr="33572C6E">
              <w:rPr>
                <w:b/>
                <w:bCs/>
                <w:color w:val="auto"/>
                <w:sz w:val="32"/>
                <w:szCs w:val="32"/>
              </w:rPr>
              <w:t>Learner name:</w:t>
            </w:r>
            <w:r w:rsidR="00F040CC">
              <w:rPr>
                <w:b/>
                <w:bCs/>
                <w:color w:val="auto"/>
                <w:sz w:val="32"/>
                <w:szCs w:val="32"/>
              </w:rPr>
              <w:t xml:space="preserve"> Jessica Porter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147970D" w:rsidR="7908378C" w:rsidRDefault="00F040CC" w:rsidP="33572C6E">
            <w:pPr>
              <w:ind w:right="237"/>
              <w:rPr>
                <w:b/>
                <w:bCs/>
                <w:color w:val="auto"/>
                <w:sz w:val="32"/>
                <w:szCs w:val="32"/>
              </w:rPr>
            </w:pPr>
            <w:r>
              <w:rPr>
                <w:b/>
                <w:bCs/>
                <w:color w:val="auto"/>
                <w:sz w:val="32"/>
                <w:szCs w:val="32"/>
              </w:rPr>
              <w:t>2236255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553A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237912A4" w14:textId="06E103B7" w:rsidR="69F7424F" w:rsidRDefault="69F7424F" w:rsidP="00DC2F89">
      <w:pPr>
        <w:pStyle w:val="paragraph"/>
        <w:spacing w:before="0" w:beforeAutospacing="0" w:after="0" w:afterAutospacing="0"/>
        <w:ind w:right="225"/>
        <w:rPr>
          <w:rStyle w:val="normaltextrun"/>
          <w:rFonts w:ascii="Arial" w:hAnsi="Arial" w:cs="Arial"/>
          <w:b/>
          <w:bCs/>
          <w:color w:val="000000" w:themeColor="text1"/>
        </w:rPr>
      </w:pPr>
    </w:p>
    <w:p w14:paraId="2B6BE6A3" w14:textId="182F0337" w:rsidR="00CE7C1B" w:rsidRDefault="00CE7C1B" w:rsidP="00E47965">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As police officers</w:t>
      </w:r>
      <w:r w:rsidR="004664CE">
        <w:rPr>
          <w:rStyle w:val="eop"/>
          <w:rFonts w:ascii="Arial" w:hAnsi="Arial" w:cs="Arial"/>
          <w:color w:val="000000" w:themeColor="text1"/>
        </w:rPr>
        <w:t xml:space="preserve">, our main role is </w:t>
      </w:r>
      <w:r w:rsidR="007F71EA">
        <w:rPr>
          <w:rStyle w:val="eop"/>
          <w:rFonts w:ascii="Arial" w:hAnsi="Arial" w:cs="Arial"/>
          <w:color w:val="000000" w:themeColor="text1"/>
        </w:rPr>
        <w:t>providing</w:t>
      </w:r>
      <w:r w:rsidR="004664CE">
        <w:rPr>
          <w:rStyle w:val="eop"/>
          <w:rFonts w:ascii="Arial" w:hAnsi="Arial" w:cs="Arial"/>
          <w:color w:val="000000" w:themeColor="text1"/>
        </w:rPr>
        <w:t xml:space="preserve"> assistance and support to individuals who have been a victim of crime. </w:t>
      </w:r>
      <w:r w:rsidR="007F71EA">
        <w:rPr>
          <w:rStyle w:val="eop"/>
          <w:rFonts w:ascii="Arial" w:hAnsi="Arial" w:cs="Arial"/>
          <w:color w:val="000000" w:themeColor="text1"/>
        </w:rPr>
        <w:t xml:space="preserve">As an officer working for South Wales Police, our </w:t>
      </w:r>
      <w:r w:rsidR="00F36343">
        <w:rPr>
          <w:rStyle w:val="eop"/>
          <w:rFonts w:ascii="Arial" w:hAnsi="Arial" w:cs="Arial"/>
          <w:color w:val="000000" w:themeColor="text1"/>
        </w:rPr>
        <w:t xml:space="preserve">force allows us to be victim led in a way that allows us to </w:t>
      </w:r>
      <w:r w:rsidR="00D05BC2">
        <w:rPr>
          <w:rStyle w:val="eop"/>
          <w:rFonts w:ascii="Arial" w:hAnsi="Arial" w:cs="Arial"/>
          <w:color w:val="000000" w:themeColor="text1"/>
        </w:rPr>
        <w:t xml:space="preserve">discuss with victims their opinions on the route an incident may take. In addition, </w:t>
      </w:r>
      <w:r w:rsidR="0050690F">
        <w:rPr>
          <w:rStyle w:val="eop"/>
          <w:rFonts w:ascii="Arial" w:hAnsi="Arial" w:cs="Arial"/>
          <w:color w:val="000000" w:themeColor="text1"/>
        </w:rPr>
        <w:t xml:space="preserve">a </w:t>
      </w:r>
      <w:r w:rsidR="00DF3CCB">
        <w:rPr>
          <w:rStyle w:val="eop"/>
          <w:rFonts w:ascii="Arial" w:hAnsi="Arial" w:cs="Arial"/>
          <w:color w:val="000000" w:themeColor="text1"/>
        </w:rPr>
        <w:t xml:space="preserve">‘Code of Practice for Victims of Crime in England and </w:t>
      </w:r>
      <w:proofErr w:type="spellStart"/>
      <w:r w:rsidR="00DF3CCB">
        <w:rPr>
          <w:rStyle w:val="eop"/>
          <w:rFonts w:ascii="Arial" w:hAnsi="Arial" w:cs="Arial"/>
          <w:color w:val="000000" w:themeColor="text1"/>
        </w:rPr>
        <w:t>Wales’</w:t>
      </w:r>
      <w:proofErr w:type="spellEnd"/>
      <w:r w:rsidR="00DF3CCB">
        <w:rPr>
          <w:rStyle w:val="eop"/>
          <w:rFonts w:ascii="Arial" w:hAnsi="Arial" w:cs="Arial"/>
          <w:color w:val="000000" w:themeColor="text1"/>
        </w:rPr>
        <w:t xml:space="preserve"> </w:t>
      </w:r>
      <w:r w:rsidR="0050690F">
        <w:rPr>
          <w:rStyle w:val="eop"/>
          <w:rFonts w:ascii="Arial" w:hAnsi="Arial" w:cs="Arial"/>
          <w:color w:val="000000" w:themeColor="text1"/>
        </w:rPr>
        <w:t>was introduced (UK Government, 2020)</w:t>
      </w:r>
      <w:r w:rsidR="00DF3CCB">
        <w:rPr>
          <w:rStyle w:val="eop"/>
          <w:rFonts w:ascii="Arial" w:hAnsi="Arial" w:cs="Arial"/>
          <w:color w:val="000000" w:themeColor="text1"/>
        </w:rPr>
        <w:t xml:space="preserve">, which outlines </w:t>
      </w:r>
      <w:r w:rsidR="00EB4C3B">
        <w:rPr>
          <w:rStyle w:val="eop"/>
          <w:rFonts w:ascii="Arial" w:hAnsi="Arial" w:cs="Arial"/>
          <w:color w:val="000000" w:themeColor="text1"/>
        </w:rPr>
        <w:t>a set of minimum rights which are expected to be provided to victims.</w:t>
      </w:r>
      <w:r w:rsidR="00E47965">
        <w:rPr>
          <w:rStyle w:val="eop"/>
          <w:rFonts w:ascii="Arial" w:hAnsi="Arial" w:cs="Arial"/>
          <w:color w:val="000000" w:themeColor="text1"/>
        </w:rPr>
        <w:t xml:space="preserve"> In this essay, I will be </w:t>
      </w:r>
      <w:r w:rsidR="00DC496E">
        <w:rPr>
          <w:rStyle w:val="eop"/>
          <w:rFonts w:ascii="Arial" w:hAnsi="Arial" w:cs="Arial"/>
          <w:color w:val="000000" w:themeColor="text1"/>
        </w:rPr>
        <w:t>discussing an</w:t>
      </w:r>
      <w:r w:rsidR="00E47965">
        <w:rPr>
          <w:rStyle w:val="eop"/>
          <w:rFonts w:ascii="Arial" w:hAnsi="Arial" w:cs="Arial"/>
          <w:color w:val="000000" w:themeColor="text1"/>
        </w:rPr>
        <w:t xml:space="preserve"> incident that I was involved in, in which I provided a service to a vulnerable victim </w:t>
      </w:r>
      <w:r w:rsidR="00DC496E">
        <w:rPr>
          <w:rStyle w:val="eop"/>
          <w:rFonts w:ascii="Arial" w:hAnsi="Arial" w:cs="Arial"/>
          <w:color w:val="000000" w:themeColor="text1"/>
        </w:rPr>
        <w:t xml:space="preserve">as well as critically evaluating the appropriateness of different approaches in dealing with these vulnerabilities. </w:t>
      </w:r>
      <w:r w:rsidR="000B362E">
        <w:rPr>
          <w:rStyle w:val="eop"/>
          <w:rFonts w:ascii="Arial" w:hAnsi="Arial" w:cs="Arial"/>
          <w:color w:val="000000" w:themeColor="text1"/>
        </w:rPr>
        <w:t xml:space="preserve">I will also be exploring the suspects repeat offending in addition to discussing social, legislative and cultural implications in this incident. </w:t>
      </w:r>
    </w:p>
    <w:p w14:paraId="56C99860" w14:textId="77777777" w:rsidR="00CE7C1B" w:rsidRDefault="00CE7C1B" w:rsidP="5CE196A1">
      <w:pPr>
        <w:pStyle w:val="paragraph"/>
        <w:spacing w:before="0" w:beforeAutospacing="0" w:after="0" w:afterAutospacing="0"/>
        <w:rPr>
          <w:rStyle w:val="eop"/>
          <w:rFonts w:ascii="Arial" w:hAnsi="Arial" w:cs="Arial"/>
          <w:color w:val="000000" w:themeColor="text1"/>
        </w:rPr>
      </w:pPr>
    </w:p>
    <w:p w14:paraId="60BD3EEB" w14:textId="77777777" w:rsidR="00CE7C1B" w:rsidRDefault="00CE7C1B" w:rsidP="5CE196A1">
      <w:pPr>
        <w:pStyle w:val="paragraph"/>
        <w:spacing w:before="0" w:beforeAutospacing="0" w:after="0" w:afterAutospacing="0"/>
        <w:rPr>
          <w:rStyle w:val="eop"/>
          <w:rFonts w:ascii="Arial" w:hAnsi="Arial" w:cs="Arial"/>
          <w:color w:val="000000" w:themeColor="text1"/>
        </w:rPr>
      </w:pPr>
    </w:p>
    <w:p w14:paraId="0D2A503F" w14:textId="665229DB" w:rsidR="00CE7C1B" w:rsidRDefault="001A5CCB"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 xml:space="preserve">I attended an incident in which a female had reported that her brother had experienced a severe stroke, to which he was currently hospitalised and unable to speak or walk. The female reported that whilst her brother had been hospitalised, </w:t>
      </w:r>
      <w:r w:rsidR="005E799C">
        <w:rPr>
          <w:rStyle w:val="eop"/>
          <w:rFonts w:ascii="Arial" w:hAnsi="Arial" w:cs="Arial"/>
          <w:color w:val="000000" w:themeColor="text1"/>
        </w:rPr>
        <w:t xml:space="preserve">his son and son’s girlfriend had transferred large amounts of money from </w:t>
      </w:r>
      <w:r w:rsidR="00EF1113">
        <w:rPr>
          <w:rStyle w:val="eop"/>
          <w:rFonts w:ascii="Arial" w:hAnsi="Arial" w:cs="Arial"/>
          <w:color w:val="000000" w:themeColor="text1"/>
        </w:rPr>
        <w:t>h</w:t>
      </w:r>
      <w:r w:rsidR="00AB7050">
        <w:rPr>
          <w:rStyle w:val="eop"/>
          <w:rFonts w:ascii="Arial" w:hAnsi="Arial" w:cs="Arial"/>
          <w:color w:val="000000" w:themeColor="text1"/>
        </w:rPr>
        <w:t xml:space="preserve">er brother’s </w:t>
      </w:r>
      <w:r w:rsidR="00EF1113">
        <w:rPr>
          <w:rStyle w:val="eop"/>
          <w:rFonts w:ascii="Arial" w:hAnsi="Arial" w:cs="Arial"/>
          <w:color w:val="000000" w:themeColor="text1"/>
        </w:rPr>
        <w:t xml:space="preserve">bank account into his. This incident came to my attention after roughly a week after being reported, and I arranged to meet with those involved immediately. After meeting with the victim, it </w:t>
      </w:r>
      <w:r w:rsidR="00CE2AA3">
        <w:rPr>
          <w:rStyle w:val="eop"/>
          <w:rFonts w:ascii="Arial" w:hAnsi="Arial" w:cs="Arial"/>
          <w:color w:val="000000" w:themeColor="text1"/>
        </w:rPr>
        <w:t xml:space="preserve">appears that his sister had </w:t>
      </w:r>
      <w:r w:rsidR="00C60535">
        <w:rPr>
          <w:rStyle w:val="eop"/>
          <w:rFonts w:ascii="Arial" w:hAnsi="Arial" w:cs="Arial"/>
          <w:color w:val="000000" w:themeColor="text1"/>
        </w:rPr>
        <w:t xml:space="preserve">been on the victims mobile and </w:t>
      </w:r>
      <w:r w:rsidR="00CE2AA3">
        <w:rPr>
          <w:rStyle w:val="eop"/>
          <w:rFonts w:ascii="Arial" w:hAnsi="Arial" w:cs="Arial"/>
          <w:color w:val="000000" w:themeColor="text1"/>
        </w:rPr>
        <w:t xml:space="preserve">noticed </w:t>
      </w:r>
      <w:r w:rsidR="00C60535">
        <w:rPr>
          <w:rStyle w:val="eop"/>
          <w:rFonts w:ascii="Arial" w:hAnsi="Arial" w:cs="Arial"/>
          <w:color w:val="000000" w:themeColor="text1"/>
        </w:rPr>
        <w:t xml:space="preserve">numerous emails confirming him ‘signing up’ for items and products </w:t>
      </w:r>
      <w:r w:rsidR="00413AAE">
        <w:rPr>
          <w:rStyle w:val="eop"/>
          <w:rFonts w:ascii="Arial" w:hAnsi="Arial" w:cs="Arial"/>
          <w:color w:val="000000" w:themeColor="text1"/>
        </w:rPr>
        <w:t xml:space="preserve">in the days following his stroke. His sister believed this to be strange, so approached the bank and discovered a large quantity of transactions </w:t>
      </w:r>
      <w:r w:rsidR="00561FDB">
        <w:rPr>
          <w:rStyle w:val="eop"/>
          <w:rFonts w:ascii="Arial" w:hAnsi="Arial" w:cs="Arial"/>
          <w:color w:val="000000" w:themeColor="text1"/>
        </w:rPr>
        <w:t xml:space="preserve">in the week following the victim’s stroke. These transactions include a huge quantity of money into both his </w:t>
      </w:r>
      <w:r w:rsidR="00561FDB">
        <w:rPr>
          <w:rStyle w:val="eop"/>
          <w:rFonts w:ascii="Arial" w:hAnsi="Arial" w:cs="Arial"/>
          <w:color w:val="000000" w:themeColor="text1"/>
        </w:rPr>
        <w:lastRenderedPageBreak/>
        <w:t xml:space="preserve">son’s account in addition to his son’s girlfriends account. </w:t>
      </w:r>
      <w:r w:rsidR="00E100F2">
        <w:rPr>
          <w:rStyle w:val="eop"/>
          <w:rFonts w:ascii="Arial" w:hAnsi="Arial" w:cs="Arial"/>
          <w:color w:val="000000" w:themeColor="text1"/>
        </w:rPr>
        <w:t xml:space="preserve">It was also reported that the son has previously stolen from him before as he struggles with drug, alcohol and gambling issues. </w:t>
      </w:r>
      <w:r w:rsidR="00D20809">
        <w:rPr>
          <w:rStyle w:val="eop"/>
          <w:rFonts w:ascii="Arial" w:hAnsi="Arial" w:cs="Arial"/>
          <w:color w:val="000000" w:themeColor="text1"/>
        </w:rPr>
        <w:t xml:space="preserve">From the information given by both the victim and his sister, it appeared that the offence of Fraud by False Representation, </w:t>
      </w:r>
      <w:r w:rsidR="00C622D7">
        <w:rPr>
          <w:rStyle w:val="eop"/>
          <w:rFonts w:ascii="Arial" w:hAnsi="Arial" w:cs="Arial"/>
          <w:color w:val="000000" w:themeColor="text1"/>
        </w:rPr>
        <w:t xml:space="preserve">contrary to Section 2 of the Fraud Act 2006 had been </w:t>
      </w:r>
      <w:r w:rsidR="00954895">
        <w:rPr>
          <w:rStyle w:val="eop"/>
          <w:rFonts w:ascii="Arial" w:hAnsi="Arial" w:cs="Arial"/>
          <w:color w:val="000000" w:themeColor="text1"/>
        </w:rPr>
        <w:t>committed</w:t>
      </w:r>
      <w:r w:rsidR="00C622D7">
        <w:rPr>
          <w:rStyle w:val="eop"/>
          <w:rFonts w:ascii="Arial" w:hAnsi="Arial" w:cs="Arial"/>
          <w:color w:val="000000" w:themeColor="text1"/>
        </w:rPr>
        <w:t>.</w:t>
      </w:r>
      <w:r w:rsidR="00954895">
        <w:rPr>
          <w:rStyle w:val="eop"/>
          <w:rFonts w:ascii="Arial" w:hAnsi="Arial" w:cs="Arial"/>
          <w:color w:val="000000" w:themeColor="text1"/>
        </w:rPr>
        <w:t xml:space="preserve"> B</w:t>
      </w:r>
      <w:r w:rsidR="003F16D6">
        <w:rPr>
          <w:rStyle w:val="eop"/>
          <w:rFonts w:ascii="Arial" w:hAnsi="Arial" w:cs="Arial"/>
          <w:color w:val="000000" w:themeColor="text1"/>
        </w:rPr>
        <w:t>oth the son and his girlfriend have since been arrested for this incident and at the time of writing, the investigation is still ongoing.</w:t>
      </w:r>
      <w:r w:rsidR="008272D5">
        <w:rPr>
          <w:rStyle w:val="eop"/>
          <w:rFonts w:ascii="Arial" w:hAnsi="Arial" w:cs="Arial"/>
          <w:color w:val="000000" w:themeColor="text1"/>
        </w:rPr>
        <w:t xml:space="preserve"> </w:t>
      </w:r>
    </w:p>
    <w:p w14:paraId="3AAB10F2" w14:textId="77777777" w:rsidR="003F16D6" w:rsidRDefault="003F16D6" w:rsidP="5CE196A1">
      <w:pPr>
        <w:pStyle w:val="paragraph"/>
        <w:spacing w:before="0" w:beforeAutospacing="0" w:after="0" w:afterAutospacing="0"/>
        <w:rPr>
          <w:rStyle w:val="eop"/>
          <w:rFonts w:ascii="Arial" w:hAnsi="Arial" w:cs="Arial"/>
          <w:color w:val="000000" w:themeColor="text1"/>
        </w:rPr>
      </w:pPr>
    </w:p>
    <w:p w14:paraId="12466D17" w14:textId="77777777" w:rsidR="003F16D6" w:rsidRDefault="003F16D6" w:rsidP="5CE196A1">
      <w:pPr>
        <w:pStyle w:val="paragraph"/>
        <w:spacing w:before="0" w:beforeAutospacing="0" w:after="0" w:afterAutospacing="0"/>
        <w:rPr>
          <w:rStyle w:val="eop"/>
          <w:rFonts w:ascii="Arial" w:hAnsi="Arial" w:cs="Arial"/>
          <w:color w:val="000000" w:themeColor="text1"/>
        </w:rPr>
      </w:pPr>
    </w:p>
    <w:p w14:paraId="6D442AFE" w14:textId="22EE22BC" w:rsidR="007F5EC9" w:rsidRDefault="00D63A3C"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 xml:space="preserve">According to the </w:t>
      </w:r>
      <w:r w:rsidR="007F5EC9">
        <w:rPr>
          <w:rStyle w:val="eop"/>
          <w:rFonts w:ascii="Arial" w:hAnsi="Arial" w:cs="Arial"/>
          <w:color w:val="000000" w:themeColor="text1"/>
        </w:rPr>
        <w:t xml:space="preserve">Government </w:t>
      </w:r>
      <w:r w:rsidR="0050690F">
        <w:rPr>
          <w:rStyle w:val="eop"/>
          <w:rFonts w:ascii="Arial" w:hAnsi="Arial" w:cs="Arial"/>
          <w:color w:val="000000" w:themeColor="text1"/>
        </w:rPr>
        <w:t>V</w:t>
      </w:r>
      <w:r w:rsidR="007F5EC9">
        <w:rPr>
          <w:rStyle w:val="eop"/>
          <w:rFonts w:ascii="Arial" w:hAnsi="Arial" w:cs="Arial"/>
          <w:color w:val="000000" w:themeColor="text1"/>
        </w:rPr>
        <w:t xml:space="preserve">ictim </w:t>
      </w:r>
      <w:r w:rsidR="0050690F">
        <w:rPr>
          <w:rStyle w:val="eop"/>
          <w:rFonts w:ascii="Arial" w:hAnsi="Arial" w:cs="Arial"/>
          <w:color w:val="000000" w:themeColor="text1"/>
        </w:rPr>
        <w:t>C</w:t>
      </w:r>
      <w:r w:rsidR="007F5EC9">
        <w:rPr>
          <w:rStyle w:val="eop"/>
          <w:rFonts w:ascii="Arial" w:hAnsi="Arial" w:cs="Arial"/>
          <w:color w:val="000000" w:themeColor="text1"/>
        </w:rPr>
        <w:t xml:space="preserve">odes of </w:t>
      </w:r>
      <w:r w:rsidR="0050690F">
        <w:rPr>
          <w:rStyle w:val="eop"/>
          <w:rFonts w:ascii="Arial" w:hAnsi="Arial" w:cs="Arial"/>
          <w:color w:val="000000" w:themeColor="text1"/>
        </w:rPr>
        <w:t>P</w:t>
      </w:r>
      <w:r w:rsidR="007F5EC9">
        <w:rPr>
          <w:rStyle w:val="eop"/>
          <w:rFonts w:ascii="Arial" w:hAnsi="Arial" w:cs="Arial"/>
          <w:color w:val="000000" w:themeColor="text1"/>
        </w:rPr>
        <w:t>ractice</w:t>
      </w:r>
      <w:r w:rsidR="005257FC">
        <w:rPr>
          <w:rStyle w:val="eop"/>
          <w:rFonts w:ascii="Arial" w:hAnsi="Arial" w:cs="Arial"/>
          <w:color w:val="000000" w:themeColor="text1"/>
        </w:rPr>
        <w:t xml:space="preserve"> (UK Government, 2020)</w:t>
      </w:r>
      <w:r w:rsidR="007F5EC9">
        <w:rPr>
          <w:rStyle w:val="eop"/>
          <w:rFonts w:ascii="Arial" w:hAnsi="Arial" w:cs="Arial"/>
          <w:color w:val="000000" w:themeColor="text1"/>
        </w:rPr>
        <w:t>, a vulnerable victim is defined as an individual who is:</w:t>
      </w:r>
    </w:p>
    <w:p w14:paraId="03177524" w14:textId="77777777" w:rsidR="007F5EC9" w:rsidRDefault="007F5EC9" w:rsidP="5CE196A1">
      <w:pPr>
        <w:pStyle w:val="paragraph"/>
        <w:spacing w:before="0" w:beforeAutospacing="0" w:after="0" w:afterAutospacing="0"/>
        <w:rPr>
          <w:rStyle w:val="eop"/>
          <w:rFonts w:ascii="Arial" w:hAnsi="Arial" w:cs="Arial"/>
          <w:color w:val="000000" w:themeColor="text1"/>
        </w:rPr>
      </w:pPr>
    </w:p>
    <w:p w14:paraId="5BDC4DB9" w14:textId="01F225C0" w:rsidR="00AC3989" w:rsidRDefault="007F5EC9"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“under 18 years of age at the time of the offence or the quality of your evidence is likely to be affected because you: suffer from a mental disorder within meaning of the Mental Health Act 1983; otherwise have a significant impairment of intelligence and social functioning; or have a physical disability or are suffering from a physical disorder”.</w:t>
      </w:r>
    </w:p>
    <w:p w14:paraId="09DFB57D" w14:textId="77777777" w:rsidR="007F5EC9" w:rsidRDefault="007F5EC9" w:rsidP="5CE196A1">
      <w:pPr>
        <w:pStyle w:val="paragraph"/>
        <w:spacing w:before="0" w:beforeAutospacing="0" w:after="0" w:afterAutospacing="0"/>
        <w:rPr>
          <w:rStyle w:val="eop"/>
          <w:rFonts w:ascii="Arial" w:hAnsi="Arial" w:cs="Arial"/>
          <w:color w:val="000000" w:themeColor="text1"/>
        </w:rPr>
      </w:pPr>
    </w:p>
    <w:p w14:paraId="0E7BC7EE" w14:textId="590C195A" w:rsidR="00E1343F" w:rsidRDefault="000D18E2" w:rsidP="00334A9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A study from the</w:t>
      </w:r>
      <w:r w:rsidR="00FB5219">
        <w:rPr>
          <w:rStyle w:val="eop"/>
          <w:rFonts w:ascii="Arial" w:hAnsi="Arial" w:cs="Arial"/>
          <w:color w:val="000000" w:themeColor="text1"/>
        </w:rPr>
        <w:t xml:space="preserve"> Office for National Statistics (2019) found that </w:t>
      </w:r>
      <w:r w:rsidR="00C0704D">
        <w:rPr>
          <w:rStyle w:val="eop"/>
          <w:rFonts w:ascii="Arial" w:hAnsi="Arial" w:cs="Arial"/>
          <w:color w:val="000000" w:themeColor="text1"/>
        </w:rPr>
        <w:t xml:space="preserve">in the year ending March 2019, </w:t>
      </w:r>
      <w:r w:rsidR="007741E5">
        <w:rPr>
          <w:rStyle w:val="eop"/>
          <w:rFonts w:ascii="Arial" w:hAnsi="Arial" w:cs="Arial"/>
          <w:color w:val="000000" w:themeColor="text1"/>
        </w:rPr>
        <w:t xml:space="preserve">almost 1 in 4 disabled adults experienced crime, with 1 in 7 disabled adults experiencing domestic abuse. This is in contrast a </w:t>
      </w:r>
      <w:r w:rsidR="002E2EC8">
        <w:rPr>
          <w:rStyle w:val="eop"/>
          <w:rFonts w:ascii="Arial" w:hAnsi="Arial" w:cs="Arial"/>
          <w:color w:val="000000" w:themeColor="text1"/>
        </w:rPr>
        <w:t>statistic of 1 in 5 and 1 in 20 (respectively) for non-disabled adults, showing a</w:t>
      </w:r>
      <w:r w:rsidR="00F054EE">
        <w:rPr>
          <w:rStyle w:val="eop"/>
          <w:rFonts w:ascii="Arial" w:hAnsi="Arial" w:cs="Arial"/>
          <w:color w:val="000000" w:themeColor="text1"/>
        </w:rPr>
        <w:t>n obvious higher risk of exposure to crime for those who are disabled</w:t>
      </w:r>
      <w:r w:rsidR="00D3719B">
        <w:rPr>
          <w:rStyle w:val="eop"/>
          <w:rFonts w:ascii="Arial" w:hAnsi="Arial" w:cs="Arial"/>
          <w:color w:val="000000" w:themeColor="text1"/>
        </w:rPr>
        <w:t>. As such, it is important that we recognise this vulnerability and adapt our</w:t>
      </w:r>
      <w:r w:rsidR="005911C7">
        <w:rPr>
          <w:rStyle w:val="eop"/>
          <w:rFonts w:ascii="Arial" w:hAnsi="Arial" w:cs="Arial"/>
          <w:color w:val="000000" w:themeColor="text1"/>
        </w:rPr>
        <w:t xml:space="preserve"> policing approach to attempt to support this.</w:t>
      </w:r>
    </w:p>
    <w:p w14:paraId="609B6833" w14:textId="77777777" w:rsidR="005911C7" w:rsidRDefault="005911C7" w:rsidP="00334A91">
      <w:pPr>
        <w:pStyle w:val="paragraph"/>
        <w:spacing w:before="0" w:beforeAutospacing="0" w:after="0" w:afterAutospacing="0"/>
        <w:rPr>
          <w:rStyle w:val="eop"/>
          <w:rFonts w:ascii="Arial" w:hAnsi="Arial" w:cs="Arial"/>
          <w:color w:val="000000" w:themeColor="text1"/>
        </w:rPr>
      </w:pPr>
    </w:p>
    <w:p w14:paraId="17B1DE5B" w14:textId="77777777" w:rsidR="00AB471A" w:rsidRDefault="00AB471A" w:rsidP="5CE196A1">
      <w:pPr>
        <w:pStyle w:val="paragraph"/>
        <w:spacing w:before="0" w:beforeAutospacing="0" w:after="0" w:afterAutospacing="0"/>
        <w:rPr>
          <w:rStyle w:val="eop"/>
          <w:rFonts w:ascii="Arial" w:hAnsi="Arial" w:cs="Arial"/>
          <w:color w:val="000000" w:themeColor="text1"/>
        </w:rPr>
      </w:pPr>
    </w:p>
    <w:p w14:paraId="0ECD41C9" w14:textId="4ED84E0F" w:rsidR="00FB3E2B" w:rsidRDefault="00AB471A"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 xml:space="preserve">A study outlined </w:t>
      </w:r>
      <w:r w:rsidR="00755265">
        <w:rPr>
          <w:rStyle w:val="eop"/>
          <w:rFonts w:ascii="Arial" w:hAnsi="Arial" w:cs="Arial"/>
          <w:color w:val="000000" w:themeColor="text1"/>
        </w:rPr>
        <w:t>by College of Policing</w:t>
      </w:r>
      <w:r w:rsidR="00113907">
        <w:rPr>
          <w:rStyle w:val="eop"/>
          <w:rFonts w:ascii="Arial" w:hAnsi="Arial" w:cs="Arial"/>
          <w:color w:val="000000" w:themeColor="text1"/>
        </w:rPr>
        <w:t xml:space="preserve"> (2021) </w:t>
      </w:r>
      <w:r w:rsidR="00755265">
        <w:rPr>
          <w:rStyle w:val="eop"/>
          <w:rFonts w:ascii="Arial" w:hAnsi="Arial" w:cs="Arial"/>
          <w:color w:val="000000" w:themeColor="text1"/>
        </w:rPr>
        <w:t>in</w:t>
      </w:r>
      <w:r w:rsidR="00113907">
        <w:rPr>
          <w:rStyle w:val="eop"/>
          <w:rFonts w:ascii="Arial" w:hAnsi="Arial" w:cs="Arial"/>
          <w:color w:val="000000" w:themeColor="text1"/>
        </w:rPr>
        <w:t xml:space="preserve"> an</w:t>
      </w:r>
      <w:r w:rsidR="00755265">
        <w:rPr>
          <w:rStyle w:val="eop"/>
          <w:rFonts w:ascii="Arial" w:hAnsi="Arial" w:cs="Arial"/>
          <w:color w:val="000000" w:themeColor="text1"/>
        </w:rPr>
        <w:t xml:space="preserve"> article titled ‘Recognising and responding to vulnerability-related risks: </w:t>
      </w:r>
      <w:r w:rsidR="0019040F">
        <w:rPr>
          <w:rStyle w:val="eop"/>
          <w:rFonts w:ascii="Arial" w:hAnsi="Arial" w:cs="Arial"/>
          <w:color w:val="000000" w:themeColor="text1"/>
        </w:rPr>
        <w:t xml:space="preserve">Guidelines’ attempted to identify professional behaviours that may encourage vulnerable victims and individuals to disclose harm. In the incident I was involved in, the victim was the suspect’s father. As such, the victim most likely had difficulty in </w:t>
      </w:r>
      <w:r w:rsidR="00536C90">
        <w:rPr>
          <w:rStyle w:val="eop"/>
          <w:rFonts w:ascii="Arial" w:hAnsi="Arial" w:cs="Arial"/>
          <w:color w:val="000000" w:themeColor="text1"/>
        </w:rPr>
        <w:t xml:space="preserve">providing an account of what had happened, out of loyalty and love for his son. </w:t>
      </w:r>
      <w:r w:rsidR="00697443">
        <w:rPr>
          <w:rStyle w:val="eop"/>
          <w:rFonts w:ascii="Arial" w:hAnsi="Arial" w:cs="Arial"/>
          <w:color w:val="000000" w:themeColor="text1"/>
        </w:rPr>
        <w:t xml:space="preserve">This study </w:t>
      </w:r>
      <w:r w:rsidR="001956AC">
        <w:rPr>
          <w:rStyle w:val="eop"/>
          <w:rFonts w:ascii="Arial" w:hAnsi="Arial" w:cs="Arial"/>
          <w:color w:val="000000" w:themeColor="text1"/>
        </w:rPr>
        <w:t>found that the main reasons</w:t>
      </w:r>
      <w:r w:rsidR="00913381">
        <w:rPr>
          <w:rStyle w:val="eop"/>
          <w:rFonts w:ascii="Arial" w:hAnsi="Arial" w:cs="Arial"/>
          <w:color w:val="000000" w:themeColor="text1"/>
        </w:rPr>
        <w:t xml:space="preserve"> that impact a vulnerable victim’s ability or willingness to disclose harm is due to </w:t>
      </w:r>
      <w:r w:rsidR="00FA58C7">
        <w:rPr>
          <w:rStyle w:val="eop"/>
          <w:rFonts w:ascii="Arial" w:hAnsi="Arial" w:cs="Arial"/>
          <w:color w:val="000000" w:themeColor="text1"/>
        </w:rPr>
        <w:t>coercive control, fear of offender and repercussions, dependence</w:t>
      </w:r>
      <w:r w:rsidR="00510D15">
        <w:rPr>
          <w:rStyle w:val="eop"/>
          <w:rFonts w:ascii="Arial" w:hAnsi="Arial" w:cs="Arial"/>
          <w:color w:val="000000" w:themeColor="text1"/>
        </w:rPr>
        <w:t xml:space="preserve">, feeling disempowered and feelings of shame and self-blame. In my incident, </w:t>
      </w:r>
      <w:r w:rsidR="006C17F5">
        <w:rPr>
          <w:rStyle w:val="eop"/>
          <w:rFonts w:ascii="Arial" w:hAnsi="Arial" w:cs="Arial"/>
          <w:color w:val="000000" w:themeColor="text1"/>
        </w:rPr>
        <w:t xml:space="preserve">the victim was repeatedly blaming himself, believing that he had raised his son in a way that resulted in the </w:t>
      </w:r>
      <w:r w:rsidR="002D1AD7">
        <w:rPr>
          <w:rStyle w:val="eop"/>
          <w:rFonts w:ascii="Arial" w:hAnsi="Arial" w:cs="Arial"/>
          <w:color w:val="000000" w:themeColor="text1"/>
        </w:rPr>
        <w:t>behaviours he now exhibits.</w:t>
      </w:r>
      <w:r w:rsidR="00DA2DD5">
        <w:rPr>
          <w:rStyle w:val="eop"/>
          <w:rFonts w:ascii="Arial" w:hAnsi="Arial" w:cs="Arial"/>
          <w:color w:val="000000" w:themeColor="text1"/>
        </w:rPr>
        <w:t xml:space="preserve"> </w:t>
      </w:r>
      <w:r w:rsidR="00E31332">
        <w:rPr>
          <w:rStyle w:val="eop"/>
          <w:rFonts w:ascii="Arial" w:hAnsi="Arial" w:cs="Arial"/>
          <w:color w:val="000000" w:themeColor="text1"/>
        </w:rPr>
        <w:t>In this study, it was found that lack of sensitivity from the police</w:t>
      </w:r>
      <w:r w:rsidR="00FF4856">
        <w:rPr>
          <w:rStyle w:val="eop"/>
          <w:rFonts w:ascii="Arial" w:hAnsi="Arial" w:cs="Arial"/>
          <w:color w:val="000000" w:themeColor="text1"/>
        </w:rPr>
        <w:t xml:space="preserve"> resulted in victims being revictimized or reliving their experience and trauma. </w:t>
      </w:r>
      <w:r w:rsidR="0035068E">
        <w:rPr>
          <w:rStyle w:val="eop"/>
          <w:rFonts w:ascii="Arial" w:hAnsi="Arial" w:cs="Arial"/>
          <w:color w:val="000000" w:themeColor="text1"/>
        </w:rPr>
        <w:t xml:space="preserve">Victims showed a more positive experience when they received a reassuring and supportive response </w:t>
      </w:r>
      <w:r w:rsidR="000A43CE">
        <w:rPr>
          <w:rStyle w:val="eop"/>
          <w:rFonts w:ascii="Arial" w:hAnsi="Arial" w:cs="Arial"/>
          <w:color w:val="000000" w:themeColor="text1"/>
        </w:rPr>
        <w:t xml:space="preserve">that focused more on their needs. </w:t>
      </w:r>
      <w:r w:rsidR="006D266A">
        <w:rPr>
          <w:rStyle w:val="eop"/>
          <w:rFonts w:ascii="Arial" w:hAnsi="Arial" w:cs="Arial"/>
          <w:color w:val="000000" w:themeColor="text1"/>
        </w:rPr>
        <w:t xml:space="preserve">This pattern appeared to be a strong trend across 41 studies </w:t>
      </w:r>
      <w:r w:rsidR="001D2282">
        <w:rPr>
          <w:rStyle w:val="eop"/>
          <w:rFonts w:ascii="Arial" w:hAnsi="Arial" w:cs="Arial"/>
          <w:color w:val="000000" w:themeColor="text1"/>
        </w:rPr>
        <w:t>with the majority of sample population being victims and vulnerable people</w:t>
      </w:r>
      <w:r w:rsidR="00B8403A">
        <w:rPr>
          <w:rStyle w:val="eop"/>
          <w:rFonts w:ascii="Arial" w:hAnsi="Arial" w:cs="Arial"/>
          <w:color w:val="000000" w:themeColor="text1"/>
        </w:rPr>
        <w:t xml:space="preserve"> in contrast to a </w:t>
      </w:r>
      <w:r w:rsidR="00D33384">
        <w:rPr>
          <w:rStyle w:val="eop"/>
          <w:rFonts w:ascii="Arial" w:hAnsi="Arial" w:cs="Arial"/>
          <w:color w:val="000000" w:themeColor="text1"/>
        </w:rPr>
        <w:t xml:space="preserve">sample of 54 studies showing that an unsympathetic response </w:t>
      </w:r>
      <w:r w:rsidR="00823655">
        <w:rPr>
          <w:rStyle w:val="eop"/>
          <w:rFonts w:ascii="Arial" w:hAnsi="Arial" w:cs="Arial"/>
          <w:color w:val="000000" w:themeColor="text1"/>
        </w:rPr>
        <w:t>resulted in a negative experience</w:t>
      </w:r>
      <w:r w:rsidR="001D2282">
        <w:rPr>
          <w:rStyle w:val="eop"/>
          <w:rFonts w:ascii="Arial" w:hAnsi="Arial" w:cs="Arial"/>
          <w:color w:val="000000" w:themeColor="text1"/>
        </w:rPr>
        <w:t xml:space="preserve">. </w:t>
      </w:r>
      <w:r w:rsidR="00823655">
        <w:rPr>
          <w:rStyle w:val="eop"/>
          <w:rFonts w:ascii="Arial" w:hAnsi="Arial" w:cs="Arial"/>
          <w:color w:val="000000" w:themeColor="text1"/>
        </w:rPr>
        <w:t xml:space="preserve">This relatively large sample size emphasises the importance in making the victim feel </w:t>
      </w:r>
      <w:r w:rsidR="00FB3E2B">
        <w:rPr>
          <w:rStyle w:val="eop"/>
          <w:rFonts w:ascii="Arial" w:hAnsi="Arial" w:cs="Arial"/>
          <w:color w:val="000000" w:themeColor="text1"/>
        </w:rPr>
        <w:t>reassured</w:t>
      </w:r>
      <w:r w:rsidR="00F74C74">
        <w:rPr>
          <w:rStyle w:val="eop"/>
          <w:rFonts w:ascii="Arial" w:hAnsi="Arial" w:cs="Arial"/>
          <w:color w:val="000000" w:themeColor="text1"/>
        </w:rPr>
        <w:t xml:space="preserve"> and this is a behaviour that should be exhibited upon attendance at almost all policing incidents rather than only those that involve vulnerable victims. </w:t>
      </w:r>
      <w:r w:rsidR="00BF6C2F">
        <w:rPr>
          <w:rStyle w:val="eop"/>
          <w:rFonts w:ascii="Arial" w:hAnsi="Arial" w:cs="Arial"/>
          <w:color w:val="000000" w:themeColor="text1"/>
        </w:rPr>
        <w:t>The introduction of “Victim Personal Statements” in the Victim Codes of Practice further emulates this empathetic response from police. These statements are separate from witness statements and allow victims to explain how a crime has impacted them. The</w:t>
      </w:r>
      <w:r w:rsidR="00113907">
        <w:rPr>
          <w:rStyle w:val="eop"/>
          <w:rFonts w:ascii="Arial" w:hAnsi="Arial" w:cs="Arial"/>
          <w:color w:val="000000" w:themeColor="text1"/>
        </w:rPr>
        <w:t xml:space="preserve">se </w:t>
      </w:r>
      <w:r w:rsidR="00BF6C2F">
        <w:rPr>
          <w:rStyle w:val="eop"/>
          <w:rFonts w:ascii="Arial" w:hAnsi="Arial" w:cs="Arial"/>
          <w:color w:val="000000" w:themeColor="text1"/>
        </w:rPr>
        <w:t>victim personal statement</w:t>
      </w:r>
      <w:r w:rsidR="00113907">
        <w:rPr>
          <w:rStyle w:val="eop"/>
          <w:rFonts w:ascii="Arial" w:hAnsi="Arial" w:cs="Arial"/>
          <w:color w:val="000000" w:themeColor="text1"/>
        </w:rPr>
        <w:t>s</w:t>
      </w:r>
      <w:r w:rsidR="00BF6C2F">
        <w:rPr>
          <w:rStyle w:val="eop"/>
          <w:rFonts w:ascii="Arial" w:hAnsi="Arial" w:cs="Arial"/>
          <w:color w:val="000000" w:themeColor="text1"/>
        </w:rPr>
        <w:t xml:space="preserve"> may be considered when deciding </w:t>
      </w:r>
      <w:r w:rsidR="00BF6C2F">
        <w:rPr>
          <w:rStyle w:val="eop"/>
          <w:rFonts w:ascii="Arial" w:hAnsi="Arial" w:cs="Arial"/>
          <w:color w:val="000000" w:themeColor="text1"/>
        </w:rPr>
        <w:lastRenderedPageBreak/>
        <w:t xml:space="preserve">sentencing and considered as part of a parole review, helping the victim to feel as though they are being supported and their views are being considered. Despite this, The UK Government (2022) </w:t>
      </w:r>
      <w:r w:rsidR="001B16D1">
        <w:rPr>
          <w:rStyle w:val="eop"/>
          <w:rFonts w:ascii="Arial" w:hAnsi="Arial" w:cs="Arial"/>
          <w:color w:val="000000" w:themeColor="text1"/>
        </w:rPr>
        <w:t xml:space="preserve">reported that the use of these statements is not consistent enough, resulting in the opposite desired effect. Furthermore, victims of mentally disordered offenders are not able to provide victim personal statements, making those victims feel as though they are not equal to victims of other types of offenders. However, explorations are being made as to allowing these types of statements to be heard at Mental Health Tribunals in order to </w:t>
      </w:r>
      <w:r w:rsidR="00113907">
        <w:rPr>
          <w:rStyle w:val="eop"/>
          <w:rFonts w:ascii="Arial" w:hAnsi="Arial" w:cs="Arial"/>
          <w:color w:val="000000" w:themeColor="text1"/>
        </w:rPr>
        <w:t xml:space="preserve">hear the victim’s representations in regard to conditions attached to a patient’s discharge. Attendance of victim’s at these Tribunals is currently not allowed in England and </w:t>
      </w:r>
      <w:proofErr w:type="gramStart"/>
      <w:r w:rsidR="00113907">
        <w:rPr>
          <w:rStyle w:val="eop"/>
          <w:rFonts w:ascii="Arial" w:hAnsi="Arial" w:cs="Arial"/>
          <w:color w:val="000000" w:themeColor="text1"/>
        </w:rPr>
        <w:t>Wales, but</w:t>
      </w:r>
      <w:proofErr w:type="gramEnd"/>
      <w:r w:rsidR="00113907">
        <w:rPr>
          <w:rStyle w:val="eop"/>
          <w:rFonts w:ascii="Arial" w:hAnsi="Arial" w:cs="Arial"/>
          <w:color w:val="000000" w:themeColor="text1"/>
        </w:rPr>
        <w:t xml:space="preserve"> has been allowed in Scotland and has proved unproblematic (Victims’ commissioner, 2018).</w:t>
      </w:r>
    </w:p>
    <w:p w14:paraId="7E609163" w14:textId="77777777" w:rsidR="00FB3E2B" w:rsidRDefault="00FB3E2B" w:rsidP="5CE196A1">
      <w:pPr>
        <w:pStyle w:val="paragraph"/>
        <w:spacing w:before="0" w:beforeAutospacing="0" w:after="0" w:afterAutospacing="0"/>
        <w:rPr>
          <w:rStyle w:val="eop"/>
          <w:rFonts w:ascii="Arial" w:hAnsi="Arial" w:cs="Arial"/>
          <w:color w:val="000000" w:themeColor="text1"/>
        </w:rPr>
      </w:pPr>
    </w:p>
    <w:p w14:paraId="02C654A0" w14:textId="16E1EE84" w:rsidR="00834933" w:rsidRDefault="00FB3E2B"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Furthermore,</w:t>
      </w:r>
      <w:r w:rsidR="0093553D">
        <w:rPr>
          <w:rStyle w:val="eop"/>
          <w:rFonts w:ascii="Arial" w:hAnsi="Arial" w:cs="Arial"/>
          <w:color w:val="000000" w:themeColor="text1"/>
        </w:rPr>
        <w:t xml:space="preserve"> </w:t>
      </w:r>
      <w:r w:rsidR="00FA2EED">
        <w:rPr>
          <w:rStyle w:val="eop"/>
          <w:rFonts w:ascii="Arial" w:hAnsi="Arial" w:cs="Arial"/>
          <w:color w:val="000000" w:themeColor="text1"/>
        </w:rPr>
        <w:t xml:space="preserve">over half of the studies involved </w:t>
      </w:r>
      <w:r w:rsidR="008E07C7">
        <w:rPr>
          <w:rStyle w:val="eop"/>
          <w:rFonts w:ascii="Arial" w:hAnsi="Arial" w:cs="Arial"/>
          <w:color w:val="000000" w:themeColor="text1"/>
        </w:rPr>
        <w:t xml:space="preserve">referred to a sense of victim blaming by both police and other professional agencies. </w:t>
      </w:r>
      <w:r w:rsidR="008B1BEE">
        <w:rPr>
          <w:rStyle w:val="eop"/>
          <w:rFonts w:ascii="Arial" w:hAnsi="Arial" w:cs="Arial"/>
          <w:color w:val="000000" w:themeColor="text1"/>
        </w:rPr>
        <w:t>Victims felt pre-judged by their age, disability, gender, ethnicity, sexuality and life circumstances, feeling as though these judgements affected the quality of service they received.</w:t>
      </w:r>
      <w:r w:rsidR="00250408">
        <w:rPr>
          <w:rStyle w:val="eop"/>
          <w:rFonts w:ascii="Arial" w:hAnsi="Arial" w:cs="Arial"/>
          <w:color w:val="000000" w:themeColor="text1"/>
        </w:rPr>
        <w:t xml:space="preserve"> In addition, feeling believed was found to be one of the most important factors for victims</w:t>
      </w:r>
      <w:r w:rsidR="00200059">
        <w:rPr>
          <w:rStyle w:val="eop"/>
          <w:rFonts w:ascii="Arial" w:hAnsi="Arial" w:cs="Arial"/>
          <w:color w:val="000000" w:themeColor="text1"/>
        </w:rPr>
        <w:t xml:space="preserve"> as it made them feel as though they made the right decision to disclose certain behaviours. </w:t>
      </w:r>
      <w:r w:rsidR="00D3796E">
        <w:rPr>
          <w:rStyle w:val="eop"/>
          <w:rFonts w:ascii="Arial" w:hAnsi="Arial" w:cs="Arial"/>
          <w:color w:val="000000" w:themeColor="text1"/>
        </w:rPr>
        <w:t xml:space="preserve">It was found that police could demonstrate this through verbal reassurance and by how they treated the victim and how thoroughly they investigated the incident. </w:t>
      </w:r>
      <w:r w:rsidR="003E1656">
        <w:rPr>
          <w:rStyle w:val="eop"/>
          <w:rFonts w:ascii="Arial" w:hAnsi="Arial" w:cs="Arial"/>
          <w:color w:val="000000" w:themeColor="text1"/>
        </w:rPr>
        <w:t xml:space="preserve">In my incident, I found that repeatedly informing the victim that he did the right thing by reporting this behaviour, helped him to feel more at ease. In addition, </w:t>
      </w:r>
      <w:r w:rsidR="002F183C">
        <w:rPr>
          <w:rStyle w:val="eop"/>
          <w:rFonts w:ascii="Arial" w:hAnsi="Arial" w:cs="Arial"/>
          <w:color w:val="000000" w:themeColor="text1"/>
        </w:rPr>
        <w:t xml:space="preserve">I found that contacting him throughout the stages of the investigation allowed him to feel as though the police were taking his report seriously and were investigating </w:t>
      </w:r>
      <w:r w:rsidR="003E4363">
        <w:rPr>
          <w:rStyle w:val="eop"/>
          <w:rFonts w:ascii="Arial" w:hAnsi="Arial" w:cs="Arial"/>
          <w:color w:val="000000" w:themeColor="text1"/>
        </w:rPr>
        <w:t>thoroughly</w:t>
      </w:r>
      <w:r w:rsidR="002F183C">
        <w:rPr>
          <w:rStyle w:val="eop"/>
          <w:rFonts w:ascii="Arial" w:hAnsi="Arial" w:cs="Arial"/>
          <w:color w:val="000000" w:themeColor="text1"/>
        </w:rPr>
        <w:t>.</w:t>
      </w:r>
      <w:r w:rsidR="009B2E9B">
        <w:rPr>
          <w:rStyle w:val="eop"/>
          <w:rFonts w:ascii="Arial" w:hAnsi="Arial" w:cs="Arial"/>
          <w:color w:val="000000" w:themeColor="text1"/>
        </w:rPr>
        <w:t xml:space="preserve"> </w:t>
      </w:r>
      <w:r w:rsidR="003E4363">
        <w:rPr>
          <w:rStyle w:val="eop"/>
          <w:rFonts w:ascii="Arial" w:hAnsi="Arial" w:cs="Arial"/>
          <w:color w:val="000000" w:themeColor="text1"/>
        </w:rPr>
        <w:t>This study backs up my own personal experience by stating that active listening, taking what victims are saying seriously and providing follow-up information</w:t>
      </w:r>
      <w:r w:rsidR="00753987">
        <w:rPr>
          <w:rStyle w:val="eop"/>
          <w:rFonts w:ascii="Arial" w:hAnsi="Arial" w:cs="Arial"/>
          <w:color w:val="000000" w:themeColor="text1"/>
        </w:rPr>
        <w:t xml:space="preserve"> were found to be important factors for encouraging vulnerable victims to disclose. </w:t>
      </w:r>
      <w:r w:rsidR="003C73D5">
        <w:rPr>
          <w:rStyle w:val="eop"/>
          <w:rFonts w:ascii="Arial" w:hAnsi="Arial" w:cs="Arial"/>
          <w:color w:val="000000" w:themeColor="text1"/>
        </w:rPr>
        <w:t>Although this information feels somewhat like common sense, repeated follow-up with victims may not always be appropriate. A conversation should be had with the victim at time of attendance as to how frequently they would like updates.</w:t>
      </w:r>
      <w:r w:rsidR="00DC2F89">
        <w:rPr>
          <w:rStyle w:val="eop"/>
          <w:rFonts w:ascii="Arial" w:hAnsi="Arial" w:cs="Arial"/>
          <w:color w:val="000000" w:themeColor="text1"/>
        </w:rPr>
        <w:t xml:space="preserve"> Several victims may request less frequent contact as regular updates cause them to re-live </w:t>
      </w:r>
      <w:r w:rsidR="00336205">
        <w:rPr>
          <w:rStyle w:val="eop"/>
          <w:rFonts w:ascii="Arial" w:hAnsi="Arial" w:cs="Arial"/>
          <w:color w:val="000000" w:themeColor="text1"/>
        </w:rPr>
        <w:t xml:space="preserve">the traumatic incidents that they have experienced. </w:t>
      </w:r>
      <w:r w:rsidR="003C73D5">
        <w:rPr>
          <w:rStyle w:val="eop"/>
          <w:rFonts w:ascii="Arial" w:hAnsi="Arial" w:cs="Arial"/>
          <w:color w:val="000000" w:themeColor="text1"/>
        </w:rPr>
        <w:t>In addition, due to the shift pattern worked by police officers, contact during night shifts may not be entirely appropriate</w:t>
      </w:r>
      <w:r w:rsidR="00DC2438">
        <w:rPr>
          <w:rStyle w:val="eop"/>
          <w:rFonts w:ascii="Arial" w:hAnsi="Arial" w:cs="Arial"/>
          <w:color w:val="000000" w:themeColor="text1"/>
        </w:rPr>
        <w:t xml:space="preserve"> or the method of contact may need to be adapted (i.e. via text message).</w:t>
      </w:r>
      <w:r w:rsidR="00DC2F89">
        <w:rPr>
          <w:rStyle w:val="eop"/>
          <w:rFonts w:ascii="Arial" w:hAnsi="Arial" w:cs="Arial"/>
          <w:color w:val="000000" w:themeColor="text1"/>
        </w:rPr>
        <w:t xml:space="preserve"> This may make it difficult to maintain a regular contact pattern with a victim. Furthermore, complex investigations often take time and there may be time periods where there are no updates to provide a victim, subsequently discouraging officer’s to contact as they have no further information to offer. Despite this</w:t>
      </w:r>
      <w:r w:rsidR="00DC496E">
        <w:rPr>
          <w:rStyle w:val="eop"/>
          <w:rFonts w:ascii="Arial" w:hAnsi="Arial" w:cs="Arial"/>
          <w:color w:val="000000" w:themeColor="text1"/>
        </w:rPr>
        <w:t xml:space="preserve">, repeated contact and verbal reassurance with the victim helps to build rapport, making them less likely to retract their statement. Building rapport and asking questions was found </w:t>
      </w:r>
      <w:r w:rsidR="002421D9">
        <w:rPr>
          <w:rStyle w:val="eop"/>
          <w:rFonts w:ascii="Arial" w:hAnsi="Arial" w:cs="Arial"/>
          <w:color w:val="000000" w:themeColor="text1"/>
        </w:rPr>
        <w:t>to strongly impact a vulnerable sample of people</w:t>
      </w:r>
      <w:r w:rsidR="00DC496E">
        <w:rPr>
          <w:rStyle w:val="eop"/>
          <w:rFonts w:ascii="Arial" w:hAnsi="Arial" w:cs="Arial"/>
          <w:color w:val="000000" w:themeColor="text1"/>
        </w:rPr>
        <w:t xml:space="preserve"> across the majority of studies</w:t>
      </w:r>
      <w:r w:rsidR="002421D9">
        <w:rPr>
          <w:rStyle w:val="eop"/>
          <w:rFonts w:ascii="Arial" w:hAnsi="Arial" w:cs="Arial"/>
          <w:color w:val="000000" w:themeColor="text1"/>
        </w:rPr>
        <w:t>.</w:t>
      </w:r>
    </w:p>
    <w:p w14:paraId="00B7EF16" w14:textId="77777777" w:rsidR="00CE7C1B" w:rsidRDefault="00CE7C1B" w:rsidP="5CE196A1">
      <w:pPr>
        <w:pStyle w:val="paragraph"/>
        <w:spacing w:before="0" w:beforeAutospacing="0" w:after="0" w:afterAutospacing="0"/>
        <w:rPr>
          <w:rStyle w:val="eop"/>
          <w:rFonts w:ascii="Arial" w:hAnsi="Arial" w:cs="Arial"/>
          <w:color w:val="000000" w:themeColor="text1"/>
        </w:rPr>
      </w:pPr>
    </w:p>
    <w:p w14:paraId="3A5DF6A3" w14:textId="415BD463" w:rsidR="00DC2438" w:rsidRDefault="00DC2438" w:rsidP="5CE196A1">
      <w:pPr>
        <w:pStyle w:val="paragraph"/>
        <w:spacing w:before="0" w:beforeAutospacing="0" w:after="0" w:afterAutospacing="0"/>
        <w:rPr>
          <w:rStyle w:val="eop"/>
          <w:rFonts w:ascii="Arial" w:hAnsi="Arial" w:cs="Arial"/>
          <w:color w:val="000000" w:themeColor="text1"/>
        </w:rPr>
      </w:pPr>
    </w:p>
    <w:p w14:paraId="7C46C64D" w14:textId="59AE15C6" w:rsidR="00A65C9C" w:rsidRDefault="00DC2438" w:rsidP="5CE196A1">
      <w:pPr>
        <w:pStyle w:val="paragraph"/>
        <w:spacing w:before="0" w:beforeAutospacing="0" w:after="0" w:afterAutospacing="0"/>
        <w:rPr>
          <w:rStyle w:val="eop"/>
          <w:rFonts w:ascii="Arial" w:hAnsi="Arial" w:cs="Arial"/>
          <w:color w:val="000000" w:themeColor="text1"/>
        </w:rPr>
      </w:pPr>
      <w:r>
        <w:rPr>
          <w:rStyle w:val="eop"/>
          <w:rFonts w:ascii="Arial" w:hAnsi="Arial" w:cs="Arial"/>
          <w:color w:val="000000" w:themeColor="text1"/>
        </w:rPr>
        <w:t xml:space="preserve">In this incident, both the victim and suspect were of a White British ethnicity and spoke English, therefore, there were no relevant ethnicity concerns. On the other hand, as previously stated, the victim in this case had suffered a stroke, resulting in him experiencing slurred speech. Although this did not cause language issues as such, as the victim was still understandable, this required a much lengthier visit </w:t>
      </w:r>
      <w:r w:rsidR="00636291">
        <w:rPr>
          <w:rStyle w:val="eop"/>
          <w:rFonts w:ascii="Arial" w:hAnsi="Arial" w:cs="Arial"/>
          <w:color w:val="000000" w:themeColor="text1"/>
        </w:rPr>
        <w:t xml:space="preserve">in order to obtain a full account of events. Due to these language issues, the victim also </w:t>
      </w:r>
      <w:r w:rsidR="00636291">
        <w:rPr>
          <w:rStyle w:val="eop"/>
          <w:rFonts w:ascii="Arial" w:hAnsi="Arial" w:cs="Arial"/>
          <w:color w:val="000000" w:themeColor="text1"/>
        </w:rPr>
        <w:lastRenderedPageBreak/>
        <w:t>requested for all updates to take place through his sister, which meant that the victim in this incident could not always be directly updated. Although it does not appear as though there are cultural issues present at first glance, the previously mentioned article published by College of Policing states that societal influences such as being a male victim of domestic abuse is a core fear as to why incidents go unreported. The victim in this incident is a male victim of domestic abuse perpetrated by his son. His son has a multitude of previous instances as being a perpetrator of domestic violence towards his father, with these incidents not progressing due to lack of police support from his father. Therefore, this suggests there may be some form of fear in taking police action against his son, potentially due to societal pressures.</w:t>
      </w:r>
      <w:r w:rsidR="00A65C9C">
        <w:rPr>
          <w:rStyle w:val="eop"/>
          <w:rFonts w:ascii="Arial" w:hAnsi="Arial" w:cs="Arial"/>
          <w:color w:val="000000" w:themeColor="text1"/>
        </w:rPr>
        <w:t xml:space="preserve"> In this instance, his father is therefore considered a repeat victim. </w:t>
      </w:r>
    </w:p>
    <w:p w14:paraId="02EAA708" w14:textId="77777777" w:rsidR="00ED7AB7" w:rsidRDefault="00ED7AB7" w:rsidP="5CE196A1">
      <w:pPr>
        <w:pStyle w:val="paragraph"/>
        <w:spacing w:before="0" w:beforeAutospacing="0" w:after="0" w:afterAutospacing="0"/>
        <w:rPr>
          <w:rFonts w:ascii="Arial" w:hAnsi="Arial" w:cs="Arial"/>
          <w:color w:val="000000" w:themeColor="text1"/>
        </w:rPr>
      </w:pPr>
    </w:p>
    <w:p w14:paraId="0C26B363" w14:textId="360EF8ED" w:rsidR="002421D9" w:rsidRDefault="003B1CD9" w:rsidP="5CE196A1">
      <w:pPr>
        <w:pStyle w:val="paragraph"/>
        <w:spacing w:before="0" w:beforeAutospacing="0" w:after="0" w:afterAutospacing="0"/>
        <w:rPr>
          <w:rFonts w:ascii="Arial" w:hAnsi="Arial" w:cs="Arial"/>
          <w:color w:val="000000" w:themeColor="text1"/>
        </w:rPr>
      </w:pPr>
      <w:r>
        <w:rPr>
          <w:rFonts w:ascii="Arial" w:hAnsi="Arial" w:cs="Arial"/>
          <w:color w:val="000000" w:themeColor="text1"/>
        </w:rPr>
        <w:t xml:space="preserve">In 2017, the University of Leicester published a study aiming to address repeat victims in domestic violence cases. This study involved contacting domestic violence victims, by phone, by a domestic violence trained worker to offer any further assistance and support. If relevant, these trained workers will also inform a child’s school that a domestic incident has taken place. </w:t>
      </w:r>
      <w:r w:rsidR="00ED7AB7">
        <w:rPr>
          <w:rFonts w:ascii="Arial" w:hAnsi="Arial" w:cs="Arial"/>
          <w:color w:val="000000" w:themeColor="text1"/>
        </w:rPr>
        <w:t>Implementing this intervention resulted in domestic victims being almost 30% less likely to retract their police statements, which is a clear positive outcome of this study. On the other hand, victims who received this intervention were roughly 20% less likely to provide a statement in the first case, showing an unexpected decline in statement giving. Despite this, victims receiving the intervention showed higher satisfaction with service provided by police, less stress and better quality of life than those who did not receive the intervention. At the end of this study, the authors recommended that this intervention be implemented across a</w:t>
      </w:r>
      <w:r w:rsidR="002421D9">
        <w:rPr>
          <w:rFonts w:ascii="Arial" w:hAnsi="Arial" w:cs="Arial"/>
          <w:color w:val="000000" w:themeColor="text1"/>
        </w:rPr>
        <w:t>ll</w:t>
      </w:r>
      <w:r w:rsidR="00ED7AB7">
        <w:rPr>
          <w:rFonts w:ascii="Arial" w:hAnsi="Arial" w:cs="Arial"/>
          <w:color w:val="000000" w:themeColor="text1"/>
        </w:rPr>
        <w:t xml:space="preserve"> police forces, as well as recommending that engagement with the domestic violence worker is done immediately after an incident and should </w:t>
      </w:r>
      <w:r w:rsidR="002421D9">
        <w:rPr>
          <w:rFonts w:ascii="Arial" w:hAnsi="Arial" w:cs="Arial"/>
          <w:color w:val="000000" w:themeColor="text1"/>
        </w:rPr>
        <w:t xml:space="preserve">also be offered </w:t>
      </w:r>
      <w:r w:rsidR="00ED7AB7">
        <w:rPr>
          <w:rFonts w:ascii="Arial" w:hAnsi="Arial" w:cs="Arial"/>
          <w:color w:val="000000" w:themeColor="text1"/>
        </w:rPr>
        <w:t xml:space="preserve">to victims who have less than three previous instances in a one year period. </w:t>
      </w:r>
      <w:r w:rsidR="006D2CDD">
        <w:rPr>
          <w:rFonts w:ascii="Arial" w:hAnsi="Arial" w:cs="Arial"/>
          <w:color w:val="000000" w:themeColor="text1"/>
        </w:rPr>
        <w:t xml:space="preserve">On the other hand, in relation to attempting to combat repeat offending, an article published by Sofia Amaral and colleagues (2017) </w:t>
      </w:r>
      <w:r w:rsidR="002421D9">
        <w:rPr>
          <w:rFonts w:ascii="Arial" w:hAnsi="Arial" w:cs="Arial"/>
          <w:color w:val="000000" w:themeColor="text1"/>
        </w:rPr>
        <w:t>described</w:t>
      </w:r>
      <w:r w:rsidR="006D2CDD">
        <w:rPr>
          <w:rFonts w:ascii="Arial" w:hAnsi="Arial" w:cs="Arial"/>
          <w:color w:val="000000" w:themeColor="text1"/>
        </w:rPr>
        <w:t xml:space="preserve"> a 51% decrease in repeat offending of domestic violence when the suspect is arrested. </w:t>
      </w:r>
      <w:r w:rsidR="008E67A2">
        <w:rPr>
          <w:rFonts w:ascii="Arial" w:hAnsi="Arial" w:cs="Arial"/>
          <w:color w:val="000000" w:themeColor="text1"/>
        </w:rPr>
        <w:t xml:space="preserve">A similar reduction can be observed over the period of a year, showing that making an arrest can also result in a long-term effect. </w:t>
      </w:r>
      <w:r w:rsidR="006D2CDD">
        <w:rPr>
          <w:rFonts w:ascii="Arial" w:hAnsi="Arial" w:cs="Arial"/>
          <w:color w:val="000000" w:themeColor="text1"/>
        </w:rPr>
        <w:t xml:space="preserve">They stated that without </w:t>
      </w:r>
      <w:r w:rsidR="008E67A2">
        <w:rPr>
          <w:rFonts w:ascii="Arial" w:hAnsi="Arial" w:cs="Arial"/>
          <w:color w:val="000000" w:themeColor="text1"/>
        </w:rPr>
        <w:t>this</w:t>
      </w:r>
      <w:r w:rsidR="006D2CDD">
        <w:rPr>
          <w:rFonts w:ascii="Arial" w:hAnsi="Arial" w:cs="Arial"/>
          <w:color w:val="000000" w:themeColor="text1"/>
        </w:rPr>
        <w:t xml:space="preserve"> arrest, one-fourth of perpetrators become violent </w:t>
      </w:r>
      <w:r w:rsidR="008E67A2">
        <w:rPr>
          <w:rFonts w:ascii="Arial" w:hAnsi="Arial" w:cs="Arial"/>
          <w:color w:val="000000" w:themeColor="text1"/>
        </w:rPr>
        <w:t xml:space="preserve">again </w:t>
      </w:r>
      <w:r w:rsidR="006D2CDD">
        <w:rPr>
          <w:rFonts w:ascii="Arial" w:hAnsi="Arial" w:cs="Arial"/>
          <w:color w:val="000000" w:themeColor="text1"/>
        </w:rPr>
        <w:t>within 96 hours</w:t>
      </w:r>
      <w:r w:rsidR="008E67A2">
        <w:rPr>
          <w:rFonts w:ascii="Arial" w:hAnsi="Arial" w:cs="Arial"/>
          <w:color w:val="000000" w:themeColor="text1"/>
        </w:rPr>
        <w:t>. South Wales Police policy states to take ‘positive action’ at domestic incidents, including making arrests upon disclosure of physical violence, regardless of whether the victim supports police action. Therefore, although victims may not be able to be convinced to provide police with a positive statement, making an arrest alone may be enough to reduce further domestic incidents.</w:t>
      </w:r>
    </w:p>
    <w:p w14:paraId="53D9E4A9" w14:textId="77777777" w:rsidR="002421D9" w:rsidRDefault="002421D9" w:rsidP="5CE196A1">
      <w:pPr>
        <w:pStyle w:val="paragraph"/>
        <w:spacing w:before="0" w:beforeAutospacing="0" w:after="0" w:afterAutospacing="0"/>
        <w:rPr>
          <w:rFonts w:ascii="Arial" w:hAnsi="Arial" w:cs="Arial"/>
          <w:color w:val="000000" w:themeColor="text1"/>
        </w:rPr>
      </w:pPr>
    </w:p>
    <w:p w14:paraId="5C476ED6" w14:textId="77777777" w:rsidR="00D24208" w:rsidRDefault="00D24208" w:rsidP="5CE196A1">
      <w:pPr>
        <w:pStyle w:val="paragraph"/>
        <w:spacing w:before="0" w:beforeAutospacing="0" w:after="0" w:afterAutospacing="0"/>
        <w:rPr>
          <w:rFonts w:ascii="Arial" w:hAnsi="Arial" w:cs="Arial"/>
          <w:color w:val="000000" w:themeColor="text1"/>
        </w:rPr>
      </w:pPr>
    </w:p>
    <w:p w14:paraId="583DBB3E" w14:textId="7CC899DB" w:rsidR="00DC496E" w:rsidRDefault="002421D9" w:rsidP="5CE196A1">
      <w:pPr>
        <w:pStyle w:val="paragraph"/>
        <w:spacing w:before="0" w:beforeAutospacing="0" w:after="0" w:afterAutospacing="0"/>
        <w:rPr>
          <w:rFonts w:ascii="Arial" w:hAnsi="Arial" w:cs="Arial"/>
          <w:color w:val="000000" w:themeColor="text1"/>
        </w:rPr>
      </w:pPr>
      <w:r>
        <w:rPr>
          <w:rFonts w:ascii="Arial" w:hAnsi="Arial" w:cs="Arial"/>
          <w:color w:val="000000" w:themeColor="text1"/>
        </w:rPr>
        <w:t xml:space="preserve">In short, there are a multitude of suggestions into how to effectively support and manage vulnerable people. A large quantity of these suggestions are easily implemented techniques, such as active listening and building rapport, something that police officers should already be practicing. I have also explored ways in which we can tackle repeat offending and victimisation, however, I have found studies containing conflicting results. It is clear that although steps are being made in the right direction in relation to dealing with repeat behaviours and encouragement of those who are repeat victims, further work is needed into </w:t>
      </w:r>
      <w:r w:rsidR="00895C85">
        <w:rPr>
          <w:rFonts w:ascii="Arial" w:hAnsi="Arial" w:cs="Arial"/>
          <w:color w:val="000000" w:themeColor="text1"/>
        </w:rPr>
        <w:t>this particular area and identifying how further support can be implemented.</w:t>
      </w:r>
    </w:p>
    <w:p w14:paraId="029A6962" w14:textId="77777777" w:rsidR="00113907" w:rsidRDefault="00113907" w:rsidP="5CE196A1">
      <w:pPr>
        <w:pStyle w:val="paragraph"/>
        <w:spacing w:before="0" w:beforeAutospacing="0" w:after="0" w:afterAutospacing="0"/>
        <w:rPr>
          <w:rFonts w:ascii="Arial" w:hAnsi="Arial" w:cs="Arial"/>
          <w:color w:val="000000" w:themeColor="text1"/>
        </w:rPr>
      </w:pPr>
    </w:p>
    <w:p w14:paraId="68E03D22" w14:textId="299C9424" w:rsidR="00113907" w:rsidRPr="00DC496E" w:rsidRDefault="00113907" w:rsidP="5CE196A1">
      <w:pPr>
        <w:pStyle w:val="paragraph"/>
        <w:spacing w:before="0" w:beforeAutospacing="0" w:after="0" w:afterAutospacing="0"/>
        <w:rPr>
          <w:rFonts w:ascii="Arial" w:hAnsi="Arial" w:cs="Arial"/>
          <w:b/>
          <w:bCs/>
          <w:color w:val="000000" w:themeColor="text1"/>
        </w:rPr>
      </w:pPr>
      <w:r>
        <w:rPr>
          <w:rFonts w:ascii="Arial" w:hAnsi="Arial" w:cs="Arial"/>
          <w:color w:val="000000" w:themeColor="text1"/>
        </w:rPr>
        <w:lastRenderedPageBreak/>
        <w:t>Word count- 204</w:t>
      </w:r>
      <w:r w:rsidR="005257FC">
        <w:rPr>
          <w:rFonts w:ascii="Arial" w:hAnsi="Arial" w:cs="Arial"/>
          <w:color w:val="000000" w:themeColor="text1"/>
        </w:rPr>
        <w:t>7</w:t>
      </w:r>
    </w:p>
    <w:p w14:paraId="7374AC22" w14:textId="6C082E35" w:rsidR="00DC2438" w:rsidRDefault="00DC2438" w:rsidP="5CE196A1">
      <w:pPr>
        <w:pStyle w:val="paragraph"/>
        <w:spacing w:before="0" w:beforeAutospacing="0" w:after="0" w:afterAutospacing="0"/>
        <w:rPr>
          <w:b/>
          <w:bCs/>
        </w:rPr>
      </w:pPr>
    </w:p>
    <w:p w14:paraId="24BC0E3B" w14:textId="0E0C3097" w:rsidR="00113907" w:rsidRDefault="00113907" w:rsidP="5CE196A1">
      <w:pPr>
        <w:pStyle w:val="paragraph"/>
        <w:spacing w:before="0" w:beforeAutospacing="0" w:after="0" w:afterAutospacing="0"/>
        <w:rPr>
          <w:b/>
          <w:bCs/>
        </w:rPr>
      </w:pPr>
    </w:p>
    <w:p w14:paraId="31B0FB1E" w14:textId="77777777" w:rsidR="002421D9" w:rsidRDefault="002421D9" w:rsidP="5CE196A1">
      <w:pPr>
        <w:pStyle w:val="paragraph"/>
        <w:spacing w:before="0" w:beforeAutospacing="0" w:after="0" w:afterAutospacing="0"/>
        <w:rPr>
          <w:b/>
          <w:bCs/>
        </w:rPr>
      </w:pPr>
    </w:p>
    <w:p w14:paraId="1FC1915E" w14:textId="414DB0D9" w:rsidR="69F7424F" w:rsidRDefault="69F7424F" w:rsidP="69F7424F">
      <w:pPr>
        <w:ind w:right="237"/>
        <w:jc w:val="center"/>
        <w:rPr>
          <w:b/>
          <w:bCs/>
          <w:sz w:val="24"/>
          <w:szCs w:val="24"/>
        </w:rPr>
      </w:pPr>
    </w:p>
    <w:p w14:paraId="52FB0921" w14:textId="141B3266" w:rsidR="69F7424F" w:rsidRDefault="69F7424F" w:rsidP="00E56A0F">
      <w:pPr>
        <w:ind w:right="237"/>
        <w:rPr>
          <w:b/>
          <w:bCs/>
          <w:sz w:val="24"/>
          <w:szCs w:val="24"/>
        </w:rPr>
      </w:pPr>
    </w:p>
    <w:p w14:paraId="5F2814CF" w14:textId="36CCC2E0" w:rsidR="00E56A0F" w:rsidRDefault="00E56A0F" w:rsidP="00E56A0F">
      <w:pPr>
        <w:ind w:right="237"/>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2E902B8F" w14:textId="29E928EC" w:rsidR="00025650" w:rsidRDefault="00BB5A50" w:rsidP="0FF883D4">
      <w:pPr>
        <w:ind w:right="237"/>
        <w:jc w:val="both"/>
        <w:rPr>
          <w:color w:val="000000" w:themeColor="text1"/>
          <w:sz w:val="24"/>
          <w:szCs w:val="24"/>
        </w:rPr>
      </w:pPr>
      <w:r>
        <w:rPr>
          <w:color w:val="000000" w:themeColor="text1"/>
          <w:sz w:val="24"/>
          <w:szCs w:val="24"/>
        </w:rPr>
        <w:t>In the year ending March 2023, it is estimated that 2.1 million adults (aged over 16 years) experienced domestic abuse (Office for National Statistics, 2023). It was reported that there “</w:t>
      </w:r>
      <w:r w:rsidRPr="009B3267">
        <w:rPr>
          <w:i/>
          <w:iCs/>
          <w:color w:val="000000" w:themeColor="text1"/>
          <w:sz w:val="24"/>
          <w:szCs w:val="24"/>
        </w:rPr>
        <w:t>was no significant change in the prevalence of domestic abuse experienced in the last year compared with the previous year</w:t>
      </w:r>
      <w:r>
        <w:rPr>
          <w:color w:val="000000" w:themeColor="text1"/>
          <w:sz w:val="24"/>
          <w:szCs w:val="24"/>
        </w:rPr>
        <w:t>”, suggesting that incidents of this nature are not going to be getting better anytime soon. Due to this, as police, we must ensure that we play a prevalent part in attempting to reduce this number and bring victims of domestic abuse justice. Domestic related violence and abuse covers a huge majority of what response officers deal with on a day to day basis and is often referred to as “bread and butter”, therefore, it is easy for officers to become compliant and treat all victims in the same way. Despite this, there are often numerous challenges which arise when dealing with these domestic incidents, whether it being victim unwillingness to support investigations, children involved, etcetera. In this essay, I will be discussing some of the challenges that surfaced during an incident that I attended, and the strategies that were used, or could have been used, to overcome these.</w:t>
      </w:r>
    </w:p>
    <w:p w14:paraId="0BC11F2C" w14:textId="77777777" w:rsidR="0091702A" w:rsidRDefault="0091702A" w:rsidP="0FF883D4">
      <w:pPr>
        <w:ind w:right="237"/>
        <w:jc w:val="both"/>
        <w:rPr>
          <w:color w:val="000000" w:themeColor="text1"/>
          <w:sz w:val="24"/>
          <w:szCs w:val="24"/>
        </w:rPr>
      </w:pPr>
    </w:p>
    <w:p w14:paraId="40AF950B" w14:textId="2CDF5759" w:rsidR="0091702A" w:rsidRDefault="00BB5A50" w:rsidP="0FF883D4">
      <w:pPr>
        <w:ind w:right="237"/>
        <w:jc w:val="both"/>
        <w:rPr>
          <w:color w:val="000000" w:themeColor="text1"/>
          <w:sz w:val="24"/>
          <w:szCs w:val="24"/>
        </w:rPr>
      </w:pPr>
      <w:r>
        <w:rPr>
          <w:color w:val="000000" w:themeColor="text1"/>
          <w:sz w:val="24"/>
          <w:szCs w:val="24"/>
        </w:rPr>
        <w:t xml:space="preserve">According to Section 1 of the Domestic Abuse Act 2021, </w:t>
      </w:r>
      <w:r w:rsidR="009B3267">
        <w:rPr>
          <w:color w:val="000000" w:themeColor="text1"/>
          <w:sz w:val="24"/>
          <w:szCs w:val="24"/>
        </w:rPr>
        <w:t>the definition of Domestic Abuse refers to the following-</w:t>
      </w:r>
    </w:p>
    <w:p w14:paraId="5B9867D3" w14:textId="77777777" w:rsidR="009B3267" w:rsidRDefault="009B3267" w:rsidP="0FF883D4">
      <w:pPr>
        <w:ind w:right="237"/>
        <w:jc w:val="both"/>
        <w:rPr>
          <w:color w:val="000000" w:themeColor="text1"/>
          <w:sz w:val="24"/>
          <w:szCs w:val="24"/>
        </w:rPr>
      </w:pPr>
    </w:p>
    <w:p w14:paraId="5B161297" w14:textId="52106EBF" w:rsidR="009B3267" w:rsidRDefault="009B3267" w:rsidP="0FF883D4">
      <w:pPr>
        <w:ind w:right="237"/>
        <w:jc w:val="both"/>
        <w:rPr>
          <w:i/>
          <w:iCs/>
          <w:color w:val="000000" w:themeColor="text1"/>
          <w:sz w:val="24"/>
          <w:szCs w:val="24"/>
        </w:rPr>
      </w:pPr>
      <w:r w:rsidRPr="009B3267">
        <w:rPr>
          <w:i/>
          <w:iCs/>
          <w:color w:val="000000" w:themeColor="text1"/>
          <w:sz w:val="24"/>
          <w:szCs w:val="24"/>
        </w:rPr>
        <w:t>“Behaviour of a person (A) towards another person (B) is domestic abuse if A and B are each aged 16 or over and are personally connected to each other, and the behaviour is abusive. Behaviour is abusive if it consists of any of the following- physical or sexual abuse; violent or threatening behaviour; controlling or coercive behaviour, economic abuse, psychological, emotional or other abuse; and it does not matter whether the behaviour consists of a single incident or a course of conduct”</w:t>
      </w:r>
      <w:r>
        <w:rPr>
          <w:i/>
          <w:iCs/>
          <w:color w:val="000000" w:themeColor="text1"/>
          <w:sz w:val="24"/>
          <w:szCs w:val="24"/>
        </w:rPr>
        <w:t>.</w:t>
      </w:r>
    </w:p>
    <w:p w14:paraId="453B8879" w14:textId="77777777" w:rsidR="00BB5A50" w:rsidRDefault="00BB5A50" w:rsidP="0FF883D4">
      <w:pPr>
        <w:ind w:right="237"/>
        <w:jc w:val="both"/>
        <w:rPr>
          <w:color w:val="000000" w:themeColor="text1"/>
          <w:sz w:val="24"/>
          <w:szCs w:val="24"/>
        </w:rPr>
      </w:pPr>
    </w:p>
    <w:p w14:paraId="047C4242" w14:textId="5D81BAE5" w:rsidR="00BB5A50" w:rsidRDefault="00BB5A50" w:rsidP="0FF883D4">
      <w:pPr>
        <w:ind w:right="237"/>
        <w:jc w:val="both"/>
        <w:rPr>
          <w:color w:val="000000" w:themeColor="text1"/>
          <w:sz w:val="24"/>
          <w:szCs w:val="24"/>
        </w:rPr>
      </w:pPr>
      <w:r>
        <w:rPr>
          <w:color w:val="000000" w:themeColor="text1"/>
          <w:sz w:val="24"/>
          <w:szCs w:val="24"/>
        </w:rPr>
        <w:t xml:space="preserve">I attended an </w:t>
      </w:r>
      <w:r w:rsidR="009B3267">
        <w:rPr>
          <w:color w:val="000000" w:themeColor="text1"/>
          <w:sz w:val="24"/>
          <w:szCs w:val="24"/>
        </w:rPr>
        <w:t xml:space="preserve">incident where a female reported that her ex-partner was repeatedly contacting her following their breakup, stating that he still attends the address and she is afraid of him. I therefore attended the female’s address and spoke with her. During this conversation, the female disclosed several assaults that were perpetrated by her partner throughout their four year relationship. The earliest assault took place within the first few months of their relationship, which began in 2020, and the latest assault took place in early 2024. Following this disclosure, I then asked the female if she was willing to provide me with a statement outlining these events, however, she was unsure of this, so I allowed her time to think on it and contacted her the following day. The next day, I received contact from the female who stated that her ex-partner had turned up to the house and locked her out, she also further disclosed that he had attended her address earlier on that morning and had trapped her in her bedroom, preventing her from leaving. From this information, several other officers and I attended the address and arrested the suspect for Assault by Beating and False Imprisonment. Following his arrest, the </w:t>
      </w:r>
      <w:r w:rsidR="009B3267">
        <w:rPr>
          <w:color w:val="000000" w:themeColor="text1"/>
          <w:sz w:val="24"/>
          <w:szCs w:val="24"/>
        </w:rPr>
        <w:lastRenderedPageBreak/>
        <w:t>victim decided that she would be willing to provide a statement. At the time of writing, the suspect is currently on bail for these offences and this matter is still being investigated.</w:t>
      </w:r>
    </w:p>
    <w:p w14:paraId="1EB1C78E" w14:textId="77777777" w:rsidR="00481CD8" w:rsidRDefault="00481CD8" w:rsidP="0FF883D4">
      <w:pPr>
        <w:ind w:right="237"/>
        <w:jc w:val="both"/>
        <w:rPr>
          <w:color w:val="000000" w:themeColor="text1"/>
          <w:sz w:val="24"/>
          <w:szCs w:val="24"/>
        </w:rPr>
      </w:pPr>
    </w:p>
    <w:p w14:paraId="3BEC44D8" w14:textId="7661459F" w:rsidR="00481CD8" w:rsidRDefault="00481CD8" w:rsidP="0FF883D4">
      <w:pPr>
        <w:ind w:right="237"/>
        <w:jc w:val="both"/>
        <w:rPr>
          <w:color w:val="000000" w:themeColor="text1"/>
          <w:sz w:val="24"/>
          <w:szCs w:val="24"/>
        </w:rPr>
      </w:pPr>
      <w:r>
        <w:rPr>
          <w:color w:val="000000" w:themeColor="text1"/>
          <w:sz w:val="24"/>
          <w:szCs w:val="24"/>
        </w:rPr>
        <w:t>As stated above, my victim was initially unsure whether she would be willing to support prosecution. She ultimately decided that she would provide a statement to the police, however, should she not have, then this would have raised it’s own challenges. Domestic violence cases often raise the risk of victim’s</w:t>
      </w:r>
      <w:r w:rsidR="001E5BBC">
        <w:rPr>
          <w:color w:val="000000" w:themeColor="text1"/>
          <w:sz w:val="24"/>
          <w:szCs w:val="24"/>
        </w:rPr>
        <w:t xml:space="preserve"> not supporting prosecution, or retracting their support once the investigation has commenced. In March 2020, it was reported that roughly 55% of cases were dropped after a victim didn’t support prosecution (Zahid, 2021). It is however, noted in the CPS Legal Guidance for Domestic Abuse, that prosecution of a suspect is still possible without a victim’s support. This is </w:t>
      </w:r>
      <w:proofErr w:type="gramStart"/>
      <w:r w:rsidR="001E5BBC">
        <w:rPr>
          <w:color w:val="000000" w:themeColor="text1"/>
          <w:sz w:val="24"/>
          <w:szCs w:val="24"/>
        </w:rPr>
        <w:t>know</w:t>
      </w:r>
      <w:proofErr w:type="gramEnd"/>
      <w:r w:rsidR="001E5BBC">
        <w:rPr>
          <w:color w:val="000000" w:themeColor="text1"/>
          <w:sz w:val="24"/>
          <w:szCs w:val="24"/>
        </w:rPr>
        <w:t xml:space="preserve"> as Evidence-led prosecution (CPS, 2024).</w:t>
      </w:r>
      <w:r w:rsidR="00D31A60">
        <w:rPr>
          <w:color w:val="000000" w:themeColor="text1"/>
          <w:sz w:val="24"/>
          <w:szCs w:val="24"/>
        </w:rPr>
        <w:t xml:space="preserve"> In 2020, His Majesty’s Inspectorate of Constabulary and Fire &amp; Rescue Services (HMICFRS) in joint with His Majesty’s Crown Prosecution Service Inspectorate (HMCPSI) produced an article discussing this matter. In this article, they surveyed a sample size of 160 cases involving domestic abuse, noting that of these cases, 101 of them proceeded to trial, with only 59 of these being effective. Of the 42 remaining ineffective trials, 23 of these fail</w:t>
      </w:r>
      <w:r w:rsidR="00F44F03">
        <w:rPr>
          <w:color w:val="000000" w:themeColor="text1"/>
          <w:sz w:val="24"/>
          <w:szCs w:val="24"/>
        </w:rPr>
        <w:t>ed</w:t>
      </w:r>
      <w:r w:rsidR="00D31A60">
        <w:rPr>
          <w:color w:val="000000" w:themeColor="text1"/>
          <w:sz w:val="24"/>
          <w:szCs w:val="24"/>
        </w:rPr>
        <w:t xml:space="preserve"> due to the victim failing to attend court. They noted that 38 of these ineffective cases, they felt it would have been appropriate to proceed with an evidence-led prosecution. Clearly, the introduction </w:t>
      </w:r>
      <w:r w:rsidR="00F44F03">
        <w:rPr>
          <w:color w:val="000000" w:themeColor="text1"/>
          <w:sz w:val="24"/>
          <w:szCs w:val="24"/>
        </w:rPr>
        <w:t>o</w:t>
      </w:r>
      <w:r w:rsidR="00D31A60">
        <w:rPr>
          <w:color w:val="000000" w:themeColor="text1"/>
          <w:sz w:val="24"/>
          <w:szCs w:val="24"/>
        </w:rPr>
        <w:t xml:space="preserve">f evidence-led prosecution is a positive move in the right direction, and something that I would have considered should my victim have not been supportive in this matter. Despite this, it is also obvious that this method of prosecution requires further work. Out of 137 cases that were examined by the Inspectors in this article, only around 60% of these cases the prosecutors actually considered evidence-led prosecution, with no consideration for the remaining cases. Nevertheless, since July 2017, it has been noted that all prosecutors joining the CPS must undergo a module on evidence-led prosecutions, proving that some form of positive action is being taken to assist </w:t>
      </w:r>
      <w:r w:rsidR="00563C5E">
        <w:rPr>
          <w:color w:val="000000" w:themeColor="text1"/>
          <w:sz w:val="24"/>
          <w:szCs w:val="24"/>
        </w:rPr>
        <w:t>an increase in this method. It is noted by the CPS that police body-worn footage is crucial in assisting with this method, as it shows the initial account of the victim, as well as their demeanour and any injuries they may have suffered. It is South Wales Police force policy to ensure body worn footage is switched on at domestic incidents, and mine was recording during disclosure with my victim in my incident, therefore, should the need to go “victimless” arise, I will be able to take necessary steps.</w:t>
      </w:r>
      <w:r w:rsidR="00D31A60">
        <w:rPr>
          <w:color w:val="000000" w:themeColor="text1"/>
          <w:sz w:val="24"/>
          <w:szCs w:val="24"/>
        </w:rPr>
        <w:t xml:space="preserve"> </w:t>
      </w:r>
    </w:p>
    <w:p w14:paraId="67210927" w14:textId="77777777" w:rsidR="00481CD8" w:rsidRDefault="00481CD8" w:rsidP="0FF883D4">
      <w:pPr>
        <w:ind w:right="237"/>
        <w:jc w:val="both"/>
        <w:rPr>
          <w:color w:val="000000" w:themeColor="text1"/>
          <w:sz w:val="24"/>
          <w:szCs w:val="24"/>
        </w:rPr>
      </w:pPr>
    </w:p>
    <w:p w14:paraId="5064D983" w14:textId="31722026" w:rsidR="00481CD8" w:rsidRDefault="00563C5E" w:rsidP="0FF883D4">
      <w:pPr>
        <w:ind w:right="237"/>
        <w:jc w:val="both"/>
        <w:rPr>
          <w:color w:val="000000" w:themeColor="text1"/>
          <w:sz w:val="24"/>
          <w:szCs w:val="24"/>
        </w:rPr>
      </w:pPr>
      <w:r>
        <w:rPr>
          <w:color w:val="000000" w:themeColor="text1"/>
          <w:sz w:val="24"/>
          <w:szCs w:val="24"/>
        </w:rPr>
        <w:t xml:space="preserve">Similarly, although my victim was willing to support prosecution in this incident, she was terrified to attend court to give this evidence. </w:t>
      </w:r>
      <w:r w:rsidR="00952258">
        <w:rPr>
          <w:color w:val="000000" w:themeColor="text1"/>
          <w:sz w:val="24"/>
          <w:szCs w:val="24"/>
        </w:rPr>
        <w:t xml:space="preserve">In these cases, victim’s can be offered Special Measures. As outlined by the Youth Justice and Criminal Evidence Act (1999), special measures may include screening the victim from the accused, giving evidence in private, video recorded evidence in chief, etcetera and are arguably supposed to make giving evidence in court easier for victims and witnesses. These measures are used when the quality of evidence is likely to be diminished by fear or distress from the victim in relation to testifying at the criminal proceedings. </w:t>
      </w:r>
      <w:r w:rsidR="007D2840">
        <w:rPr>
          <w:color w:val="000000" w:themeColor="text1"/>
          <w:sz w:val="24"/>
          <w:szCs w:val="24"/>
        </w:rPr>
        <w:t xml:space="preserve">This method is seen as being highly useful, as a survey found that roughly 85% of those who used a screen to give evidence and 89% that used a live link found these measures to be helpful (Fairclough, 2020). This is a positive outlook, as from May 2022, Section 62 of the Domestic Abuse Act (2021) allowed all domestic abuse victims to be automatically eligible for these measures whenever they disclose a behaviour that fits the domestic abuse definition. Nevertheless, this </w:t>
      </w:r>
      <w:r w:rsidR="007D2840">
        <w:rPr>
          <w:color w:val="000000" w:themeColor="text1"/>
          <w:sz w:val="24"/>
          <w:szCs w:val="24"/>
        </w:rPr>
        <w:lastRenderedPageBreak/>
        <w:t>method undoubtedly also has its downfalls. Fairclough (2020) also noted in her literature review that various judges were concerned that the use of these special measures may diminish the impact of the testimony itself, subsequently affecting the outcome of the case. She described a study that found that the percentage of trials leading to conviction went from 49% to 36% when a jury watched a child’s testimony on a smaller TV screen</w:t>
      </w:r>
      <w:r w:rsidR="00F44F03">
        <w:rPr>
          <w:color w:val="000000" w:themeColor="text1"/>
          <w:sz w:val="24"/>
          <w:szCs w:val="24"/>
        </w:rPr>
        <w:t xml:space="preserve"> rather than a larger one</w:t>
      </w:r>
      <w:r w:rsidR="007D2840">
        <w:rPr>
          <w:color w:val="000000" w:themeColor="text1"/>
          <w:sz w:val="24"/>
          <w:szCs w:val="24"/>
        </w:rPr>
        <w:t>. Furthermore, in the HMICFRS investigation, they found that special measures were applied for in roughly 80% of cases, but that the prosecutor failed to apply for these in 10% of cases, suggesting that these vulnerable victims are still being failed in relation to this. In my incident, special measures were discussed with the victim and I felt that this did ultimately convince her into providing evidence, therefore, in my opinion, I see this as a valuable tool.</w:t>
      </w:r>
    </w:p>
    <w:p w14:paraId="401512D7" w14:textId="77777777" w:rsidR="007D2840" w:rsidRDefault="007D2840" w:rsidP="0FF883D4">
      <w:pPr>
        <w:ind w:right="237"/>
        <w:jc w:val="both"/>
        <w:rPr>
          <w:color w:val="000000" w:themeColor="text1"/>
          <w:sz w:val="24"/>
          <w:szCs w:val="24"/>
        </w:rPr>
      </w:pPr>
    </w:p>
    <w:p w14:paraId="1D3AD8F5" w14:textId="1D3251D3" w:rsidR="00715A93" w:rsidRDefault="00715A93" w:rsidP="0FF883D4">
      <w:pPr>
        <w:ind w:right="237"/>
        <w:jc w:val="both"/>
        <w:rPr>
          <w:color w:val="000000" w:themeColor="text1"/>
          <w:sz w:val="24"/>
          <w:szCs w:val="24"/>
        </w:rPr>
      </w:pPr>
      <w:r>
        <w:rPr>
          <w:color w:val="000000" w:themeColor="text1"/>
          <w:sz w:val="24"/>
          <w:szCs w:val="24"/>
        </w:rPr>
        <w:t>Domestic related offences are rarely straightforward, often including periods where the couple are happy and the victim is truly convinced that the suspect has changed. On the other hand, occasionally victims of domestic violence will reach a point where they have hit their limit on experiencing abuse and will sometimes react back. In relation to my victim, she disclosed an incident which occurred roughly a year ago, where she and the suspect had been arguing after an evening out. The victim disclosed that the suspect had pushed her, causing her to retaliate by lunging at him with a fork, causing some scratches to his chest. She described that he reacted to this by stabbing her in the side with his fork, causing it to pierce her skin. In this case, the victim has disclosed an assault on her partner, raising an obvious challenge</w:t>
      </w:r>
      <w:r w:rsidR="00976F94">
        <w:rPr>
          <w:color w:val="000000" w:themeColor="text1"/>
          <w:sz w:val="24"/>
          <w:szCs w:val="24"/>
        </w:rPr>
        <w:t xml:space="preserve"> in the case</w:t>
      </w:r>
      <w:r>
        <w:rPr>
          <w:color w:val="000000" w:themeColor="text1"/>
          <w:sz w:val="24"/>
          <w:szCs w:val="24"/>
        </w:rPr>
        <w:t>. Despite the victim disclosing an assault, there are occasions where this can be legally justified. According to Common Law (</w:t>
      </w:r>
      <w:r w:rsidR="00813500">
        <w:rPr>
          <w:color w:val="000000" w:themeColor="text1"/>
          <w:sz w:val="24"/>
          <w:szCs w:val="24"/>
        </w:rPr>
        <w:t>Crown Prosecution Service, 2022), individuals have the right to inflict as much force as reasonable and necessary if you honestly believe that you or another are in imminent danger. Furthermore, The Law Commission (n.d.) published an article discussing a project set to be published in 2025 in relation to cases where victims eventually murder their abusers. This project aims to look at defences of domestic homicide “in light of modern understandings of the effects of domestic abuse on victims”. This project suggests that self-defence within domestic violence relationships is not uncommon and steps are currently being undertaken as to guidance on how to proceed with this challenge. Ultimately, in this case, I ensured that the victim was entirely honest in her statement, including how she was thinking and feeling at the time of the assault, and provided this to the CPS for their decision on how to progress.</w:t>
      </w:r>
    </w:p>
    <w:p w14:paraId="277A97AC" w14:textId="77777777" w:rsidR="00813500" w:rsidRDefault="00813500" w:rsidP="0FF883D4">
      <w:pPr>
        <w:ind w:right="237"/>
        <w:jc w:val="both"/>
        <w:rPr>
          <w:color w:val="000000" w:themeColor="text1"/>
          <w:sz w:val="24"/>
          <w:szCs w:val="24"/>
        </w:rPr>
      </w:pPr>
    </w:p>
    <w:p w14:paraId="5B698A2C" w14:textId="2DFE4B08" w:rsidR="00813500" w:rsidRPr="00813500" w:rsidRDefault="00813500" w:rsidP="0FF883D4">
      <w:pPr>
        <w:ind w:right="237"/>
        <w:jc w:val="both"/>
        <w:rPr>
          <w:color w:val="000000" w:themeColor="text1"/>
          <w:sz w:val="24"/>
          <w:szCs w:val="24"/>
        </w:rPr>
      </w:pPr>
      <w:r>
        <w:rPr>
          <w:color w:val="000000" w:themeColor="text1"/>
          <w:sz w:val="24"/>
          <w:szCs w:val="24"/>
        </w:rPr>
        <w:t>F</w:t>
      </w:r>
      <w:r w:rsidR="00D53BCF">
        <w:rPr>
          <w:color w:val="000000" w:themeColor="text1"/>
          <w:sz w:val="24"/>
          <w:szCs w:val="24"/>
        </w:rPr>
        <w:t>urthermore</w:t>
      </w:r>
      <w:r>
        <w:rPr>
          <w:color w:val="000000" w:themeColor="text1"/>
          <w:sz w:val="24"/>
          <w:szCs w:val="24"/>
        </w:rPr>
        <w:t xml:space="preserve">, </w:t>
      </w:r>
      <w:r w:rsidR="00D53BCF">
        <w:rPr>
          <w:color w:val="000000" w:themeColor="text1"/>
          <w:sz w:val="24"/>
          <w:szCs w:val="24"/>
        </w:rPr>
        <w:t>victims of domestic violence rarely come forward with disclosures of their abuse until much later on after the events. In this case, the victim has disclosed four years of assaults perpetrated by the suspect, with the majority of these not leaving visible injuries, thereby amounting to Common Assault as per Section 39 of the Criminal Justice Act (1988). Common Assault is a summary only offence,</w:t>
      </w:r>
      <w:r w:rsidR="00B27217">
        <w:rPr>
          <w:color w:val="000000" w:themeColor="text1"/>
          <w:sz w:val="24"/>
          <w:szCs w:val="24"/>
        </w:rPr>
        <w:t xml:space="preserve"> therefore, Section 127 of the Magistrates’ Court Act (1980) state that this proceeding much be commenced within 6 months of the date of the commission of the offence. </w:t>
      </w:r>
      <w:r w:rsidR="00D53BCF">
        <w:rPr>
          <w:color w:val="000000" w:themeColor="text1"/>
          <w:sz w:val="24"/>
          <w:szCs w:val="24"/>
        </w:rPr>
        <w:t xml:space="preserve">This is known as the Statute of Limitations. In this case, it is clear how this raises challenges. South Wales Police is a victim-led service; therefore, it is quite evident that we want the best outcome possible for our victims. Due to this, it is distressing and uncomfortable for </w:t>
      </w:r>
      <w:r w:rsidR="00976F94">
        <w:rPr>
          <w:color w:val="000000" w:themeColor="text1"/>
          <w:sz w:val="24"/>
          <w:szCs w:val="24"/>
        </w:rPr>
        <w:t>the</w:t>
      </w:r>
      <w:r w:rsidR="00D53BCF">
        <w:rPr>
          <w:color w:val="000000" w:themeColor="text1"/>
          <w:sz w:val="24"/>
          <w:szCs w:val="24"/>
        </w:rPr>
        <w:t xml:space="preserve"> victim when </w:t>
      </w:r>
      <w:r w:rsidR="00976F94">
        <w:rPr>
          <w:color w:val="000000" w:themeColor="text1"/>
          <w:sz w:val="24"/>
          <w:szCs w:val="24"/>
        </w:rPr>
        <w:t xml:space="preserve">they finally come forward, only to be told that </w:t>
      </w:r>
      <w:r w:rsidR="00B27217">
        <w:rPr>
          <w:color w:val="000000" w:themeColor="text1"/>
          <w:sz w:val="24"/>
          <w:szCs w:val="24"/>
        </w:rPr>
        <w:t xml:space="preserve">their experiences lay outside of the Statute of Limitations. </w:t>
      </w:r>
      <w:r w:rsidR="00976F94">
        <w:rPr>
          <w:color w:val="000000" w:themeColor="text1"/>
          <w:sz w:val="24"/>
          <w:szCs w:val="24"/>
        </w:rPr>
        <w:t>From this</w:t>
      </w:r>
      <w:r w:rsidR="00B27217">
        <w:rPr>
          <w:color w:val="000000" w:themeColor="text1"/>
          <w:sz w:val="24"/>
          <w:szCs w:val="24"/>
        </w:rPr>
        <w:t xml:space="preserve">, an insert into Section 39 of the Criminal Justice Act 1988 by Section 49 of the Police, Crime, </w:t>
      </w:r>
      <w:r w:rsidR="00B27217">
        <w:rPr>
          <w:color w:val="000000" w:themeColor="text1"/>
          <w:sz w:val="24"/>
          <w:szCs w:val="24"/>
        </w:rPr>
        <w:lastRenderedPageBreak/>
        <w:t>Sentencing and Courts Act (2022) amended this. This insert allows variations to the offence of common assault where the alleged behaviour amounts to domestic abuse. It allows proceedings to be commenced at any time within two years from the date of the offence and within six months from the first date on which the disclosure or report was made. This act has been extremely useful when convincing victims of domestic abuse to come forward with a complaint, and in this case, allows me to attempt to prosecute the suspect for assaults that occurred up to two years ago.</w:t>
      </w:r>
    </w:p>
    <w:p w14:paraId="686B59B7" w14:textId="77777777" w:rsidR="00481CD8" w:rsidRDefault="00481CD8" w:rsidP="0FF883D4">
      <w:pPr>
        <w:ind w:right="237"/>
        <w:jc w:val="both"/>
      </w:pPr>
    </w:p>
    <w:p w14:paraId="0651345C" w14:textId="77777777" w:rsidR="0091702A" w:rsidRDefault="0091702A" w:rsidP="0FF883D4">
      <w:pPr>
        <w:ind w:right="237"/>
        <w:jc w:val="both"/>
        <w:rPr>
          <w:color w:val="000000" w:themeColor="text1"/>
          <w:sz w:val="24"/>
          <w:szCs w:val="24"/>
        </w:rPr>
      </w:pPr>
    </w:p>
    <w:p w14:paraId="72529F42" w14:textId="731EE12D" w:rsidR="00025650" w:rsidRPr="00E676F7" w:rsidRDefault="00B27217" w:rsidP="0FF883D4">
      <w:pPr>
        <w:ind w:right="237"/>
        <w:jc w:val="both"/>
        <w:rPr>
          <w:color w:val="000000" w:themeColor="text1"/>
          <w:sz w:val="24"/>
          <w:szCs w:val="24"/>
        </w:rPr>
      </w:pPr>
      <w:r>
        <w:rPr>
          <w:color w:val="000000" w:themeColor="text1"/>
          <w:sz w:val="24"/>
          <w:szCs w:val="24"/>
        </w:rPr>
        <w:t xml:space="preserve">Conclusively, it is clear that there are several strategies and variations of acts and legislation that have been developed </w:t>
      </w:r>
      <w:r w:rsidR="00F44F03">
        <w:rPr>
          <w:color w:val="000000" w:themeColor="text1"/>
          <w:sz w:val="24"/>
          <w:szCs w:val="24"/>
        </w:rPr>
        <w:t xml:space="preserve">in order to allow for </w:t>
      </w:r>
      <w:r w:rsidR="00976F94">
        <w:rPr>
          <w:color w:val="000000" w:themeColor="text1"/>
          <w:sz w:val="24"/>
          <w:szCs w:val="24"/>
        </w:rPr>
        <w:t>numerous</w:t>
      </w:r>
      <w:r w:rsidR="00F44F03">
        <w:rPr>
          <w:color w:val="000000" w:themeColor="text1"/>
          <w:sz w:val="24"/>
          <w:szCs w:val="24"/>
        </w:rPr>
        <w:t xml:space="preserve"> challenges that may arise in domestic scenarios, as well as allow</w:t>
      </w:r>
      <w:r w:rsidR="00976F94">
        <w:rPr>
          <w:color w:val="000000" w:themeColor="text1"/>
          <w:sz w:val="24"/>
          <w:szCs w:val="24"/>
        </w:rPr>
        <w:t>ing</w:t>
      </w:r>
      <w:r w:rsidR="00F44F03">
        <w:rPr>
          <w:color w:val="000000" w:themeColor="text1"/>
          <w:sz w:val="24"/>
          <w:szCs w:val="24"/>
        </w:rPr>
        <w:t xml:space="preserve"> officers to get the best outcome for their victims. This list is not exhaustive, and there are several other methods that have been implicated across the past few years which have been adapted in order to attempt to battle the rising prevalence of domestic violence. As described above, there are still gaps and flaws in approaches which should be built upon and advanced as knowledge develops.</w:t>
      </w:r>
    </w:p>
    <w:p w14:paraId="41381FDB" w14:textId="10AF242D" w:rsidR="00025650" w:rsidRPr="00E676F7" w:rsidRDefault="00025650" w:rsidP="0FF883D4">
      <w:pPr>
        <w:ind w:right="237"/>
        <w:jc w:val="both"/>
        <w:rPr>
          <w:color w:val="000000" w:themeColor="text1"/>
          <w:sz w:val="24"/>
          <w:szCs w:val="24"/>
        </w:rPr>
      </w:pPr>
    </w:p>
    <w:p w14:paraId="5B0C1A0F" w14:textId="658E4BF4" w:rsidR="00025650" w:rsidRPr="00E676F7" w:rsidRDefault="00976F94" w:rsidP="0FF883D4">
      <w:pPr>
        <w:ind w:right="237"/>
        <w:jc w:val="both"/>
        <w:rPr>
          <w:color w:val="000000" w:themeColor="text1"/>
          <w:sz w:val="24"/>
          <w:szCs w:val="24"/>
        </w:rPr>
      </w:pPr>
      <w:r>
        <w:rPr>
          <w:color w:val="000000" w:themeColor="text1"/>
          <w:sz w:val="24"/>
          <w:szCs w:val="24"/>
        </w:rPr>
        <w:t>Word count= 1986</w:t>
      </w: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40131610" w14:textId="77777777" w:rsidR="00976F94" w:rsidRDefault="00976F94" w:rsidP="0FF883D4">
      <w:pPr>
        <w:ind w:right="237"/>
        <w:jc w:val="both"/>
        <w:rPr>
          <w:b/>
          <w:bCs/>
          <w:color w:val="000000" w:themeColor="text1"/>
          <w:sz w:val="28"/>
          <w:szCs w:val="28"/>
        </w:rPr>
      </w:pPr>
    </w:p>
    <w:p w14:paraId="034F80D4" w14:textId="77777777" w:rsidR="00976F94" w:rsidRDefault="00976F94" w:rsidP="0FF883D4">
      <w:pPr>
        <w:ind w:right="237"/>
        <w:jc w:val="both"/>
        <w:rPr>
          <w:b/>
          <w:bCs/>
          <w:color w:val="000000" w:themeColor="text1"/>
          <w:sz w:val="28"/>
          <w:szCs w:val="28"/>
        </w:rPr>
      </w:pPr>
    </w:p>
    <w:p w14:paraId="5C7928AD" w14:textId="77777777" w:rsidR="00976F94" w:rsidRDefault="00976F94" w:rsidP="0FF883D4">
      <w:pPr>
        <w:ind w:right="237"/>
        <w:jc w:val="both"/>
        <w:rPr>
          <w:b/>
          <w:bCs/>
          <w:color w:val="000000" w:themeColor="text1"/>
          <w:sz w:val="28"/>
          <w:szCs w:val="28"/>
        </w:rPr>
      </w:pPr>
    </w:p>
    <w:p w14:paraId="1E833089" w14:textId="77777777" w:rsidR="00976F94" w:rsidRDefault="00976F94" w:rsidP="0FF883D4">
      <w:pPr>
        <w:ind w:right="237"/>
        <w:jc w:val="both"/>
        <w:rPr>
          <w:b/>
          <w:bCs/>
          <w:color w:val="000000" w:themeColor="text1"/>
          <w:sz w:val="28"/>
          <w:szCs w:val="28"/>
        </w:rPr>
      </w:pPr>
    </w:p>
    <w:p w14:paraId="06A8A70D" w14:textId="77777777" w:rsidR="00976F94" w:rsidRDefault="00976F94" w:rsidP="0FF883D4">
      <w:pPr>
        <w:ind w:right="237"/>
        <w:jc w:val="both"/>
        <w:rPr>
          <w:b/>
          <w:bCs/>
          <w:color w:val="000000" w:themeColor="text1"/>
          <w:sz w:val="28"/>
          <w:szCs w:val="28"/>
        </w:rPr>
      </w:pPr>
    </w:p>
    <w:p w14:paraId="72900565" w14:textId="77777777" w:rsidR="00976F94" w:rsidRDefault="00976F94" w:rsidP="0FF883D4">
      <w:pPr>
        <w:ind w:right="237"/>
        <w:jc w:val="both"/>
        <w:rPr>
          <w:b/>
          <w:bCs/>
          <w:color w:val="000000" w:themeColor="text1"/>
          <w:sz w:val="28"/>
          <w:szCs w:val="28"/>
        </w:rPr>
      </w:pPr>
    </w:p>
    <w:p w14:paraId="22275627" w14:textId="77777777" w:rsidR="00976F94" w:rsidRDefault="00976F94" w:rsidP="0FF883D4">
      <w:pPr>
        <w:ind w:right="237"/>
        <w:jc w:val="both"/>
        <w:rPr>
          <w:b/>
          <w:bCs/>
          <w:color w:val="000000" w:themeColor="text1"/>
          <w:sz w:val="28"/>
          <w:szCs w:val="28"/>
        </w:rPr>
      </w:pPr>
    </w:p>
    <w:p w14:paraId="380123D0" w14:textId="77777777" w:rsidR="00976F94" w:rsidRDefault="00976F94" w:rsidP="0FF883D4">
      <w:pPr>
        <w:ind w:right="237"/>
        <w:jc w:val="both"/>
        <w:rPr>
          <w:b/>
          <w:bCs/>
          <w:color w:val="000000" w:themeColor="text1"/>
          <w:sz w:val="28"/>
          <w:szCs w:val="28"/>
        </w:rPr>
      </w:pPr>
    </w:p>
    <w:p w14:paraId="6BDC17E5" w14:textId="77777777" w:rsidR="00976F94" w:rsidRDefault="00976F94" w:rsidP="0FF883D4">
      <w:pPr>
        <w:ind w:right="237"/>
        <w:jc w:val="both"/>
        <w:rPr>
          <w:b/>
          <w:bCs/>
          <w:color w:val="000000" w:themeColor="text1"/>
          <w:sz w:val="28"/>
          <w:szCs w:val="28"/>
        </w:rPr>
      </w:pPr>
    </w:p>
    <w:p w14:paraId="547DAEA5" w14:textId="77777777" w:rsidR="00976F94" w:rsidRDefault="00976F94" w:rsidP="0FF883D4">
      <w:pPr>
        <w:ind w:right="237"/>
        <w:jc w:val="both"/>
        <w:rPr>
          <w:b/>
          <w:bCs/>
          <w:color w:val="000000" w:themeColor="text1"/>
          <w:sz w:val="28"/>
          <w:szCs w:val="28"/>
        </w:rPr>
      </w:pPr>
    </w:p>
    <w:p w14:paraId="7FFA35FA" w14:textId="77777777" w:rsidR="00976F94" w:rsidRDefault="00976F94" w:rsidP="0FF883D4">
      <w:pPr>
        <w:ind w:right="237"/>
        <w:jc w:val="both"/>
        <w:rPr>
          <w:b/>
          <w:bCs/>
          <w:color w:val="000000" w:themeColor="text1"/>
          <w:sz w:val="28"/>
          <w:szCs w:val="28"/>
        </w:rPr>
      </w:pPr>
    </w:p>
    <w:p w14:paraId="39459411" w14:textId="77777777" w:rsidR="00976F94" w:rsidRDefault="00976F94" w:rsidP="0FF883D4">
      <w:pPr>
        <w:ind w:right="237"/>
        <w:jc w:val="both"/>
        <w:rPr>
          <w:b/>
          <w:bCs/>
          <w:color w:val="000000" w:themeColor="text1"/>
          <w:sz w:val="28"/>
          <w:szCs w:val="28"/>
        </w:rPr>
      </w:pPr>
    </w:p>
    <w:p w14:paraId="786CE71E" w14:textId="77777777" w:rsidR="00976F94" w:rsidRDefault="00976F94" w:rsidP="0FF883D4">
      <w:pPr>
        <w:ind w:right="237"/>
        <w:jc w:val="both"/>
        <w:rPr>
          <w:b/>
          <w:bCs/>
          <w:color w:val="000000" w:themeColor="text1"/>
          <w:sz w:val="28"/>
          <w:szCs w:val="28"/>
        </w:rPr>
      </w:pPr>
    </w:p>
    <w:p w14:paraId="53E834EC" w14:textId="77777777" w:rsidR="00976F94" w:rsidRDefault="00976F94" w:rsidP="0FF883D4">
      <w:pPr>
        <w:ind w:right="237"/>
        <w:jc w:val="both"/>
        <w:rPr>
          <w:b/>
          <w:bCs/>
          <w:color w:val="000000" w:themeColor="text1"/>
          <w:sz w:val="28"/>
          <w:szCs w:val="28"/>
        </w:rPr>
      </w:pPr>
    </w:p>
    <w:p w14:paraId="40014283" w14:textId="77777777" w:rsidR="00976F94" w:rsidRDefault="00976F94" w:rsidP="0FF883D4">
      <w:pPr>
        <w:ind w:right="237"/>
        <w:jc w:val="both"/>
        <w:rPr>
          <w:b/>
          <w:bCs/>
          <w:color w:val="000000" w:themeColor="text1"/>
          <w:sz w:val="28"/>
          <w:szCs w:val="28"/>
        </w:rPr>
      </w:pPr>
    </w:p>
    <w:p w14:paraId="37021631" w14:textId="77777777" w:rsidR="00976F94" w:rsidRDefault="00976F94" w:rsidP="0FF883D4">
      <w:pPr>
        <w:ind w:right="237"/>
        <w:jc w:val="both"/>
        <w:rPr>
          <w:b/>
          <w:bCs/>
          <w:color w:val="000000" w:themeColor="text1"/>
          <w:sz w:val="28"/>
          <w:szCs w:val="28"/>
        </w:rPr>
      </w:pPr>
    </w:p>
    <w:p w14:paraId="13D3AD13" w14:textId="77777777" w:rsidR="00976F94" w:rsidRDefault="00976F94" w:rsidP="0FF883D4">
      <w:pPr>
        <w:ind w:right="237"/>
        <w:jc w:val="both"/>
        <w:rPr>
          <w:b/>
          <w:bCs/>
          <w:color w:val="000000" w:themeColor="text1"/>
          <w:sz w:val="28"/>
          <w:szCs w:val="28"/>
        </w:rPr>
      </w:pPr>
    </w:p>
    <w:p w14:paraId="2B15D929" w14:textId="77777777" w:rsidR="00976F94" w:rsidRDefault="00976F94" w:rsidP="0FF883D4">
      <w:pPr>
        <w:ind w:right="237"/>
        <w:jc w:val="both"/>
        <w:rPr>
          <w:b/>
          <w:bCs/>
          <w:color w:val="000000" w:themeColor="text1"/>
          <w:sz w:val="28"/>
          <w:szCs w:val="28"/>
        </w:rPr>
      </w:pPr>
    </w:p>
    <w:p w14:paraId="1BBE6BE6" w14:textId="77777777" w:rsidR="00976F94" w:rsidRDefault="00976F94" w:rsidP="0FF883D4">
      <w:pPr>
        <w:ind w:right="237"/>
        <w:jc w:val="both"/>
        <w:rPr>
          <w:b/>
          <w:bCs/>
          <w:color w:val="000000" w:themeColor="text1"/>
          <w:sz w:val="28"/>
          <w:szCs w:val="28"/>
        </w:rPr>
      </w:pPr>
    </w:p>
    <w:p w14:paraId="2FEDFFA0" w14:textId="77777777" w:rsidR="00976F94" w:rsidRDefault="00976F94" w:rsidP="0FF883D4">
      <w:pPr>
        <w:ind w:right="237"/>
        <w:jc w:val="both"/>
        <w:rPr>
          <w:b/>
          <w:bCs/>
          <w:color w:val="000000" w:themeColor="text1"/>
          <w:sz w:val="28"/>
          <w:szCs w:val="28"/>
        </w:rPr>
      </w:pPr>
    </w:p>
    <w:p w14:paraId="304BB62F" w14:textId="5149854B" w:rsidR="00976F94" w:rsidRPr="00FC64FC" w:rsidRDefault="00976F94" w:rsidP="00FC64FC">
      <w:pPr>
        <w:pStyle w:val="Title"/>
      </w:pPr>
    </w:p>
    <w:p w14:paraId="3DB202D7" w14:textId="7CEB68EE"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1F4D934" w14:textId="77777777" w:rsidR="00976F94" w:rsidRDefault="00976F9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806CDF9" w:rsidR="0FF883D4" w:rsidRDefault="5CE196A1" w:rsidP="5CE196A1">
      <w:r w:rsidRPr="5CE196A1">
        <w:rPr>
          <w:rFonts w:eastAsia="Arial"/>
          <w:b/>
          <w:bCs/>
          <w:color w:val="000000" w:themeColor="text1"/>
          <w:sz w:val="24"/>
          <w:szCs w:val="24"/>
        </w:rPr>
        <w:t xml:space="preserve">Signed: </w:t>
      </w:r>
      <w:proofErr w:type="spellStart"/>
      <w:r w:rsidR="0091702A">
        <w:rPr>
          <w:rFonts w:eastAsia="Arial"/>
          <w:b/>
          <w:bCs/>
          <w:color w:val="000000" w:themeColor="text1"/>
          <w:sz w:val="24"/>
          <w:szCs w:val="24"/>
        </w:rPr>
        <w:t>Jporter</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77CA038E" w:rsidR="0FF883D4" w:rsidRDefault="00976F94" w:rsidP="5CE196A1">
      <w:pPr>
        <w:ind w:left="2880" w:right="225" w:firstLine="720"/>
        <w:rPr>
          <w:b/>
          <w:bCs/>
          <w:sz w:val="24"/>
          <w:szCs w:val="24"/>
          <w:lang w:eastAsia="zh-TW"/>
        </w:rPr>
        <w:sectPr w:rsidR="0FF883D4" w:rsidSect="003D6461">
          <w:footerReference w:type="default" r:id="rId15"/>
          <w:pgSz w:w="11906" w:h="16838" w:code="9"/>
          <w:pgMar w:top="1440" w:right="1440" w:bottom="1440" w:left="1440" w:header="720" w:footer="720" w:gutter="0"/>
          <w:cols w:space="720"/>
          <w:docGrid w:linePitch="272"/>
        </w:sectPr>
      </w:pPr>
      <w:r>
        <w:rPr>
          <w:b/>
          <w:bCs/>
          <w:sz w:val="24"/>
          <w:szCs w:val="24"/>
          <w:lang w:eastAsia="zh-TW"/>
        </w:rPr>
        <w:t>16/07/2024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2292987" w14:textId="77777777" w:rsidR="00FC64FC" w:rsidRDefault="00FC64FC" w:rsidP="00FC64FC">
      <w:pPr>
        <w:spacing w:line="360" w:lineRule="auto"/>
        <w:rPr>
          <w:b/>
          <w:bCs/>
          <w:sz w:val="22"/>
          <w:szCs w:val="22"/>
        </w:rPr>
      </w:pPr>
    </w:p>
    <w:p w14:paraId="2F090E8D" w14:textId="0059DABD" w:rsidR="00FC64FC" w:rsidRDefault="00FC64FC" w:rsidP="00FC64FC">
      <w:pPr>
        <w:spacing w:line="360" w:lineRule="auto"/>
        <w:rPr>
          <w:b/>
          <w:bCs/>
          <w:sz w:val="22"/>
          <w:szCs w:val="22"/>
        </w:rPr>
      </w:pPr>
      <w:r w:rsidRPr="00976F94">
        <w:rPr>
          <w:b/>
          <w:bCs/>
          <w:sz w:val="22"/>
          <w:szCs w:val="22"/>
        </w:rPr>
        <w:t>Task 1-</w:t>
      </w:r>
    </w:p>
    <w:p w14:paraId="097FFEA2" w14:textId="77777777" w:rsidR="00FC64FC" w:rsidRPr="00976F94" w:rsidRDefault="00FC64FC" w:rsidP="00FC64FC">
      <w:pPr>
        <w:spacing w:line="360" w:lineRule="auto"/>
        <w:rPr>
          <w:b/>
          <w:bCs/>
          <w:sz w:val="22"/>
          <w:szCs w:val="22"/>
        </w:rPr>
      </w:pPr>
    </w:p>
    <w:p w14:paraId="617C8A05" w14:textId="77777777" w:rsidR="00FC64FC" w:rsidRPr="00976F94" w:rsidRDefault="00FC64FC" w:rsidP="00FC64FC">
      <w:pPr>
        <w:spacing w:line="360" w:lineRule="auto"/>
        <w:rPr>
          <w:sz w:val="22"/>
          <w:szCs w:val="22"/>
        </w:rPr>
      </w:pPr>
      <w:r w:rsidRPr="00976F94">
        <w:rPr>
          <w:sz w:val="22"/>
          <w:szCs w:val="22"/>
        </w:rPr>
        <w:t xml:space="preserve">Amaral, S; Dahl, G; Endl-Geyer, V; Hener, T; Rainer, H. 2023. </w:t>
      </w:r>
      <w:r w:rsidRPr="00976F94">
        <w:rPr>
          <w:i/>
          <w:iCs/>
          <w:sz w:val="22"/>
          <w:szCs w:val="22"/>
        </w:rPr>
        <w:t>Arrests are effective in breaking the cycle of domestic violence</w:t>
      </w:r>
      <w:r w:rsidRPr="00976F94">
        <w:rPr>
          <w:sz w:val="22"/>
          <w:szCs w:val="22"/>
        </w:rPr>
        <w:t xml:space="preserve">. Available at: </w:t>
      </w:r>
      <w:hyperlink r:id="rId16" w:anchor=":~:text=Our%20main%20result%20is%20that%20an%20arrest%20reduces,of%20perpetrators%20become%20violent%20again%20within%2096%20hours" w:history="1">
        <w:r w:rsidRPr="00976F94">
          <w:rPr>
            <w:rStyle w:val="Hyperlink"/>
            <w:sz w:val="22"/>
            <w:szCs w:val="22"/>
          </w:rPr>
          <w:t>https://cepr.org/voxeu/columns/arrests-are-effective-breaking-cycle-domestic-violence#:~:text=Our%20main%20result%20is%20that%20an%20arrest%20reduces,of%20perpetrators%20become%20violent%20again%20within%2096%20hours</w:t>
        </w:r>
      </w:hyperlink>
      <w:r w:rsidRPr="00976F94">
        <w:rPr>
          <w:sz w:val="22"/>
          <w:szCs w:val="22"/>
        </w:rPr>
        <w:t xml:space="preserve"> (Accessed 27 February 2024).</w:t>
      </w:r>
    </w:p>
    <w:p w14:paraId="71F68342" w14:textId="77777777" w:rsidR="00A553A1" w:rsidRDefault="00A553A1" w:rsidP="00FC64FC">
      <w:pPr>
        <w:spacing w:line="360" w:lineRule="auto"/>
        <w:rPr>
          <w:sz w:val="22"/>
          <w:szCs w:val="22"/>
        </w:rPr>
      </w:pPr>
    </w:p>
    <w:p w14:paraId="01C7D1C3" w14:textId="0D46D8C4" w:rsidR="00FC64FC" w:rsidRPr="00976F94" w:rsidRDefault="00FC64FC" w:rsidP="00FC64FC">
      <w:pPr>
        <w:spacing w:line="360" w:lineRule="auto"/>
        <w:rPr>
          <w:sz w:val="22"/>
          <w:szCs w:val="22"/>
        </w:rPr>
      </w:pPr>
      <w:r w:rsidRPr="00976F94">
        <w:rPr>
          <w:sz w:val="22"/>
          <w:szCs w:val="22"/>
        </w:rPr>
        <w:t xml:space="preserve">College of Policing (2013) Victim and witness care. Available at: </w:t>
      </w:r>
      <w:hyperlink r:id="rId17" w:history="1">
        <w:r w:rsidRPr="00976F94">
          <w:rPr>
            <w:rStyle w:val="Hyperlink"/>
            <w:sz w:val="22"/>
            <w:szCs w:val="22"/>
          </w:rPr>
          <w:t>https://www.college.police.uk/app/prosecution-and-case-management/victim-and-witness-care</w:t>
        </w:r>
      </w:hyperlink>
      <w:r w:rsidRPr="00976F94">
        <w:rPr>
          <w:sz w:val="22"/>
          <w:szCs w:val="22"/>
        </w:rPr>
        <w:t xml:space="preserve"> (Accessed 9 January 2024).</w:t>
      </w:r>
    </w:p>
    <w:p w14:paraId="0D60F265" w14:textId="77777777" w:rsidR="00A553A1" w:rsidRDefault="00A553A1" w:rsidP="00FC64FC">
      <w:pPr>
        <w:spacing w:line="360" w:lineRule="auto"/>
        <w:rPr>
          <w:sz w:val="22"/>
          <w:szCs w:val="22"/>
        </w:rPr>
      </w:pPr>
    </w:p>
    <w:p w14:paraId="69C6E78D" w14:textId="191673B0" w:rsidR="00FC64FC" w:rsidRPr="00976F94" w:rsidRDefault="00FC64FC" w:rsidP="00FC64FC">
      <w:pPr>
        <w:spacing w:line="360" w:lineRule="auto"/>
        <w:rPr>
          <w:sz w:val="22"/>
          <w:szCs w:val="22"/>
        </w:rPr>
      </w:pPr>
      <w:r w:rsidRPr="00976F94">
        <w:rPr>
          <w:sz w:val="22"/>
          <w:szCs w:val="22"/>
        </w:rPr>
        <w:t xml:space="preserve">College of Policing (2021) Recognising and responding to vulnerability-related risks: Guidelines. Available at: </w:t>
      </w:r>
      <w:hyperlink r:id="rId18" w:history="1">
        <w:r w:rsidRPr="00976F94">
          <w:rPr>
            <w:rStyle w:val="Hyperlink"/>
            <w:sz w:val="22"/>
            <w:szCs w:val="22"/>
          </w:rPr>
          <w:t>https://assets.college.police.uk/s3fs-public/2021-11/Recognising-responding-vulnerability-related-risks-REA.pdf</w:t>
        </w:r>
      </w:hyperlink>
      <w:r w:rsidRPr="00976F94">
        <w:rPr>
          <w:sz w:val="22"/>
          <w:szCs w:val="22"/>
        </w:rPr>
        <w:t xml:space="preserve"> (Accessed 9 January 2024).</w:t>
      </w:r>
    </w:p>
    <w:p w14:paraId="373AA91D" w14:textId="77777777" w:rsidR="00A553A1" w:rsidRDefault="00A553A1" w:rsidP="00FC64FC">
      <w:pPr>
        <w:spacing w:line="360" w:lineRule="auto"/>
        <w:rPr>
          <w:sz w:val="22"/>
          <w:szCs w:val="22"/>
        </w:rPr>
      </w:pPr>
    </w:p>
    <w:p w14:paraId="0EADF188" w14:textId="5B3FBCCB" w:rsidR="00FC64FC" w:rsidRPr="00976F94" w:rsidRDefault="00FC64FC" w:rsidP="00FC64FC">
      <w:pPr>
        <w:spacing w:line="360" w:lineRule="auto"/>
        <w:rPr>
          <w:sz w:val="22"/>
          <w:szCs w:val="22"/>
        </w:rPr>
      </w:pPr>
      <w:proofErr w:type="spellStart"/>
      <w:r w:rsidRPr="00976F94">
        <w:rPr>
          <w:sz w:val="22"/>
          <w:szCs w:val="22"/>
        </w:rPr>
        <w:t>Foureaux</w:t>
      </w:r>
      <w:proofErr w:type="spellEnd"/>
      <w:r w:rsidRPr="00976F94">
        <w:rPr>
          <w:sz w:val="22"/>
          <w:szCs w:val="22"/>
        </w:rPr>
        <w:t xml:space="preserve"> </w:t>
      </w:r>
      <w:proofErr w:type="spellStart"/>
      <w:r w:rsidRPr="00976F94">
        <w:rPr>
          <w:sz w:val="22"/>
          <w:szCs w:val="22"/>
        </w:rPr>
        <w:t>Koppensteiner</w:t>
      </w:r>
      <w:proofErr w:type="spellEnd"/>
      <w:r w:rsidRPr="00976F94">
        <w:rPr>
          <w:sz w:val="22"/>
          <w:szCs w:val="22"/>
        </w:rPr>
        <w:t xml:space="preserve">, M; Matheson, J; </w:t>
      </w:r>
      <w:proofErr w:type="spellStart"/>
      <w:r w:rsidRPr="00976F94">
        <w:rPr>
          <w:sz w:val="22"/>
          <w:szCs w:val="22"/>
        </w:rPr>
        <w:t>Plugor</w:t>
      </w:r>
      <w:proofErr w:type="spellEnd"/>
      <w:r w:rsidRPr="00976F94">
        <w:rPr>
          <w:sz w:val="22"/>
          <w:szCs w:val="22"/>
        </w:rPr>
        <w:t xml:space="preserve">, R. 2017. ‘Project 360: An intervention to address victim-police engagement in repeat domestic violence cases,’ </w:t>
      </w:r>
      <w:r w:rsidRPr="00976F94">
        <w:rPr>
          <w:i/>
          <w:iCs/>
          <w:sz w:val="22"/>
          <w:szCs w:val="22"/>
        </w:rPr>
        <w:t>Economics Discussion Paper 17/08</w:t>
      </w:r>
      <w:r w:rsidRPr="00976F94">
        <w:rPr>
          <w:sz w:val="22"/>
          <w:szCs w:val="22"/>
        </w:rPr>
        <w:t>, University of Leicester.</w:t>
      </w:r>
    </w:p>
    <w:p w14:paraId="3F947B51" w14:textId="77777777" w:rsidR="00A553A1" w:rsidRDefault="00A553A1" w:rsidP="00FC64FC">
      <w:pPr>
        <w:spacing w:line="360" w:lineRule="auto"/>
        <w:rPr>
          <w:i/>
          <w:iCs/>
          <w:sz w:val="22"/>
          <w:szCs w:val="22"/>
        </w:rPr>
      </w:pPr>
    </w:p>
    <w:p w14:paraId="4217A8B3" w14:textId="6076908E" w:rsidR="00FC64FC" w:rsidRPr="00976F94" w:rsidRDefault="00FC64FC" w:rsidP="00FC64FC">
      <w:pPr>
        <w:spacing w:line="360" w:lineRule="auto"/>
        <w:rPr>
          <w:sz w:val="22"/>
          <w:szCs w:val="22"/>
        </w:rPr>
      </w:pPr>
      <w:r w:rsidRPr="00976F94">
        <w:rPr>
          <w:i/>
          <w:iCs/>
          <w:sz w:val="22"/>
          <w:szCs w:val="22"/>
        </w:rPr>
        <w:t>Fraud Act 2006</w:t>
      </w:r>
      <w:r w:rsidRPr="00976F94">
        <w:rPr>
          <w:sz w:val="22"/>
          <w:szCs w:val="22"/>
        </w:rPr>
        <w:t xml:space="preserve">, c. 35. Available at: </w:t>
      </w:r>
      <w:hyperlink r:id="rId19" w:history="1">
        <w:r w:rsidRPr="00976F94">
          <w:rPr>
            <w:rStyle w:val="Hyperlink"/>
            <w:sz w:val="22"/>
            <w:szCs w:val="22"/>
          </w:rPr>
          <w:t>https://www.legislation.gov.uk/ukpga/2006/35/section/2</w:t>
        </w:r>
      </w:hyperlink>
      <w:r w:rsidRPr="00976F94">
        <w:rPr>
          <w:sz w:val="22"/>
          <w:szCs w:val="22"/>
        </w:rPr>
        <w:t xml:space="preserve"> (Accessed 9 January 2024).</w:t>
      </w:r>
    </w:p>
    <w:p w14:paraId="4936D065" w14:textId="77777777" w:rsidR="00A553A1" w:rsidRDefault="00A553A1" w:rsidP="00FC64FC">
      <w:pPr>
        <w:spacing w:line="360" w:lineRule="auto"/>
        <w:rPr>
          <w:sz w:val="22"/>
          <w:szCs w:val="22"/>
        </w:rPr>
      </w:pPr>
    </w:p>
    <w:p w14:paraId="20AFC102" w14:textId="58E0F57E" w:rsidR="00FC64FC" w:rsidRPr="00976F94" w:rsidRDefault="00FC64FC" w:rsidP="00FC64FC">
      <w:pPr>
        <w:spacing w:line="360" w:lineRule="auto"/>
        <w:rPr>
          <w:sz w:val="22"/>
          <w:szCs w:val="22"/>
        </w:rPr>
      </w:pPr>
      <w:r w:rsidRPr="00976F94">
        <w:rPr>
          <w:sz w:val="22"/>
          <w:szCs w:val="22"/>
        </w:rPr>
        <w:t xml:space="preserve">Government UK (2020) </w:t>
      </w:r>
      <w:r w:rsidRPr="00976F94">
        <w:rPr>
          <w:i/>
          <w:iCs/>
          <w:sz w:val="22"/>
          <w:szCs w:val="22"/>
        </w:rPr>
        <w:t>Code of Practice for Victims of Crime in England and Wales</w:t>
      </w:r>
      <w:r w:rsidRPr="00976F94">
        <w:rPr>
          <w:sz w:val="22"/>
          <w:szCs w:val="22"/>
        </w:rPr>
        <w:t xml:space="preserve">. Available at: </w:t>
      </w:r>
      <w:hyperlink r:id="rId20" w:history="1">
        <w:r w:rsidRPr="00976F94">
          <w:rPr>
            <w:rStyle w:val="Hyperlink"/>
            <w:color w:val="auto"/>
            <w:sz w:val="22"/>
            <w:szCs w:val="22"/>
          </w:rPr>
          <w:t>https://assets.publishing.service.gov.uk/media/60620279d3bf7f5ceaca0d89/victims-code-2020.pdf</w:t>
        </w:r>
      </w:hyperlink>
      <w:r w:rsidRPr="00976F94">
        <w:rPr>
          <w:sz w:val="22"/>
          <w:szCs w:val="22"/>
        </w:rPr>
        <w:t xml:space="preserve"> (Accessed 9 January 2024).</w:t>
      </w:r>
    </w:p>
    <w:p w14:paraId="76C0AE05" w14:textId="77777777" w:rsidR="00A553A1" w:rsidRDefault="00A553A1" w:rsidP="00FC64FC">
      <w:pPr>
        <w:spacing w:line="360" w:lineRule="auto"/>
        <w:rPr>
          <w:sz w:val="22"/>
          <w:szCs w:val="22"/>
        </w:rPr>
      </w:pPr>
    </w:p>
    <w:p w14:paraId="118C255F" w14:textId="3E4BA333" w:rsidR="00FC64FC" w:rsidRPr="00976F94" w:rsidRDefault="00FC64FC" w:rsidP="00FC64FC">
      <w:pPr>
        <w:spacing w:line="360" w:lineRule="auto"/>
        <w:rPr>
          <w:sz w:val="22"/>
          <w:szCs w:val="22"/>
        </w:rPr>
      </w:pPr>
      <w:r w:rsidRPr="00976F94">
        <w:rPr>
          <w:sz w:val="22"/>
          <w:szCs w:val="22"/>
        </w:rPr>
        <w:lastRenderedPageBreak/>
        <w:t xml:space="preserve">Government UK (2022) </w:t>
      </w:r>
      <w:r w:rsidRPr="00976F94">
        <w:rPr>
          <w:i/>
          <w:iCs/>
          <w:sz w:val="22"/>
          <w:szCs w:val="22"/>
        </w:rPr>
        <w:t>Delivering justice for victims: A consultation on improving victim’s experiences of the justice system</w:t>
      </w:r>
      <w:r w:rsidRPr="00976F94">
        <w:rPr>
          <w:sz w:val="22"/>
          <w:szCs w:val="22"/>
        </w:rPr>
        <w:t xml:space="preserve">. Available at: </w:t>
      </w:r>
      <w:hyperlink r:id="rId21" w:history="1">
        <w:r w:rsidRPr="00976F94">
          <w:rPr>
            <w:rStyle w:val="Hyperlink"/>
            <w:sz w:val="22"/>
            <w:szCs w:val="22"/>
          </w:rPr>
          <w:t>Delivering justice for victims: A consultation on improving victims’ experiences of the justice system - GOV.UK (www.gov.uk)</w:t>
        </w:r>
      </w:hyperlink>
      <w:r w:rsidRPr="00976F94">
        <w:rPr>
          <w:sz w:val="22"/>
          <w:szCs w:val="22"/>
        </w:rPr>
        <w:t xml:space="preserve"> (Accessed 28 April 2024).</w:t>
      </w:r>
    </w:p>
    <w:p w14:paraId="3DCEC047" w14:textId="77777777" w:rsidR="00A553A1" w:rsidRDefault="00A553A1" w:rsidP="00FC64FC">
      <w:pPr>
        <w:spacing w:line="360" w:lineRule="auto"/>
        <w:rPr>
          <w:sz w:val="22"/>
          <w:szCs w:val="22"/>
        </w:rPr>
      </w:pPr>
    </w:p>
    <w:p w14:paraId="48827777" w14:textId="56E58290" w:rsidR="00FC64FC" w:rsidRPr="00976F94" w:rsidRDefault="00FC64FC" w:rsidP="00FC64FC">
      <w:pPr>
        <w:spacing w:line="360" w:lineRule="auto"/>
        <w:rPr>
          <w:sz w:val="22"/>
          <w:szCs w:val="22"/>
        </w:rPr>
      </w:pPr>
      <w:r w:rsidRPr="00976F94">
        <w:rPr>
          <w:sz w:val="22"/>
          <w:szCs w:val="22"/>
        </w:rPr>
        <w:t xml:space="preserve">Office for National Statistics (2019) </w:t>
      </w:r>
      <w:r w:rsidRPr="00976F94">
        <w:rPr>
          <w:i/>
          <w:iCs/>
          <w:sz w:val="22"/>
          <w:szCs w:val="22"/>
        </w:rPr>
        <w:t>Disability and crime, UK: 2019.</w:t>
      </w:r>
      <w:r w:rsidRPr="00976F94">
        <w:rPr>
          <w:sz w:val="22"/>
          <w:szCs w:val="22"/>
        </w:rPr>
        <w:t xml:space="preserve"> Available at: </w:t>
      </w:r>
      <w:hyperlink r:id="rId22" w:history="1">
        <w:r w:rsidRPr="00976F94">
          <w:rPr>
            <w:rStyle w:val="Hyperlink"/>
            <w:color w:val="auto"/>
            <w:sz w:val="22"/>
            <w:szCs w:val="22"/>
          </w:rPr>
          <w:t>https://www.ons.gov.uk/peoplepopulationandcommunity/healthandsocialcare/disability/bulletins/disabilityandcrimeuk/2019</w:t>
        </w:r>
      </w:hyperlink>
      <w:r w:rsidRPr="00976F94">
        <w:rPr>
          <w:sz w:val="22"/>
          <w:szCs w:val="22"/>
        </w:rPr>
        <w:t xml:space="preserve"> (Accessed 9 January 2024).</w:t>
      </w:r>
    </w:p>
    <w:p w14:paraId="5BE58F49" w14:textId="77777777" w:rsidR="00A553A1" w:rsidRDefault="00A553A1" w:rsidP="00FC64FC">
      <w:pPr>
        <w:spacing w:line="360" w:lineRule="auto"/>
        <w:rPr>
          <w:sz w:val="22"/>
          <w:szCs w:val="22"/>
        </w:rPr>
      </w:pPr>
    </w:p>
    <w:p w14:paraId="502DF4C9" w14:textId="3FB34832" w:rsidR="00FC64FC" w:rsidRDefault="00FC64FC" w:rsidP="00FC64FC">
      <w:pPr>
        <w:spacing w:line="360" w:lineRule="auto"/>
        <w:rPr>
          <w:sz w:val="22"/>
          <w:szCs w:val="22"/>
        </w:rPr>
      </w:pPr>
      <w:r w:rsidRPr="00976F94">
        <w:rPr>
          <w:sz w:val="22"/>
          <w:szCs w:val="22"/>
        </w:rPr>
        <w:t xml:space="preserve">Victim’s Commissioner (2018) </w:t>
      </w:r>
      <w:r w:rsidRPr="00976F94">
        <w:rPr>
          <w:i/>
          <w:iCs/>
          <w:sz w:val="22"/>
          <w:szCs w:val="22"/>
        </w:rPr>
        <w:t>Entitlements and experiences of victims of mentally disordered offenders</w:t>
      </w:r>
      <w:r w:rsidRPr="00976F94">
        <w:rPr>
          <w:sz w:val="22"/>
          <w:szCs w:val="22"/>
        </w:rPr>
        <w:t xml:space="preserve">. Available at: </w:t>
      </w:r>
      <w:hyperlink r:id="rId23" w:history="1">
        <w:r w:rsidRPr="00976F94">
          <w:rPr>
            <w:rStyle w:val="Hyperlink"/>
            <w:sz w:val="22"/>
            <w:szCs w:val="22"/>
          </w:rPr>
          <w:t>VC-Victims-of-Mentally-Disordered-Offenders-Review-2018.pdf (cloud-platform-e218f50a4812967ba1215eaecede923f.s3.amazonaws.com)</w:t>
        </w:r>
      </w:hyperlink>
      <w:r w:rsidRPr="00976F94">
        <w:rPr>
          <w:sz w:val="22"/>
          <w:szCs w:val="22"/>
        </w:rPr>
        <w:t xml:space="preserve"> (Accessed 28 April 2024).</w:t>
      </w:r>
    </w:p>
    <w:p w14:paraId="52622C5A" w14:textId="77777777" w:rsidR="00A553A1" w:rsidRDefault="00A553A1" w:rsidP="00FC64FC">
      <w:pPr>
        <w:spacing w:line="360" w:lineRule="auto"/>
        <w:rPr>
          <w:i/>
          <w:iCs/>
          <w:sz w:val="22"/>
          <w:szCs w:val="22"/>
        </w:rPr>
      </w:pPr>
    </w:p>
    <w:p w14:paraId="0E1493B8" w14:textId="10B6DDA8" w:rsidR="00FC64FC" w:rsidRPr="00976F94" w:rsidRDefault="00FC64FC" w:rsidP="00FC64FC">
      <w:pPr>
        <w:spacing w:line="360" w:lineRule="auto"/>
        <w:rPr>
          <w:sz w:val="22"/>
          <w:szCs w:val="22"/>
        </w:rPr>
      </w:pPr>
      <w:r w:rsidRPr="00976F94">
        <w:rPr>
          <w:i/>
          <w:iCs/>
          <w:sz w:val="22"/>
          <w:szCs w:val="22"/>
        </w:rPr>
        <w:t>Youth Justice and Criminal Evidence Act 1999</w:t>
      </w:r>
      <w:r w:rsidRPr="00976F94">
        <w:rPr>
          <w:sz w:val="22"/>
          <w:szCs w:val="22"/>
        </w:rPr>
        <w:t xml:space="preserve">, c. 23. Available at: </w:t>
      </w:r>
      <w:hyperlink r:id="rId24" w:history="1">
        <w:r w:rsidRPr="00976F94">
          <w:rPr>
            <w:rStyle w:val="Hyperlink"/>
            <w:sz w:val="22"/>
            <w:szCs w:val="22"/>
          </w:rPr>
          <w:t>https://www.legislation.gov.uk/ukpga/1999/23/contents</w:t>
        </w:r>
      </w:hyperlink>
      <w:r w:rsidRPr="00976F94">
        <w:rPr>
          <w:sz w:val="22"/>
          <w:szCs w:val="22"/>
        </w:rPr>
        <w:t xml:space="preserve"> (Accessed 9 January 2024).</w:t>
      </w:r>
    </w:p>
    <w:p w14:paraId="758BF033" w14:textId="77777777" w:rsidR="00FC64FC" w:rsidRDefault="00FC64FC" w:rsidP="00FC64FC">
      <w:pPr>
        <w:spacing w:line="360" w:lineRule="auto"/>
        <w:rPr>
          <w:sz w:val="22"/>
          <w:szCs w:val="22"/>
        </w:rPr>
      </w:pPr>
    </w:p>
    <w:p w14:paraId="148AD0B0" w14:textId="77777777" w:rsidR="00FC64FC" w:rsidRDefault="00FC64FC" w:rsidP="00FC64FC">
      <w:pPr>
        <w:spacing w:line="360" w:lineRule="auto"/>
        <w:rPr>
          <w:b/>
          <w:bCs/>
          <w:sz w:val="22"/>
          <w:szCs w:val="22"/>
        </w:rPr>
      </w:pPr>
      <w:r w:rsidRPr="00976F94">
        <w:rPr>
          <w:b/>
          <w:bCs/>
          <w:sz w:val="22"/>
          <w:szCs w:val="22"/>
        </w:rPr>
        <w:t>Task 2 Option 1-</w:t>
      </w:r>
    </w:p>
    <w:p w14:paraId="2C74A2AA" w14:textId="77777777" w:rsidR="00FC64FC" w:rsidRPr="00976F94" w:rsidRDefault="00FC64FC" w:rsidP="00FC64FC">
      <w:pPr>
        <w:spacing w:line="360" w:lineRule="auto"/>
        <w:rPr>
          <w:b/>
          <w:bCs/>
          <w:sz w:val="22"/>
          <w:szCs w:val="22"/>
        </w:rPr>
      </w:pPr>
    </w:p>
    <w:p w14:paraId="0F0F0017" w14:textId="77777777" w:rsidR="00FC64FC" w:rsidRPr="00976F94" w:rsidRDefault="00FC64FC" w:rsidP="00FC64FC">
      <w:pPr>
        <w:spacing w:line="360" w:lineRule="auto"/>
        <w:rPr>
          <w:sz w:val="22"/>
          <w:szCs w:val="22"/>
        </w:rPr>
      </w:pPr>
      <w:r w:rsidRPr="00976F94">
        <w:rPr>
          <w:i/>
          <w:iCs/>
          <w:sz w:val="22"/>
          <w:szCs w:val="22"/>
        </w:rPr>
        <w:t>Criminal Justice Act 1988, c.33</w:t>
      </w:r>
      <w:r w:rsidRPr="00976F94">
        <w:rPr>
          <w:sz w:val="22"/>
          <w:szCs w:val="22"/>
        </w:rPr>
        <w:t xml:space="preserve">. Available at: </w:t>
      </w:r>
      <w:hyperlink r:id="rId25" w:anchor=":~:text=39%20Common%20assault%20and%20battery%20to%20be%20summary,term%20not%20exceeding%20six%20months%2C%20or%20to%20both" w:history="1">
        <w:r w:rsidRPr="00976F94">
          <w:rPr>
            <w:rStyle w:val="Hyperlink"/>
            <w:sz w:val="22"/>
            <w:szCs w:val="22"/>
          </w:rPr>
          <w:t>https://www.legislation.gov.uk/ukpga/1988/33/section/39#:~:text=39%20Common%20assault%20and%20battery%20to%20be%20summary,term%20not%20exceeding%20six%20months%2C%20or%20to%20both</w:t>
        </w:r>
      </w:hyperlink>
      <w:r w:rsidRPr="00976F94">
        <w:rPr>
          <w:sz w:val="22"/>
          <w:szCs w:val="22"/>
        </w:rPr>
        <w:t>. (Accessed 16 July 2024)</w:t>
      </w:r>
    </w:p>
    <w:p w14:paraId="5DFDD5CA" w14:textId="77777777" w:rsidR="00A553A1" w:rsidRDefault="00A553A1" w:rsidP="00FC64FC">
      <w:pPr>
        <w:spacing w:line="360" w:lineRule="auto"/>
        <w:rPr>
          <w:sz w:val="22"/>
          <w:szCs w:val="22"/>
        </w:rPr>
      </w:pPr>
    </w:p>
    <w:p w14:paraId="4D8337AA" w14:textId="1B4C6CFD" w:rsidR="00FC64FC" w:rsidRPr="00976F94" w:rsidRDefault="00FC64FC" w:rsidP="00FC64FC">
      <w:pPr>
        <w:spacing w:line="360" w:lineRule="auto"/>
        <w:rPr>
          <w:sz w:val="22"/>
          <w:szCs w:val="22"/>
        </w:rPr>
      </w:pPr>
      <w:r w:rsidRPr="00976F94">
        <w:rPr>
          <w:sz w:val="22"/>
          <w:szCs w:val="22"/>
        </w:rPr>
        <w:t xml:space="preserve">Crown Prosecution Service (2024). </w:t>
      </w:r>
      <w:r w:rsidRPr="00976F94">
        <w:rPr>
          <w:i/>
          <w:iCs/>
          <w:sz w:val="22"/>
          <w:szCs w:val="22"/>
        </w:rPr>
        <w:t>Domestic Abuse</w:t>
      </w:r>
      <w:r w:rsidRPr="00976F94">
        <w:rPr>
          <w:sz w:val="22"/>
          <w:szCs w:val="22"/>
        </w:rPr>
        <w:t xml:space="preserve">. Available at: </w:t>
      </w:r>
      <w:hyperlink r:id="rId26" w:history="1">
        <w:r w:rsidRPr="00976F94">
          <w:rPr>
            <w:rStyle w:val="Hyperlink"/>
            <w:sz w:val="22"/>
            <w:szCs w:val="22"/>
          </w:rPr>
          <w:t>https://www.cps.gov.uk/legal-guidance/domestic-abuse</w:t>
        </w:r>
      </w:hyperlink>
      <w:r w:rsidRPr="00976F94">
        <w:rPr>
          <w:sz w:val="22"/>
          <w:szCs w:val="22"/>
        </w:rPr>
        <w:t xml:space="preserve"> (Accessed 16 July 2024).</w:t>
      </w:r>
    </w:p>
    <w:p w14:paraId="7E4B77D9" w14:textId="77777777" w:rsidR="00A553A1" w:rsidRDefault="00A553A1" w:rsidP="00FC64FC">
      <w:pPr>
        <w:spacing w:line="360" w:lineRule="auto"/>
        <w:rPr>
          <w:sz w:val="22"/>
          <w:szCs w:val="22"/>
        </w:rPr>
      </w:pPr>
    </w:p>
    <w:p w14:paraId="3DFB4F46" w14:textId="6DFF82D8" w:rsidR="00FC64FC" w:rsidRPr="00976F94" w:rsidRDefault="00FC64FC" w:rsidP="00FC64FC">
      <w:pPr>
        <w:spacing w:line="360" w:lineRule="auto"/>
        <w:rPr>
          <w:sz w:val="22"/>
          <w:szCs w:val="22"/>
        </w:rPr>
      </w:pPr>
      <w:r w:rsidRPr="00976F94">
        <w:rPr>
          <w:sz w:val="22"/>
          <w:szCs w:val="22"/>
        </w:rPr>
        <w:t xml:space="preserve">Crown Prosecution Service, (2022). </w:t>
      </w:r>
      <w:r w:rsidRPr="00976F94">
        <w:rPr>
          <w:i/>
          <w:iCs/>
          <w:sz w:val="22"/>
          <w:szCs w:val="22"/>
        </w:rPr>
        <w:t>Offences against the Person, incorporating the Charging Standard</w:t>
      </w:r>
      <w:r w:rsidRPr="00976F94">
        <w:rPr>
          <w:sz w:val="22"/>
          <w:szCs w:val="22"/>
        </w:rPr>
        <w:t xml:space="preserve">. Available at: </w:t>
      </w:r>
      <w:hyperlink r:id="rId27" w:history="1">
        <w:r w:rsidRPr="00976F94">
          <w:rPr>
            <w:rStyle w:val="Hyperlink"/>
            <w:sz w:val="22"/>
            <w:szCs w:val="22"/>
          </w:rPr>
          <w:t>https://www.cps.gov.uk/legal-guidance/offences-against-person-incorporating-charging-standard</w:t>
        </w:r>
      </w:hyperlink>
      <w:r w:rsidRPr="00976F94">
        <w:rPr>
          <w:sz w:val="22"/>
          <w:szCs w:val="22"/>
        </w:rPr>
        <w:t xml:space="preserve"> (Accessed 16 July 2024).</w:t>
      </w:r>
    </w:p>
    <w:p w14:paraId="66C41BC1" w14:textId="77777777" w:rsidR="00A553A1" w:rsidRDefault="00A553A1" w:rsidP="00FC64FC">
      <w:pPr>
        <w:spacing w:line="360" w:lineRule="auto"/>
        <w:rPr>
          <w:sz w:val="22"/>
          <w:szCs w:val="22"/>
        </w:rPr>
      </w:pPr>
    </w:p>
    <w:p w14:paraId="6D1CF416" w14:textId="3041C8E1" w:rsidR="00FC64FC" w:rsidRPr="00976F94" w:rsidRDefault="00FC64FC" w:rsidP="00FC64FC">
      <w:pPr>
        <w:spacing w:line="360" w:lineRule="auto"/>
        <w:rPr>
          <w:sz w:val="22"/>
          <w:szCs w:val="22"/>
        </w:rPr>
      </w:pPr>
      <w:r w:rsidRPr="00976F94">
        <w:rPr>
          <w:sz w:val="22"/>
          <w:szCs w:val="22"/>
        </w:rPr>
        <w:t xml:space="preserve">Crown Prosecution Service, (2022). </w:t>
      </w:r>
      <w:r w:rsidRPr="00976F94">
        <w:rPr>
          <w:i/>
          <w:iCs/>
          <w:sz w:val="22"/>
          <w:szCs w:val="22"/>
        </w:rPr>
        <w:t>Self-Defence and the Prevention of Crime.</w:t>
      </w:r>
      <w:r w:rsidRPr="00976F94">
        <w:rPr>
          <w:sz w:val="22"/>
          <w:szCs w:val="22"/>
        </w:rPr>
        <w:t xml:space="preserve"> Available at: </w:t>
      </w:r>
      <w:hyperlink r:id="rId28" w:history="1">
        <w:r w:rsidRPr="00976F94">
          <w:rPr>
            <w:rStyle w:val="Hyperlink"/>
            <w:sz w:val="22"/>
            <w:szCs w:val="22"/>
          </w:rPr>
          <w:t>https://www.cps.gov.uk/legal-guidance/self-defence-and-prevention-crime</w:t>
        </w:r>
      </w:hyperlink>
      <w:r w:rsidRPr="00976F94">
        <w:rPr>
          <w:sz w:val="22"/>
          <w:szCs w:val="22"/>
        </w:rPr>
        <w:t xml:space="preserve"> (Accessed 16 July 2024).</w:t>
      </w:r>
    </w:p>
    <w:p w14:paraId="4C5B6598" w14:textId="77777777" w:rsidR="00A553A1" w:rsidRDefault="00A553A1" w:rsidP="00FC64FC">
      <w:pPr>
        <w:spacing w:line="360" w:lineRule="auto"/>
        <w:rPr>
          <w:i/>
          <w:iCs/>
          <w:sz w:val="22"/>
          <w:szCs w:val="22"/>
        </w:rPr>
      </w:pPr>
    </w:p>
    <w:p w14:paraId="0ACCF106" w14:textId="0C69A7EA" w:rsidR="00FC64FC" w:rsidRPr="00976F94" w:rsidRDefault="00FC64FC" w:rsidP="00FC64FC">
      <w:pPr>
        <w:spacing w:line="360" w:lineRule="auto"/>
        <w:rPr>
          <w:sz w:val="22"/>
          <w:szCs w:val="22"/>
        </w:rPr>
      </w:pPr>
      <w:r w:rsidRPr="00976F94">
        <w:rPr>
          <w:i/>
          <w:iCs/>
          <w:sz w:val="22"/>
          <w:szCs w:val="22"/>
        </w:rPr>
        <w:t>Domestic Abuse Act 2021, c.17.</w:t>
      </w:r>
      <w:r w:rsidRPr="00976F94">
        <w:rPr>
          <w:sz w:val="22"/>
          <w:szCs w:val="22"/>
        </w:rPr>
        <w:t xml:space="preserve"> Available at: </w:t>
      </w:r>
      <w:hyperlink r:id="rId29" w:history="1">
        <w:r w:rsidRPr="00976F94">
          <w:rPr>
            <w:rStyle w:val="Hyperlink"/>
            <w:sz w:val="22"/>
            <w:szCs w:val="22"/>
          </w:rPr>
          <w:t>https://www.legislation.gov.uk/ukpga/2021/17/section/1</w:t>
        </w:r>
      </w:hyperlink>
      <w:r w:rsidRPr="00976F94">
        <w:rPr>
          <w:sz w:val="22"/>
          <w:szCs w:val="22"/>
        </w:rPr>
        <w:t xml:space="preserve"> (Accessed 16 July 2024)</w:t>
      </w:r>
    </w:p>
    <w:p w14:paraId="082307AB" w14:textId="77777777" w:rsidR="00A553A1" w:rsidRDefault="00A553A1" w:rsidP="00FC64FC">
      <w:pPr>
        <w:spacing w:line="360" w:lineRule="auto"/>
        <w:rPr>
          <w:sz w:val="22"/>
          <w:szCs w:val="22"/>
        </w:rPr>
      </w:pPr>
    </w:p>
    <w:p w14:paraId="73471E8F" w14:textId="69554ACA" w:rsidR="00FC64FC" w:rsidRPr="00976F94" w:rsidRDefault="00FC64FC" w:rsidP="00FC64FC">
      <w:pPr>
        <w:spacing w:line="360" w:lineRule="auto"/>
        <w:rPr>
          <w:sz w:val="22"/>
          <w:szCs w:val="22"/>
        </w:rPr>
      </w:pPr>
      <w:r w:rsidRPr="00976F94">
        <w:rPr>
          <w:sz w:val="22"/>
          <w:szCs w:val="22"/>
        </w:rPr>
        <w:t xml:space="preserve">Fairclough, S. (2020). </w:t>
      </w:r>
      <w:r w:rsidRPr="00976F94">
        <w:rPr>
          <w:i/>
          <w:iCs/>
          <w:sz w:val="22"/>
          <w:szCs w:val="22"/>
        </w:rPr>
        <w:t>Special Measures Literature Review</w:t>
      </w:r>
      <w:r w:rsidRPr="00976F94">
        <w:rPr>
          <w:sz w:val="22"/>
          <w:szCs w:val="22"/>
        </w:rPr>
        <w:t xml:space="preserve">. Available at: </w:t>
      </w:r>
      <w:hyperlink r:id="rId30" w:history="1">
        <w:r w:rsidRPr="00976F94">
          <w:rPr>
            <w:rStyle w:val="Hyperlink"/>
            <w:sz w:val="22"/>
            <w:szCs w:val="22"/>
          </w:rPr>
          <w:t>https://cloud-platform-e218f50a4812967ba1215eaecede923f.s3.amazonaws.com/uploads/sites/6/2021/12/OVC-Special-Measures-Literature-Review-July-2020.pdf</w:t>
        </w:r>
      </w:hyperlink>
      <w:r w:rsidRPr="00976F94">
        <w:rPr>
          <w:sz w:val="22"/>
          <w:szCs w:val="22"/>
        </w:rPr>
        <w:t xml:space="preserve"> (Accessed 16 July 2024).</w:t>
      </w:r>
    </w:p>
    <w:p w14:paraId="23662A3A" w14:textId="77777777" w:rsidR="00A553A1" w:rsidRDefault="00A553A1" w:rsidP="00FC64FC">
      <w:pPr>
        <w:spacing w:line="360" w:lineRule="auto"/>
        <w:rPr>
          <w:sz w:val="22"/>
          <w:szCs w:val="22"/>
        </w:rPr>
      </w:pPr>
    </w:p>
    <w:p w14:paraId="0A6C5AAD" w14:textId="42E9EE42" w:rsidR="00FC64FC" w:rsidRPr="00976F94" w:rsidRDefault="00FC64FC" w:rsidP="00FC64FC">
      <w:pPr>
        <w:spacing w:line="360" w:lineRule="auto"/>
        <w:rPr>
          <w:sz w:val="22"/>
          <w:szCs w:val="22"/>
        </w:rPr>
      </w:pPr>
      <w:r w:rsidRPr="00976F94">
        <w:rPr>
          <w:sz w:val="22"/>
          <w:szCs w:val="22"/>
        </w:rPr>
        <w:t>His Majesty’s Inspectorate of Constabulary and Fire &amp; Rescue Services, (2020</w:t>
      </w:r>
      <w:r w:rsidRPr="00976F94">
        <w:rPr>
          <w:i/>
          <w:iCs/>
          <w:sz w:val="22"/>
          <w:szCs w:val="22"/>
        </w:rPr>
        <w:t>). Evidence led domestic abuse prosecutions</w:t>
      </w:r>
      <w:r w:rsidRPr="00976F94">
        <w:rPr>
          <w:sz w:val="22"/>
          <w:szCs w:val="22"/>
        </w:rPr>
        <w:t xml:space="preserve">. Available at: </w:t>
      </w:r>
      <w:hyperlink r:id="rId31" w:history="1">
        <w:r w:rsidRPr="00976F94">
          <w:rPr>
            <w:rStyle w:val="Hyperlink"/>
            <w:sz w:val="22"/>
            <w:szCs w:val="22"/>
          </w:rPr>
          <w:t>https://www.justiceinspectorates.gov.uk/cjji/wp-content/uploads/sites/2/2020/01/Joint-Inspection-Evidence-Led-Domestic-Abuse-Jan19-rpt.pdf</w:t>
        </w:r>
      </w:hyperlink>
      <w:r w:rsidRPr="00976F94">
        <w:rPr>
          <w:sz w:val="22"/>
          <w:szCs w:val="22"/>
        </w:rPr>
        <w:t xml:space="preserve"> (Accessed 16 July 2024).</w:t>
      </w:r>
    </w:p>
    <w:p w14:paraId="300E96F8" w14:textId="77777777" w:rsidR="00A553A1" w:rsidRDefault="00A553A1" w:rsidP="00FC64FC">
      <w:pPr>
        <w:spacing w:line="360" w:lineRule="auto"/>
        <w:rPr>
          <w:sz w:val="22"/>
          <w:szCs w:val="22"/>
        </w:rPr>
      </w:pPr>
    </w:p>
    <w:p w14:paraId="79DF42BC" w14:textId="216EBB27" w:rsidR="00FC64FC" w:rsidRPr="00976F94" w:rsidRDefault="00FC64FC" w:rsidP="00FC64FC">
      <w:pPr>
        <w:spacing w:line="360" w:lineRule="auto"/>
        <w:rPr>
          <w:sz w:val="22"/>
          <w:szCs w:val="22"/>
        </w:rPr>
      </w:pPr>
      <w:r w:rsidRPr="00976F94">
        <w:rPr>
          <w:sz w:val="22"/>
          <w:szCs w:val="22"/>
        </w:rPr>
        <w:t xml:space="preserve">Law Commission, (n.d.). </w:t>
      </w:r>
      <w:r w:rsidRPr="00976F94">
        <w:rPr>
          <w:i/>
          <w:iCs/>
          <w:sz w:val="22"/>
          <w:szCs w:val="22"/>
        </w:rPr>
        <w:t>Defences for victims of domestic abuse who kill their abusers</w:t>
      </w:r>
      <w:r w:rsidRPr="00976F94">
        <w:rPr>
          <w:sz w:val="22"/>
          <w:szCs w:val="22"/>
        </w:rPr>
        <w:t xml:space="preserve">. Available at: </w:t>
      </w:r>
      <w:hyperlink r:id="rId32" w:history="1">
        <w:r w:rsidRPr="00976F94">
          <w:rPr>
            <w:rStyle w:val="Hyperlink"/>
            <w:sz w:val="22"/>
            <w:szCs w:val="22"/>
          </w:rPr>
          <w:t>https://lawcom.gov.uk/project/defences-for-victims-of-domestic-abuse-who-kill-their-abusers/</w:t>
        </w:r>
      </w:hyperlink>
      <w:r w:rsidRPr="00976F94">
        <w:rPr>
          <w:sz w:val="22"/>
          <w:szCs w:val="22"/>
        </w:rPr>
        <w:t xml:space="preserve"> (Accessed 16 July 2024)</w:t>
      </w:r>
    </w:p>
    <w:p w14:paraId="4FD20418" w14:textId="77777777" w:rsidR="00A553A1" w:rsidRDefault="00A553A1" w:rsidP="00FC64FC">
      <w:pPr>
        <w:spacing w:line="360" w:lineRule="auto"/>
        <w:rPr>
          <w:i/>
          <w:iCs/>
          <w:sz w:val="22"/>
          <w:szCs w:val="22"/>
        </w:rPr>
      </w:pPr>
    </w:p>
    <w:p w14:paraId="051026BA" w14:textId="3AC26CBB" w:rsidR="00FC64FC" w:rsidRPr="00976F94" w:rsidRDefault="00FC64FC" w:rsidP="00FC64FC">
      <w:pPr>
        <w:spacing w:line="360" w:lineRule="auto"/>
        <w:rPr>
          <w:sz w:val="22"/>
          <w:szCs w:val="22"/>
        </w:rPr>
      </w:pPr>
      <w:r w:rsidRPr="00976F94">
        <w:rPr>
          <w:i/>
          <w:iCs/>
          <w:sz w:val="22"/>
          <w:szCs w:val="22"/>
        </w:rPr>
        <w:t>Magistrates’ Courts Act 1980, c.43</w:t>
      </w:r>
      <w:r w:rsidRPr="00976F94">
        <w:rPr>
          <w:sz w:val="22"/>
          <w:szCs w:val="22"/>
        </w:rPr>
        <w:t xml:space="preserve">. Available at: </w:t>
      </w:r>
      <w:hyperlink r:id="rId33" w:history="1">
        <w:r w:rsidRPr="00976F94">
          <w:rPr>
            <w:rStyle w:val="Hyperlink"/>
            <w:sz w:val="22"/>
            <w:szCs w:val="22"/>
          </w:rPr>
          <w:t>https://www.legislation.gov.uk/ukpga/1980/43/section/127</w:t>
        </w:r>
      </w:hyperlink>
      <w:r w:rsidRPr="00976F94">
        <w:rPr>
          <w:sz w:val="22"/>
          <w:szCs w:val="22"/>
        </w:rPr>
        <w:t xml:space="preserve"> (Accessed 16 July 2024).</w:t>
      </w:r>
    </w:p>
    <w:p w14:paraId="181CD3E3" w14:textId="77777777" w:rsidR="00A553A1" w:rsidRDefault="00A553A1" w:rsidP="00FC64FC">
      <w:pPr>
        <w:spacing w:line="360" w:lineRule="auto"/>
        <w:rPr>
          <w:sz w:val="22"/>
          <w:szCs w:val="22"/>
        </w:rPr>
      </w:pPr>
    </w:p>
    <w:p w14:paraId="57AA6DEF" w14:textId="46F3F578" w:rsidR="00FC64FC" w:rsidRPr="00976F94" w:rsidRDefault="00FC64FC" w:rsidP="00FC64FC">
      <w:pPr>
        <w:spacing w:line="360" w:lineRule="auto"/>
        <w:rPr>
          <w:sz w:val="22"/>
          <w:szCs w:val="22"/>
        </w:rPr>
      </w:pPr>
      <w:r w:rsidRPr="00976F94">
        <w:rPr>
          <w:sz w:val="22"/>
          <w:szCs w:val="22"/>
        </w:rPr>
        <w:t xml:space="preserve">Office of National Statistics (2023) </w:t>
      </w:r>
      <w:r w:rsidRPr="00976F94">
        <w:rPr>
          <w:i/>
          <w:iCs/>
          <w:sz w:val="22"/>
          <w:szCs w:val="22"/>
        </w:rPr>
        <w:t xml:space="preserve">Domestic abuse in England and Wales overview: November 2023. </w:t>
      </w:r>
      <w:r w:rsidRPr="00976F94">
        <w:rPr>
          <w:sz w:val="22"/>
          <w:szCs w:val="22"/>
        </w:rPr>
        <w:t xml:space="preserve">Available at: </w:t>
      </w:r>
      <w:hyperlink r:id="rId34" w:history="1">
        <w:r w:rsidRPr="00976F94">
          <w:rPr>
            <w:rStyle w:val="Hyperlink"/>
            <w:sz w:val="22"/>
            <w:szCs w:val="22"/>
          </w:rPr>
          <w:t>https://www.ons.gov.uk/peoplepopulationandcommunity/crimeandjustice/bulletins/domesticabuseinenglandandwalesoverview/november2023</w:t>
        </w:r>
      </w:hyperlink>
      <w:r w:rsidRPr="00976F94">
        <w:rPr>
          <w:sz w:val="22"/>
          <w:szCs w:val="22"/>
        </w:rPr>
        <w:t xml:space="preserve"> (Accessed 16 July 2024)</w:t>
      </w:r>
    </w:p>
    <w:p w14:paraId="113FCCBF" w14:textId="77777777" w:rsidR="00A553A1" w:rsidRDefault="00A553A1" w:rsidP="00FC64FC">
      <w:pPr>
        <w:spacing w:line="360" w:lineRule="auto"/>
        <w:rPr>
          <w:i/>
          <w:iCs/>
          <w:sz w:val="22"/>
          <w:szCs w:val="22"/>
        </w:rPr>
      </w:pPr>
    </w:p>
    <w:p w14:paraId="404844CA" w14:textId="24F97665" w:rsidR="00FC64FC" w:rsidRPr="00976F94" w:rsidRDefault="00FC64FC" w:rsidP="00FC64FC">
      <w:pPr>
        <w:spacing w:line="360" w:lineRule="auto"/>
        <w:rPr>
          <w:sz w:val="22"/>
          <w:szCs w:val="22"/>
        </w:rPr>
      </w:pPr>
      <w:r w:rsidRPr="00976F94">
        <w:rPr>
          <w:i/>
          <w:iCs/>
          <w:sz w:val="22"/>
          <w:szCs w:val="22"/>
        </w:rPr>
        <w:t xml:space="preserve">Police, Crime, Sentencing and Courts Act 2022, c.32. </w:t>
      </w:r>
      <w:r w:rsidRPr="00976F94">
        <w:rPr>
          <w:sz w:val="22"/>
          <w:szCs w:val="22"/>
        </w:rPr>
        <w:t xml:space="preserve">Available at: </w:t>
      </w:r>
      <w:hyperlink r:id="rId35" w:history="1">
        <w:r w:rsidRPr="00976F94">
          <w:rPr>
            <w:rStyle w:val="Hyperlink"/>
            <w:sz w:val="22"/>
            <w:szCs w:val="22"/>
          </w:rPr>
          <w:t>https://www.legislation.gov.uk/ukpga/2022/32/section/49/enacted</w:t>
        </w:r>
      </w:hyperlink>
      <w:r w:rsidRPr="00976F94">
        <w:rPr>
          <w:sz w:val="22"/>
          <w:szCs w:val="22"/>
        </w:rPr>
        <w:t xml:space="preserve"> (Accessed 16 July 2024).</w:t>
      </w:r>
    </w:p>
    <w:p w14:paraId="76296DC5" w14:textId="77777777" w:rsidR="00A553A1" w:rsidRDefault="00A553A1" w:rsidP="00FC64FC">
      <w:pPr>
        <w:spacing w:line="360" w:lineRule="auto"/>
        <w:rPr>
          <w:i/>
          <w:iCs/>
          <w:sz w:val="22"/>
          <w:szCs w:val="22"/>
        </w:rPr>
      </w:pPr>
    </w:p>
    <w:p w14:paraId="2F83C07E" w14:textId="579E7CDF" w:rsidR="00FC64FC" w:rsidRPr="00976F94" w:rsidRDefault="00FC64FC" w:rsidP="00FC64FC">
      <w:pPr>
        <w:spacing w:line="360" w:lineRule="auto"/>
        <w:rPr>
          <w:sz w:val="22"/>
          <w:szCs w:val="22"/>
        </w:rPr>
      </w:pPr>
      <w:r w:rsidRPr="00976F94">
        <w:rPr>
          <w:i/>
          <w:iCs/>
          <w:sz w:val="22"/>
          <w:szCs w:val="22"/>
        </w:rPr>
        <w:t>Youth Justice and Criminal Evidence Act 1999, c. 23</w:t>
      </w:r>
      <w:r w:rsidRPr="00976F94">
        <w:rPr>
          <w:sz w:val="22"/>
          <w:szCs w:val="22"/>
        </w:rPr>
        <w:t xml:space="preserve">. Available at: </w:t>
      </w:r>
      <w:hyperlink r:id="rId36" w:history="1">
        <w:r w:rsidRPr="00976F94">
          <w:rPr>
            <w:rStyle w:val="Hyperlink"/>
            <w:sz w:val="22"/>
            <w:szCs w:val="22"/>
          </w:rPr>
          <w:t>https://www.legislation.gov.uk/ukpga/1999/23/part/II/chapter/I</w:t>
        </w:r>
      </w:hyperlink>
      <w:r w:rsidRPr="00976F94">
        <w:rPr>
          <w:sz w:val="22"/>
          <w:szCs w:val="22"/>
        </w:rPr>
        <w:t xml:space="preserve"> (Accessed 16 July 2024).</w:t>
      </w:r>
    </w:p>
    <w:p w14:paraId="77C7A3D5" w14:textId="77777777" w:rsidR="00A553A1" w:rsidRDefault="00A553A1" w:rsidP="00FC64FC">
      <w:pPr>
        <w:spacing w:line="360" w:lineRule="auto"/>
        <w:rPr>
          <w:sz w:val="22"/>
          <w:szCs w:val="22"/>
        </w:rPr>
      </w:pPr>
    </w:p>
    <w:p w14:paraId="6C7C63B5" w14:textId="2E651AF3" w:rsidR="00FC64FC" w:rsidRPr="00976F94" w:rsidRDefault="00FC64FC" w:rsidP="00FC64FC">
      <w:pPr>
        <w:spacing w:line="360" w:lineRule="auto"/>
        <w:rPr>
          <w:sz w:val="22"/>
          <w:szCs w:val="22"/>
        </w:rPr>
      </w:pPr>
      <w:r w:rsidRPr="00976F94">
        <w:rPr>
          <w:sz w:val="22"/>
          <w:szCs w:val="22"/>
        </w:rPr>
        <w:t xml:space="preserve">Zahid, A. (2021). </w:t>
      </w:r>
      <w:r w:rsidRPr="00976F94">
        <w:rPr>
          <w:i/>
          <w:iCs/>
          <w:sz w:val="22"/>
          <w:szCs w:val="22"/>
        </w:rPr>
        <w:t>Domestic abuse: Police urged to act after three-quarters of cases fail to end in charges</w:t>
      </w:r>
      <w:r w:rsidRPr="00976F94">
        <w:rPr>
          <w:sz w:val="22"/>
          <w:szCs w:val="22"/>
        </w:rPr>
        <w:t xml:space="preserve">. Sky News, [online]. Available at: </w:t>
      </w:r>
      <w:hyperlink r:id="rId37" w:history="1">
        <w:r w:rsidRPr="00976F94">
          <w:rPr>
            <w:rStyle w:val="Hyperlink"/>
            <w:sz w:val="22"/>
            <w:szCs w:val="22"/>
          </w:rPr>
          <w:t>https://news.sky.com/story/domestic-abuse-police-urged-to-act-after-three-quarters-of-cases-fail-to-end-in-charges-12339580</w:t>
        </w:r>
      </w:hyperlink>
      <w:r w:rsidRPr="00976F94">
        <w:rPr>
          <w:sz w:val="22"/>
          <w:szCs w:val="22"/>
        </w:rPr>
        <w:t xml:space="preserve"> (Accessed 16 July 2024).</w:t>
      </w:r>
    </w:p>
    <w:p w14:paraId="5E63A04A" w14:textId="77777777" w:rsidR="00FC64FC" w:rsidRDefault="00FC64FC" w:rsidP="00EA28F1">
      <w:pPr>
        <w:keepNext/>
        <w:spacing w:before="240" w:after="60"/>
        <w:ind w:right="237"/>
        <w:jc w:val="both"/>
      </w:pPr>
    </w:p>
    <w:sectPr w:rsidR="00FC64FC" w:rsidSect="003D646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D80EFC" w14:textId="77777777" w:rsidR="00C73913" w:rsidRDefault="00C73913">
      <w:r>
        <w:separator/>
      </w:r>
    </w:p>
  </w:endnote>
  <w:endnote w:type="continuationSeparator" w:id="0">
    <w:p w14:paraId="4CC2CEC4" w14:textId="77777777" w:rsidR="00C73913" w:rsidRDefault="00C739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6AD662" w14:textId="77777777" w:rsidR="00C73913" w:rsidRDefault="00C73913">
      <w:r>
        <w:separator/>
      </w:r>
    </w:p>
  </w:footnote>
  <w:footnote w:type="continuationSeparator" w:id="0">
    <w:p w14:paraId="7001867E" w14:textId="77777777" w:rsidR="00C73913" w:rsidRDefault="00C7391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1E4A30"/>
    <w:multiLevelType w:val="hybridMultilevel"/>
    <w:tmpl w:val="F28A4E7A"/>
    <w:lvl w:ilvl="0" w:tplc="24F4F4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1"/>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3"/>
  </w:num>
  <w:num w:numId="5" w16cid:durableId="681973665">
    <w:abstractNumId w:val="45"/>
  </w:num>
  <w:num w:numId="6" w16cid:durableId="2030257421">
    <w:abstractNumId w:val="47"/>
  </w:num>
  <w:num w:numId="7" w16cid:durableId="1001156350">
    <w:abstractNumId w:val="35"/>
  </w:num>
  <w:num w:numId="8" w16cid:durableId="693071113">
    <w:abstractNumId w:val="33"/>
  </w:num>
  <w:num w:numId="9" w16cid:durableId="1461191123">
    <w:abstractNumId w:val="30"/>
  </w:num>
  <w:num w:numId="10" w16cid:durableId="47804158">
    <w:abstractNumId w:val="31"/>
  </w:num>
  <w:num w:numId="11" w16cid:durableId="1906380597">
    <w:abstractNumId w:val="10"/>
  </w:num>
  <w:num w:numId="12" w16cid:durableId="1916237999">
    <w:abstractNumId w:val="34"/>
  </w:num>
  <w:num w:numId="13" w16cid:durableId="101875315">
    <w:abstractNumId w:val="18"/>
  </w:num>
  <w:num w:numId="14" w16cid:durableId="1284531750">
    <w:abstractNumId w:val="17"/>
  </w:num>
  <w:num w:numId="15" w16cid:durableId="2067952899">
    <w:abstractNumId w:val="27"/>
  </w:num>
  <w:num w:numId="16" w16cid:durableId="1798572232">
    <w:abstractNumId w:val="7"/>
  </w:num>
  <w:num w:numId="17" w16cid:durableId="1574390430">
    <w:abstractNumId w:val="26"/>
  </w:num>
  <w:num w:numId="18" w16cid:durableId="2029672228">
    <w:abstractNumId w:val="16"/>
  </w:num>
  <w:num w:numId="19" w16cid:durableId="1446851564">
    <w:abstractNumId w:val="14"/>
  </w:num>
  <w:num w:numId="20" w16cid:durableId="44442252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4"/>
  </w:num>
  <w:num w:numId="22" w16cid:durableId="555354352">
    <w:abstractNumId w:val="19"/>
  </w:num>
  <w:num w:numId="23" w16cid:durableId="398673831">
    <w:abstractNumId w:val="15"/>
  </w:num>
  <w:num w:numId="24" w16cid:durableId="182718511">
    <w:abstractNumId w:val="12"/>
  </w:num>
  <w:num w:numId="25" w16cid:durableId="741802029">
    <w:abstractNumId w:val="28"/>
  </w:num>
  <w:num w:numId="26" w16cid:durableId="1650397480">
    <w:abstractNumId w:val="20"/>
  </w:num>
  <w:num w:numId="27" w16cid:durableId="797259064">
    <w:abstractNumId w:val="41"/>
  </w:num>
  <w:num w:numId="28" w16cid:durableId="1722634903">
    <w:abstractNumId w:val="36"/>
  </w:num>
  <w:num w:numId="29" w16cid:durableId="1249390611">
    <w:abstractNumId w:val="40"/>
  </w:num>
  <w:num w:numId="30" w16cid:durableId="1344282584">
    <w:abstractNumId w:val="21"/>
  </w:num>
  <w:num w:numId="31" w16cid:durableId="1746609829">
    <w:abstractNumId w:val="43"/>
  </w:num>
  <w:num w:numId="32" w16cid:durableId="1988586761">
    <w:abstractNumId w:val="32"/>
  </w:num>
  <w:num w:numId="33" w16cid:durableId="1557475669">
    <w:abstractNumId w:val="13"/>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5"/>
  </w:num>
  <w:num w:numId="44" w16cid:durableId="865367823">
    <w:abstractNumId w:val="6"/>
  </w:num>
  <w:num w:numId="45" w16cid:durableId="30696390">
    <w:abstractNumId w:val="2"/>
  </w:num>
  <w:num w:numId="46" w16cid:durableId="2036300638">
    <w:abstractNumId w:val="0"/>
  </w:num>
  <w:num w:numId="47" w16cid:durableId="1663193171">
    <w:abstractNumId w:val="22"/>
  </w:num>
  <w:num w:numId="48" w16cid:durableId="1686589403">
    <w:abstractNumId w:val="29"/>
  </w:num>
  <w:num w:numId="49" w16cid:durableId="339695764">
    <w:abstractNumId w:val="49"/>
  </w:num>
  <w:num w:numId="50" w16cid:durableId="424961094">
    <w:abstractNumId w:va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D5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C91"/>
    <w:rsid w:val="000A4240"/>
    <w:rsid w:val="000A43CE"/>
    <w:rsid w:val="000A469A"/>
    <w:rsid w:val="000B1E96"/>
    <w:rsid w:val="000B362E"/>
    <w:rsid w:val="000C378F"/>
    <w:rsid w:val="000C6892"/>
    <w:rsid w:val="000C6FFE"/>
    <w:rsid w:val="000D0BB6"/>
    <w:rsid w:val="000D18E2"/>
    <w:rsid w:val="000E26B0"/>
    <w:rsid w:val="000E7FB6"/>
    <w:rsid w:val="000F1599"/>
    <w:rsid w:val="000F1769"/>
    <w:rsid w:val="000F6196"/>
    <w:rsid w:val="000F7ECD"/>
    <w:rsid w:val="00102E64"/>
    <w:rsid w:val="0010312C"/>
    <w:rsid w:val="00106DC7"/>
    <w:rsid w:val="00112391"/>
    <w:rsid w:val="00113907"/>
    <w:rsid w:val="00114F52"/>
    <w:rsid w:val="0012135C"/>
    <w:rsid w:val="00130E83"/>
    <w:rsid w:val="001347F8"/>
    <w:rsid w:val="00137BB5"/>
    <w:rsid w:val="00137E05"/>
    <w:rsid w:val="001447F6"/>
    <w:rsid w:val="00147DE3"/>
    <w:rsid w:val="00150794"/>
    <w:rsid w:val="001608C4"/>
    <w:rsid w:val="00171418"/>
    <w:rsid w:val="0019040F"/>
    <w:rsid w:val="00190913"/>
    <w:rsid w:val="001956AC"/>
    <w:rsid w:val="001961CF"/>
    <w:rsid w:val="001A59BB"/>
    <w:rsid w:val="001A5CCB"/>
    <w:rsid w:val="001A6A51"/>
    <w:rsid w:val="001A79C4"/>
    <w:rsid w:val="001B0B47"/>
    <w:rsid w:val="001B16D1"/>
    <w:rsid w:val="001B331A"/>
    <w:rsid w:val="001C0E74"/>
    <w:rsid w:val="001C6CEC"/>
    <w:rsid w:val="001D2282"/>
    <w:rsid w:val="001D229F"/>
    <w:rsid w:val="001D6162"/>
    <w:rsid w:val="001E5BBC"/>
    <w:rsid w:val="001E6FAD"/>
    <w:rsid w:val="001E7592"/>
    <w:rsid w:val="001F3878"/>
    <w:rsid w:val="001F4552"/>
    <w:rsid w:val="00200059"/>
    <w:rsid w:val="002019EB"/>
    <w:rsid w:val="002030F2"/>
    <w:rsid w:val="00205051"/>
    <w:rsid w:val="002104A3"/>
    <w:rsid w:val="00211F65"/>
    <w:rsid w:val="00213A97"/>
    <w:rsid w:val="0022001B"/>
    <w:rsid w:val="00220D06"/>
    <w:rsid w:val="002219BA"/>
    <w:rsid w:val="002246A0"/>
    <w:rsid w:val="00224AF9"/>
    <w:rsid w:val="00230439"/>
    <w:rsid w:val="00235176"/>
    <w:rsid w:val="00236061"/>
    <w:rsid w:val="0024100E"/>
    <w:rsid w:val="00241C1B"/>
    <w:rsid w:val="002421D9"/>
    <w:rsid w:val="002423B2"/>
    <w:rsid w:val="0024288B"/>
    <w:rsid w:val="00250408"/>
    <w:rsid w:val="00255D8E"/>
    <w:rsid w:val="002657E9"/>
    <w:rsid w:val="0026665E"/>
    <w:rsid w:val="00270EEB"/>
    <w:rsid w:val="0027147E"/>
    <w:rsid w:val="00274DE8"/>
    <w:rsid w:val="002761F4"/>
    <w:rsid w:val="002775E1"/>
    <w:rsid w:val="00277979"/>
    <w:rsid w:val="002808EB"/>
    <w:rsid w:val="0028095D"/>
    <w:rsid w:val="00287774"/>
    <w:rsid w:val="00291ADD"/>
    <w:rsid w:val="00292BFF"/>
    <w:rsid w:val="00294868"/>
    <w:rsid w:val="00295CA1"/>
    <w:rsid w:val="002A291A"/>
    <w:rsid w:val="002A5604"/>
    <w:rsid w:val="002B1701"/>
    <w:rsid w:val="002B23C3"/>
    <w:rsid w:val="002B443A"/>
    <w:rsid w:val="002B5B35"/>
    <w:rsid w:val="002B78D3"/>
    <w:rsid w:val="002C256A"/>
    <w:rsid w:val="002C496D"/>
    <w:rsid w:val="002D05EB"/>
    <w:rsid w:val="002D1AD7"/>
    <w:rsid w:val="002D2F29"/>
    <w:rsid w:val="002D2FD3"/>
    <w:rsid w:val="002E2EC8"/>
    <w:rsid w:val="002E7017"/>
    <w:rsid w:val="002F183C"/>
    <w:rsid w:val="002F4F6E"/>
    <w:rsid w:val="003015C3"/>
    <w:rsid w:val="0030698D"/>
    <w:rsid w:val="0031350A"/>
    <w:rsid w:val="0031411F"/>
    <w:rsid w:val="00316815"/>
    <w:rsid w:val="003168CA"/>
    <w:rsid w:val="00321255"/>
    <w:rsid w:val="0032230D"/>
    <w:rsid w:val="00322A0B"/>
    <w:rsid w:val="00323520"/>
    <w:rsid w:val="00332F54"/>
    <w:rsid w:val="00334A91"/>
    <w:rsid w:val="00335FC5"/>
    <w:rsid w:val="00336205"/>
    <w:rsid w:val="00340E9A"/>
    <w:rsid w:val="0035068E"/>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97802"/>
    <w:rsid w:val="003A0C37"/>
    <w:rsid w:val="003A1B6B"/>
    <w:rsid w:val="003A2F82"/>
    <w:rsid w:val="003A46C0"/>
    <w:rsid w:val="003A600E"/>
    <w:rsid w:val="003A6513"/>
    <w:rsid w:val="003B16C7"/>
    <w:rsid w:val="003B1CD9"/>
    <w:rsid w:val="003C19F1"/>
    <w:rsid w:val="003C4186"/>
    <w:rsid w:val="003C458C"/>
    <w:rsid w:val="003C6185"/>
    <w:rsid w:val="003C73D5"/>
    <w:rsid w:val="003D0D2D"/>
    <w:rsid w:val="003D4710"/>
    <w:rsid w:val="003D6461"/>
    <w:rsid w:val="003E1656"/>
    <w:rsid w:val="003E16D7"/>
    <w:rsid w:val="003E197E"/>
    <w:rsid w:val="003E4363"/>
    <w:rsid w:val="003F16D6"/>
    <w:rsid w:val="004046F0"/>
    <w:rsid w:val="0040668F"/>
    <w:rsid w:val="00412677"/>
    <w:rsid w:val="00413AAE"/>
    <w:rsid w:val="00417925"/>
    <w:rsid w:val="004227E0"/>
    <w:rsid w:val="004234F0"/>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64CE"/>
    <w:rsid w:val="004672C1"/>
    <w:rsid w:val="00470BB1"/>
    <w:rsid w:val="004718F7"/>
    <w:rsid w:val="00473153"/>
    <w:rsid w:val="0047318F"/>
    <w:rsid w:val="004743AF"/>
    <w:rsid w:val="00481CD8"/>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90F"/>
    <w:rsid w:val="00510D15"/>
    <w:rsid w:val="00510D6A"/>
    <w:rsid w:val="00513C7D"/>
    <w:rsid w:val="005169D1"/>
    <w:rsid w:val="00521123"/>
    <w:rsid w:val="00521221"/>
    <w:rsid w:val="005257FC"/>
    <w:rsid w:val="00536C90"/>
    <w:rsid w:val="00536FA9"/>
    <w:rsid w:val="005414F4"/>
    <w:rsid w:val="00546187"/>
    <w:rsid w:val="005463F1"/>
    <w:rsid w:val="00557D77"/>
    <w:rsid w:val="00561FDB"/>
    <w:rsid w:val="00562EAA"/>
    <w:rsid w:val="00563B58"/>
    <w:rsid w:val="00563C5E"/>
    <w:rsid w:val="005640C4"/>
    <w:rsid w:val="00564C53"/>
    <w:rsid w:val="0056684C"/>
    <w:rsid w:val="00574A0C"/>
    <w:rsid w:val="00576E4C"/>
    <w:rsid w:val="0057780F"/>
    <w:rsid w:val="00581E0A"/>
    <w:rsid w:val="00582870"/>
    <w:rsid w:val="00586D89"/>
    <w:rsid w:val="005911C7"/>
    <w:rsid w:val="005916B8"/>
    <w:rsid w:val="00593D00"/>
    <w:rsid w:val="005A1B4C"/>
    <w:rsid w:val="005A1BA3"/>
    <w:rsid w:val="005A545C"/>
    <w:rsid w:val="005C1567"/>
    <w:rsid w:val="005C6CE5"/>
    <w:rsid w:val="005C76DE"/>
    <w:rsid w:val="005D355A"/>
    <w:rsid w:val="005D3F07"/>
    <w:rsid w:val="005D583E"/>
    <w:rsid w:val="005E13EA"/>
    <w:rsid w:val="005E2BB9"/>
    <w:rsid w:val="005E53BD"/>
    <w:rsid w:val="005E799C"/>
    <w:rsid w:val="00606E27"/>
    <w:rsid w:val="006108C9"/>
    <w:rsid w:val="00615C7E"/>
    <w:rsid w:val="0062158D"/>
    <w:rsid w:val="00626A81"/>
    <w:rsid w:val="00630F39"/>
    <w:rsid w:val="0063268D"/>
    <w:rsid w:val="006326D1"/>
    <w:rsid w:val="00632E0A"/>
    <w:rsid w:val="00633165"/>
    <w:rsid w:val="00636291"/>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97443"/>
    <w:rsid w:val="006A7A6D"/>
    <w:rsid w:val="006B1322"/>
    <w:rsid w:val="006B5E67"/>
    <w:rsid w:val="006C17F5"/>
    <w:rsid w:val="006C2EB5"/>
    <w:rsid w:val="006D18A3"/>
    <w:rsid w:val="006D266A"/>
    <w:rsid w:val="006D2CDD"/>
    <w:rsid w:val="006D5970"/>
    <w:rsid w:val="006E481E"/>
    <w:rsid w:val="006E795F"/>
    <w:rsid w:val="00700249"/>
    <w:rsid w:val="0070604C"/>
    <w:rsid w:val="007069CD"/>
    <w:rsid w:val="00710D69"/>
    <w:rsid w:val="007110E6"/>
    <w:rsid w:val="00711A70"/>
    <w:rsid w:val="00712E6F"/>
    <w:rsid w:val="00712E90"/>
    <w:rsid w:val="00713B7E"/>
    <w:rsid w:val="00714647"/>
    <w:rsid w:val="0071499F"/>
    <w:rsid w:val="00715A93"/>
    <w:rsid w:val="007203DA"/>
    <w:rsid w:val="007204AE"/>
    <w:rsid w:val="0072678F"/>
    <w:rsid w:val="00727C4C"/>
    <w:rsid w:val="00734809"/>
    <w:rsid w:val="0073644B"/>
    <w:rsid w:val="007406E1"/>
    <w:rsid w:val="00743E40"/>
    <w:rsid w:val="00751263"/>
    <w:rsid w:val="00753987"/>
    <w:rsid w:val="00755265"/>
    <w:rsid w:val="0075704F"/>
    <w:rsid w:val="00763B2D"/>
    <w:rsid w:val="00772924"/>
    <w:rsid w:val="00773B38"/>
    <w:rsid w:val="007741E5"/>
    <w:rsid w:val="00784EC4"/>
    <w:rsid w:val="00785F43"/>
    <w:rsid w:val="007872F2"/>
    <w:rsid w:val="007874BC"/>
    <w:rsid w:val="007908E0"/>
    <w:rsid w:val="00793EB3"/>
    <w:rsid w:val="00794205"/>
    <w:rsid w:val="00797012"/>
    <w:rsid w:val="007A1F6A"/>
    <w:rsid w:val="007A6368"/>
    <w:rsid w:val="007B0DE3"/>
    <w:rsid w:val="007B491F"/>
    <w:rsid w:val="007B5CB2"/>
    <w:rsid w:val="007B7191"/>
    <w:rsid w:val="007C1634"/>
    <w:rsid w:val="007C1D94"/>
    <w:rsid w:val="007C2879"/>
    <w:rsid w:val="007C6A87"/>
    <w:rsid w:val="007C705D"/>
    <w:rsid w:val="007D0A07"/>
    <w:rsid w:val="007D0C96"/>
    <w:rsid w:val="007D133D"/>
    <w:rsid w:val="007D2840"/>
    <w:rsid w:val="007D3EB4"/>
    <w:rsid w:val="007D3F16"/>
    <w:rsid w:val="007D78CC"/>
    <w:rsid w:val="007F3F7E"/>
    <w:rsid w:val="007F5497"/>
    <w:rsid w:val="007F5EC9"/>
    <w:rsid w:val="007F71EA"/>
    <w:rsid w:val="008121F9"/>
    <w:rsid w:val="00813500"/>
    <w:rsid w:val="00813CEC"/>
    <w:rsid w:val="0081534C"/>
    <w:rsid w:val="008171E4"/>
    <w:rsid w:val="008208EA"/>
    <w:rsid w:val="00821839"/>
    <w:rsid w:val="00823655"/>
    <w:rsid w:val="00824E67"/>
    <w:rsid w:val="00825A64"/>
    <w:rsid w:val="00826F48"/>
    <w:rsid w:val="008272D5"/>
    <w:rsid w:val="008308AE"/>
    <w:rsid w:val="0083166E"/>
    <w:rsid w:val="00831DC3"/>
    <w:rsid w:val="008322C7"/>
    <w:rsid w:val="00834933"/>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2D39"/>
    <w:rsid w:val="008859E8"/>
    <w:rsid w:val="0088737B"/>
    <w:rsid w:val="00892716"/>
    <w:rsid w:val="00893067"/>
    <w:rsid w:val="008933DE"/>
    <w:rsid w:val="00895C85"/>
    <w:rsid w:val="00895FCE"/>
    <w:rsid w:val="00897F3E"/>
    <w:rsid w:val="008A1BA8"/>
    <w:rsid w:val="008A21B4"/>
    <w:rsid w:val="008A4576"/>
    <w:rsid w:val="008B07DE"/>
    <w:rsid w:val="008B1BEE"/>
    <w:rsid w:val="008B28E7"/>
    <w:rsid w:val="008C14C7"/>
    <w:rsid w:val="008C2FFB"/>
    <w:rsid w:val="008C6EEA"/>
    <w:rsid w:val="008D5813"/>
    <w:rsid w:val="008D634E"/>
    <w:rsid w:val="008D778A"/>
    <w:rsid w:val="008E07C7"/>
    <w:rsid w:val="008E67A2"/>
    <w:rsid w:val="008F22BD"/>
    <w:rsid w:val="009079BD"/>
    <w:rsid w:val="00912BD9"/>
    <w:rsid w:val="00913381"/>
    <w:rsid w:val="00916CFB"/>
    <w:rsid w:val="0091702A"/>
    <w:rsid w:val="00920E5B"/>
    <w:rsid w:val="009249F8"/>
    <w:rsid w:val="00926436"/>
    <w:rsid w:val="0093018C"/>
    <w:rsid w:val="00932CCA"/>
    <w:rsid w:val="0093553D"/>
    <w:rsid w:val="0094189D"/>
    <w:rsid w:val="00952258"/>
    <w:rsid w:val="009544C0"/>
    <w:rsid w:val="00954895"/>
    <w:rsid w:val="00954FA4"/>
    <w:rsid w:val="00956AE9"/>
    <w:rsid w:val="00964CC6"/>
    <w:rsid w:val="00976F94"/>
    <w:rsid w:val="00977341"/>
    <w:rsid w:val="00991FDA"/>
    <w:rsid w:val="009927A1"/>
    <w:rsid w:val="0099774D"/>
    <w:rsid w:val="009A310E"/>
    <w:rsid w:val="009A5F3B"/>
    <w:rsid w:val="009B0B61"/>
    <w:rsid w:val="009B28C0"/>
    <w:rsid w:val="009B2E9B"/>
    <w:rsid w:val="009B3267"/>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3A1"/>
    <w:rsid w:val="00A55A3F"/>
    <w:rsid w:val="00A56BC4"/>
    <w:rsid w:val="00A652F6"/>
    <w:rsid w:val="00A65C9C"/>
    <w:rsid w:val="00A732EA"/>
    <w:rsid w:val="00A7489E"/>
    <w:rsid w:val="00A8015F"/>
    <w:rsid w:val="00A80BD2"/>
    <w:rsid w:val="00A85039"/>
    <w:rsid w:val="00A851F7"/>
    <w:rsid w:val="00A906AA"/>
    <w:rsid w:val="00A94C5E"/>
    <w:rsid w:val="00AA241A"/>
    <w:rsid w:val="00AA252C"/>
    <w:rsid w:val="00AA666E"/>
    <w:rsid w:val="00AB471A"/>
    <w:rsid w:val="00AB5518"/>
    <w:rsid w:val="00AB7050"/>
    <w:rsid w:val="00AC01D4"/>
    <w:rsid w:val="00AC3989"/>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27217"/>
    <w:rsid w:val="00B31C91"/>
    <w:rsid w:val="00B3747F"/>
    <w:rsid w:val="00B43194"/>
    <w:rsid w:val="00B47734"/>
    <w:rsid w:val="00B50FBA"/>
    <w:rsid w:val="00B558EB"/>
    <w:rsid w:val="00B577D3"/>
    <w:rsid w:val="00B60466"/>
    <w:rsid w:val="00B6548F"/>
    <w:rsid w:val="00B7502A"/>
    <w:rsid w:val="00B77305"/>
    <w:rsid w:val="00B82CC2"/>
    <w:rsid w:val="00B8403A"/>
    <w:rsid w:val="00B84A89"/>
    <w:rsid w:val="00B92BEF"/>
    <w:rsid w:val="00B9689A"/>
    <w:rsid w:val="00BA074B"/>
    <w:rsid w:val="00BA1FFA"/>
    <w:rsid w:val="00BA2666"/>
    <w:rsid w:val="00BA7FF1"/>
    <w:rsid w:val="00BB06CB"/>
    <w:rsid w:val="00BB261F"/>
    <w:rsid w:val="00BB2887"/>
    <w:rsid w:val="00BB5A50"/>
    <w:rsid w:val="00BB5EAA"/>
    <w:rsid w:val="00BB5F11"/>
    <w:rsid w:val="00BC0401"/>
    <w:rsid w:val="00BC04FA"/>
    <w:rsid w:val="00BC1C22"/>
    <w:rsid w:val="00BC460B"/>
    <w:rsid w:val="00BC5725"/>
    <w:rsid w:val="00BC7670"/>
    <w:rsid w:val="00BD30B1"/>
    <w:rsid w:val="00BE0F7B"/>
    <w:rsid w:val="00BE10C2"/>
    <w:rsid w:val="00BF5F5A"/>
    <w:rsid w:val="00BF6C2F"/>
    <w:rsid w:val="00C01D14"/>
    <w:rsid w:val="00C025B4"/>
    <w:rsid w:val="00C0275F"/>
    <w:rsid w:val="00C0704D"/>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4F3"/>
    <w:rsid w:val="00C60535"/>
    <w:rsid w:val="00C622D7"/>
    <w:rsid w:val="00C63D00"/>
    <w:rsid w:val="00C6441B"/>
    <w:rsid w:val="00C7108B"/>
    <w:rsid w:val="00C73913"/>
    <w:rsid w:val="00C8089F"/>
    <w:rsid w:val="00C825B4"/>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2AA3"/>
    <w:rsid w:val="00CE7C1B"/>
    <w:rsid w:val="00CF1E90"/>
    <w:rsid w:val="00CF3DB3"/>
    <w:rsid w:val="00D052BC"/>
    <w:rsid w:val="00D05BC2"/>
    <w:rsid w:val="00D07026"/>
    <w:rsid w:val="00D07BAB"/>
    <w:rsid w:val="00D11C62"/>
    <w:rsid w:val="00D175E9"/>
    <w:rsid w:val="00D20809"/>
    <w:rsid w:val="00D22C8F"/>
    <w:rsid w:val="00D24208"/>
    <w:rsid w:val="00D31A60"/>
    <w:rsid w:val="00D33384"/>
    <w:rsid w:val="00D33491"/>
    <w:rsid w:val="00D3719B"/>
    <w:rsid w:val="00D3796E"/>
    <w:rsid w:val="00D44F8E"/>
    <w:rsid w:val="00D44FD0"/>
    <w:rsid w:val="00D53BCF"/>
    <w:rsid w:val="00D5733C"/>
    <w:rsid w:val="00D607EF"/>
    <w:rsid w:val="00D60F88"/>
    <w:rsid w:val="00D625E7"/>
    <w:rsid w:val="00D63A3C"/>
    <w:rsid w:val="00D646BD"/>
    <w:rsid w:val="00D70239"/>
    <w:rsid w:val="00D71201"/>
    <w:rsid w:val="00D720C7"/>
    <w:rsid w:val="00D77A04"/>
    <w:rsid w:val="00D81D06"/>
    <w:rsid w:val="00D8652C"/>
    <w:rsid w:val="00D86DD5"/>
    <w:rsid w:val="00D876E6"/>
    <w:rsid w:val="00DA1025"/>
    <w:rsid w:val="00DA22EC"/>
    <w:rsid w:val="00DA2DD5"/>
    <w:rsid w:val="00DA4535"/>
    <w:rsid w:val="00DA5860"/>
    <w:rsid w:val="00DB2767"/>
    <w:rsid w:val="00DC2438"/>
    <w:rsid w:val="00DC2F89"/>
    <w:rsid w:val="00DC4729"/>
    <w:rsid w:val="00DC496E"/>
    <w:rsid w:val="00DE556F"/>
    <w:rsid w:val="00DF3CCB"/>
    <w:rsid w:val="00DF4179"/>
    <w:rsid w:val="00E03B6D"/>
    <w:rsid w:val="00E043D2"/>
    <w:rsid w:val="00E0649E"/>
    <w:rsid w:val="00E100F2"/>
    <w:rsid w:val="00E102CE"/>
    <w:rsid w:val="00E1343F"/>
    <w:rsid w:val="00E17160"/>
    <w:rsid w:val="00E225EA"/>
    <w:rsid w:val="00E31332"/>
    <w:rsid w:val="00E35BEC"/>
    <w:rsid w:val="00E47965"/>
    <w:rsid w:val="00E50821"/>
    <w:rsid w:val="00E50EF8"/>
    <w:rsid w:val="00E51F91"/>
    <w:rsid w:val="00E538F3"/>
    <w:rsid w:val="00E56A0F"/>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4C3B"/>
    <w:rsid w:val="00EB62E6"/>
    <w:rsid w:val="00ED1B30"/>
    <w:rsid w:val="00ED250E"/>
    <w:rsid w:val="00ED6535"/>
    <w:rsid w:val="00ED7AB7"/>
    <w:rsid w:val="00EE0641"/>
    <w:rsid w:val="00EE1AC1"/>
    <w:rsid w:val="00EE39D6"/>
    <w:rsid w:val="00EE413C"/>
    <w:rsid w:val="00EE52AD"/>
    <w:rsid w:val="00EF1113"/>
    <w:rsid w:val="00F01F92"/>
    <w:rsid w:val="00F040CC"/>
    <w:rsid w:val="00F054EE"/>
    <w:rsid w:val="00F10A08"/>
    <w:rsid w:val="00F139CF"/>
    <w:rsid w:val="00F22AC5"/>
    <w:rsid w:val="00F23179"/>
    <w:rsid w:val="00F254D1"/>
    <w:rsid w:val="00F32B82"/>
    <w:rsid w:val="00F36343"/>
    <w:rsid w:val="00F4043E"/>
    <w:rsid w:val="00F40CB5"/>
    <w:rsid w:val="00F41BBC"/>
    <w:rsid w:val="00F43B9D"/>
    <w:rsid w:val="00F444F0"/>
    <w:rsid w:val="00F44F03"/>
    <w:rsid w:val="00F50847"/>
    <w:rsid w:val="00F53F27"/>
    <w:rsid w:val="00F546D1"/>
    <w:rsid w:val="00F6513F"/>
    <w:rsid w:val="00F66272"/>
    <w:rsid w:val="00F6ACA0"/>
    <w:rsid w:val="00F709C0"/>
    <w:rsid w:val="00F74C74"/>
    <w:rsid w:val="00F82463"/>
    <w:rsid w:val="00F8610A"/>
    <w:rsid w:val="00F927A1"/>
    <w:rsid w:val="00F92E4D"/>
    <w:rsid w:val="00F94392"/>
    <w:rsid w:val="00FA2EED"/>
    <w:rsid w:val="00FA3764"/>
    <w:rsid w:val="00FA56ED"/>
    <w:rsid w:val="00FA58C7"/>
    <w:rsid w:val="00FB3E2B"/>
    <w:rsid w:val="00FB5219"/>
    <w:rsid w:val="00FB5FA6"/>
    <w:rsid w:val="00FC1310"/>
    <w:rsid w:val="00FC1328"/>
    <w:rsid w:val="00FC2FF3"/>
    <w:rsid w:val="00FC3263"/>
    <w:rsid w:val="00FC51F9"/>
    <w:rsid w:val="00FC5B40"/>
    <w:rsid w:val="00FC5FF8"/>
    <w:rsid w:val="00FC64FC"/>
    <w:rsid w:val="00FC702B"/>
    <w:rsid w:val="00FD3D7C"/>
    <w:rsid w:val="00FD4F8F"/>
    <w:rsid w:val="00FD4FF1"/>
    <w:rsid w:val="00FE0C16"/>
    <w:rsid w:val="00FE14AD"/>
    <w:rsid w:val="00FE14B1"/>
    <w:rsid w:val="00FE15C3"/>
    <w:rsid w:val="00FE1F6A"/>
    <w:rsid w:val="00FF0070"/>
    <w:rsid w:val="00FF31EC"/>
    <w:rsid w:val="00FF4856"/>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EE064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4Char">
    <w:name w:val="Heading 4 Char"/>
    <w:basedOn w:val="DefaultParagraphFont"/>
    <w:link w:val="Heading4"/>
    <w:uiPriority w:val="9"/>
    <w:semiHidden/>
    <w:rsid w:val="00EE0641"/>
    <w:rPr>
      <w:rFonts w:asciiTheme="majorHAnsi" w:eastAsiaTheme="majorEastAsia" w:hAnsiTheme="majorHAnsi" w:cstheme="majorBidi"/>
      <w:i/>
      <w:iCs/>
      <w:color w:val="2F5496" w:themeColor="accent1" w:themeShade="BF"/>
      <w:lang w:eastAsia="en-GB"/>
    </w:rPr>
  </w:style>
  <w:style w:type="paragraph" w:styleId="Title">
    <w:name w:val="Title"/>
    <w:basedOn w:val="Normal"/>
    <w:next w:val="Normal"/>
    <w:link w:val="TitleChar"/>
    <w:uiPriority w:val="10"/>
    <w:qFormat/>
    <w:rsid w:val="00976F94"/>
    <w:pPr>
      <w:overflowPunct/>
      <w:autoSpaceDE/>
      <w:autoSpaceDN/>
      <w:adjustRightInd/>
      <w:contextualSpacing/>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76F94"/>
    <w:rPr>
      <w:rFonts w:asciiTheme="majorHAnsi" w:eastAsiaTheme="majorEastAsia" w:hAnsiTheme="majorHAnsi" w:cstheme="majorBidi"/>
      <w:spacing w:val="-10"/>
      <w:kern w:val="28"/>
      <w:sz w:val="56"/>
      <w:szCs w:val="56"/>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37070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59894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11/Recognising-responding-vulnerability-related-risks-REA.pdf" TargetMode="External"/><Relationship Id="rId26" Type="http://schemas.openxmlformats.org/officeDocument/2006/relationships/hyperlink" Target="https://www.cps.gov.uk/legal-guidance/domestic-abuse" TargetMode="External"/><Relationship Id="rId39" Type="http://schemas.openxmlformats.org/officeDocument/2006/relationships/theme" Target="theme/theme1.xml"/><Relationship Id="rId21" Type="http://schemas.openxmlformats.org/officeDocument/2006/relationships/hyperlink" Target="https://www.gov.uk/government/consultations/delivering-justice-for-victims-a-consultation-on-improving-victims-experiences-of-the-justice-system/delivering-justice-for-victims-a-consultation-on-improving-victims-experiences-of-the-justice-system" TargetMode="External"/><Relationship Id="rId34" Type="http://schemas.openxmlformats.org/officeDocument/2006/relationships/hyperlink" Target="https://www.ons.gov.uk/peoplepopulationandcommunity/crimeandjustice/bulletins/domesticabuseinenglandandwalesoverview/november202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prosecution-and-case-management/victim-and-witness-care" TargetMode="External"/><Relationship Id="rId25" Type="http://schemas.openxmlformats.org/officeDocument/2006/relationships/hyperlink" Target="https://www.legislation.gov.uk/ukpga/1988/33/section/39" TargetMode="External"/><Relationship Id="rId33" Type="http://schemas.openxmlformats.org/officeDocument/2006/relationships/hyperlink" Target="https://www.legislation.gov.uk/ukpga/1980/43/section/127"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epr.org/voxeu/columns/arrests-are-effective-breaking-cycle-domestic-violence" TargetMode="External"/><Relationship Id="rId20" Type="http://schemas.openxmlformats.org/officeDocument/2006/relationships/hyperlink" Target="https://assets.publishing.service.gov.uk/media/60620279d3bf7f5ceaca0d89/victims-code-2020.pdf" TargetMode="External"/><Relationship Id="rId29" Type="http://schemas.openxmlformats.org/officeDocument/2006/relationships/hyperlink" Target="https://www.legislation.gov.uk/ukpga/2021/17/section/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9/23/contents" TargetMode="External"/><Relationship Id="rId32" Type="http://schemas.openxmlformats.org/officeDocument/2006/relationships/hyperlink" Target="https://lawcom.gov.uk/project/defences-for-victims-of-domestic-abuse-who-kill-their-abusers/" TargetMode="External"/><Relationship Id="rId37" Type="http://schemas.openxmlformats.org/officeDocument/2006/relationships/hyperlink" Target="https://news.sky.com/story/domestic-abuse-police-urged-to-act-after-three-quarters-of-cases-fail-to-end-in-charges-12339580" TargetMode="Externa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cloud-platform-e218f50a4812967ba1215eaecede923f.s3.amazonaws.com/uploads/sites/6/2021/12/VC-Victims-of-Mentally-Disordered-Offenders-Review-2018.pdf" TargetMode="External"/><Relationship Id="rId28" Type="http://schemas.openxmlformats.org/officeDocument/2006/relationships/hyperlink" Target="https://www.cps.gov.uk/legal-guidance/self-defence-and-prevention-crime" TargetMode="External"/><Relationship Id="rId36" Type="http://schemas.openxmlformats.org/officeDocument/2006/relationships/hyperlink" Target="https://www.legislation.gov.uk/ukpga/1999/23/part/II/chapter/I" TargetMode="External"/><Relationship Id="rId10" Type="http://schemas.openxmlformats.org/officeDocument/2006/relationships/endnotes" Target="endnotes.xml"/><Relationship Id="rId19" Type="http://schemas.openxmlformats.org/officeDocument/2006/relationships/hyperlink" Target="https://www.legislation.gov.uk/ukpga/2006/35/section/2" TargetMode="External"/><Relationship Id="rId31" Type="http://schemas.openxmlformats.org/officeDocument/2006/relationships/hyperlink" Target="https://www.justiceinspectorates.gov.uk/cjji/wp-content/uploads/sites/2/2020/01/Joint-Inspection-Evidence-Led-Domestic-Abuse-Jan19-rp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ons.gov.uk/peoplepopulationandcommunity/healthandsocialcare/disability/bulletins/disabilityandcrimeuk/2019" TargetMode="External"/><Relationship Id="rId27" Type="http://schemas.openxmlformats.org/officeDocument/2006/relationships/hyperlink" Target="https://www.cps.gov.uk/legal-guidance/offences-against-person-incorporating-charging-standard" TargetMode="External"/><Relationship Id="rId30" Type="http://schemas.openxmlformats.org/officeDocument/2006/relationships/hyperlink" Target="https://cloud-platform-e218f50a4812967ba1215eaecede923f.s3.amazonaws.com/uploads/sites/6/2021/12/OVC-Special-Measures-Literature-Review-July-2020.pdf" TargetMode="External"/><Relationship Id="rId35" Type="http://schemas.openxmlformats.org/officeDocument/2006/relationships/hyperlink" Target="https://www.legislation.gov.uk/ukpga/2022/32/section/49/enacted"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1121</TotalTime>
  <Pages>23</Pages>
  <Words>6127</Words>
  <Characters>38326</Characters>
  <Application>Microsoft Office Word</Application>
  <DocSecurity>0</DocSecurity>
  <Lines>319</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Porter,Jessica swp8565</cp:lastModifiedBy>
  <cp:revision>118</cp:revision>
  <cp:lastPrinted>2014-08-26T08:55:00Z</cp:lastPrinted>
  <dcterms:created xsi:type="dcterms:W3CDTF">2023-09-25T13:12:00Z</dcterms:created>
  <dcterms:modified xsi:type="dcterms:W3CDTF">2024-08-05T19:05:00Z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2024-01-09T10:21:02Z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fcf74b1b-ed6a-4948-8363-c3b3b13848ae</vt:lpwstr>
  </property>
  <property fmtid="{D5CDD505-2E9C-101B-9397-08002B2CF9AE}" pid="9" name="MSIP_Label_66cf8fe5-b7b7-4df7-b38d-1c61ac2f6639_ContentBits">
    <vt:lpwstr>0</vt:lpwstr>
  </property>
</Properties>
</file>