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981A9" w14:textId="2913ADA6" w:rsidR="0D05D69A" w:rsidRDefault="0D05D69A" w:rsidP="0D05D69A">
      <w:pPr>
        <w:jc w:val="center"/>
        <w:rPr>
          <w:rFonts w:eastAsiaTheme="minorEastAsia"/>
          <w:color w:val="000000" w:themeColor="text1"/>
          <w:sz w:val="52"/>
          <w:szCs w:val="52"/>
        </w:rPr>
      </w:pPr>
    </w:p>
    <w:p w14:paraId="704053A0" w14:textId="5E2160C5" w:rsidR="0D05D69A" w:rsidRDefault="0D05D69A" w:rsidP="0D05D69A">
      <w:pPr>
        <w:jc w:val="center"/>
        <w:rPr>
          <w:rFonts w:eastAsiaTheme="minorEastAsia"/>
          <w:color w:val="000000" w:themeColor="text1"/>
          <w:sz w:val="52"/>
          <w:szCs w:val="52"/>
        </w:rPr>
      </w:pPr>
    </w:p>
    <w:p w14:paraId="03698C74" w14:textId="40A2D44B" w:rsidR="0D05D69A" w:rsidRDefault="0D05D69A" w:rsidP="0D05D69A">
      <w:pPr>
        <w:jc w:val="center"/>
        <w:rPr>
          <w:rFonts w:eastAsiaTheme="minorEastAsia"/>
          <w:color w:val="000000" w:themeColor="text1"/>
          <w:sz w:val="52"/>
          <w:szCs w:val="52"/>
        </w:rPr>
      </w:pPr>
    </w:p>
    <w:p w14:paraId="4194253D" w14:textId="5A99D104" w:rsidR="0D05D69A" w:rsidRDefault="0D05D69A" w:rsidP="0D05D69A">
      <w:pPr>
        <w:jc w:val="center"/>
        <w:rPr>
          <w:rFonts w:eastAsiaTheme="minorEastAsia"/>
          <w:color w:val="000000" w:themeColor="text1"/>
          <w:sz w:val="52"/>
          <w:szCs w:val="52"/>
        </w:rPr>
      </w:pPr>
      <w:r w:rsidRPr="0D05D69A">
        <w:rPr>
          <w:rFonts w:eastAsiaTheme="minorEastAsia"/>
          <w:color w:val="000000" w:themeColor="text1"/>
          <w:sz w:val="52"/>
          <w:szCs w:val="52"/>
        </w:rPr>
        <w:t>Professional Learning Journey</w:t>
      </w:r>
    </w:p>
    <w:p w14:paraId="27252E01" w14:textId="378A5A33" w:rsidR="0D05D69A" w:rsidRDefault="0D05D69A" w:rsidP="0D05D69A">
      <w:pPr>
        <w:jc w:val="center"/>
        <w:rPr>
          <w:rFonts w:eastAsiaTheme="minorEastAsia"/>
          <w:color w:val="000000" w:themeColor="text1"/>
          <w:sz w:val="52"/>
          <w:szCs w:val="52"/>
        </w:rPr>
      </w:pPr>
    </w:p>
    <w:p w14:paraId="7E2EE621" w14:textId="3FB56F3C" w:rsidR="0D05D69A" w:rsidRDefault="0D05D69A" w:rsidP="0D05D69A">
      <w:pPr>
        <w:jc w:val="center"/>
        <w:rPr>
          <w:rFonts w:eastAsiaTheme="minorEastAsia"/>
          <w:color w:val="000000" w:themeColor="text1"/>
          <w:sz w:val="52"/>
          <w:szCs w:val="52"/>
        </w:rPr>
      </w:pPr>
    </w:p>
    <w:p w14:paraId="68595628" w14:textId="45612858" w:rsidR="0D05D69A" w:rsidRDefault="0D05D69A" w:rsidP="0D05D69A">
      <w:pPr>
        <w:rPr>
          <w:rFonts w:eastAsiaTheme="minorEastAsia"/>
          <w:color w:val="000000" w:themeColor="text1"/>
          <w:sz w:val="28"/>
          <w:szCs w:val="28"/>
        </w:rPr>
      </w:pPr>
    </w:p>
    <w:p w14:paraId="23F7F23C" w14:textId="54D98BCF" w:rsidR="0D05D69A" w:rsidRDefault="0D05D69A" w:rsidP="0D05D69A">
      <w:pPr>
        <w:rPr>
          <w:rFonts w:eastAsiaTheme="minorEastAsia"/>
          <w:color w:val="000000" w:themeColor="text1"/>
          <w:sz w:val="28"/>
          <w:szCs w:val="28"/>
        </w:rPr>
      </w:pPr>
    </w:p>
    <w:p w14:paraId="4D80974C" w14:textId="07B7E025" w:rsidR="0D05D69A" w:rsidRDefault="0D05D69A" w:rsidP="0D05D69A">
      <w:pPr>
        <w:rPr>
          <w:rFonts w:eastAsiaTheme="minorEastAsia"/>
          <w:color w:val="000000" w:themeColor="text1"/>
          <w:sz w:val="28"/>
          <w:szCs w:val="28"/>
        </w:rPr>
      </w:pPr>
    </w:p>
    <w:p w14:paraId="1242B08A" w14:textId="70CC9917" w:rsidR="0D05D69A" w:rsidRDefault="0D05D69A" w:rsidP="0D05D69A">
      <w:pPr>
        <w:rPr>
          <w:rFonts w:eastAsiaTheme="minorEastAsia"/>
          <w:color w:val="000000" w:themeColor="text1"/>
          <w:sz w:val="28"/>
          <w:szCs w:val="28"/>
        </w:rPr>
      </w:pPr>
    </w:p>
    <w:p w14:paraId="3142D06D" w14:textId="66F23833" w:rsidR="0D05D69A" w:rsidRDefault="0D05D69A" w:rsidP="0D05D69A">
      <w:pPr>
        <w:rPr>
          <w:rFonts w:eastAsiaTheme="minorEastAsia"/>
          <w:color w:val="000000" w:themeColor="text1"/>
          <w:sz w:val="28"/>
          <w:szCs w:val="28"/>
        </w:rPr>
      </w:pPr>
    </w:p>
    <w:p w14:paraId="517DB834" w14:textId="23D611BC" w:rsidR="0D05D69A" w:rsidRDefault="0D05D69A" w:rsidP="0D05D69A">
      <w:pPr>
        <w:rPr>
          <w:rFonts w:eastAsiaTheme="minorEastAsia"/>
          <w:color w:val="000000" w:themeColor="text1"/>
          <w:sz w:val="28"/>
          <w:szCs w:val="28"/>
        </w:rPr>
      </w:pPr>
    </w:p>
    <w:p w14:paraId="247E663F" w14:textId="2956DFE4" w:rsidR="0D05D69A" w:rsidRDefault="0D05D69A" w:rsidP="0D05D69A">
      <w:pPr>
        <w:rPr>
          <w:rFonts w:eastAsiaTheme="minorEastAsia"/>
          <w:color w:val="000000" w:themeColor="text1"/>
          <w:sz w:val="28"/>
          <w:szCs w:val="28"/>
        </w:rPr>
      </w:pPr>
    </w:p>
    <w:p w14:paraId="708B714F" w14:textId="043F44F3" w:rsidR="0D05D69A" w:rsidRDefault="0D05D69A" w:rsidP="0D05D69A">
      <w:pPr>
        <w:rPr>
          <w:rFonts w:eastAsiaTheme="minorEastAsia"/>
          <w:color w:val="000000" w:themeColor="text1"/>
          <w:sz w:val="28"/>
          <w:szCs w:val="28"/>
        </w:rPr>
      </w:pPr>
    </w:p>
    <w:p w14:paraId="24AAAD22" w14:textId="1D450565" w:rsidR="0D05D69A" w:rsidRDefault="0D05D69A" w:rsidP="0D05D69A">
      <w:pPr>
        <w:rPr>
          <w:rFonts w:eastAsiaTheme="minorEastAsia"/>
          <w:color w:val="000000" w:themeColor="text1"/>
          <w:sz w:val="28"/>
          <w:szCs w:val="28"/>
        </w:rPr>
      </w:pPr>
      <w:r w:rsidRPr="0D05D69A">
        <w:rPr>
          <w:rFonts w:eastAsiaTheme="minorEastAsia"/>
          <w:color w:val="000000" w:themeColor="text1"/>
          <w:sz w:val="28"/>
          <w:szCs w:val="28"/>
        </w:rPr>
        <w:t>Module Code: M6X01439</w:t>
      </w:r>
    </w:p>
    <w:p w14:paraId="197749F7" w14:textId="0880BA3E" w:rsidR="0D05D69A" w:rsidRDefault="0D05D69A" w:rsidP="0D05D69A">
      <w:pPr>
        <w:rPr>
          <w:rFonts w:eastAsiaTheme="minorEastAsia"/>
          <w:color w:val="000000" w:themeColor="text1"/>
          <w:sz w:val="28"/>
          <w:szCs w:val="28"/>
        </w:rPr>
      </w:pPr>
      <w:r w:rsidRPr="0D05D69A">
        <w:rPr>
          <w:rFonts w:eastAsiaTheme="minorEastAsia"/>
          <w:color w:val="000000" w:themeColor="text1"/>
          <w:sz w:val="28"/>
          <w:szCs w:val="28"/>
        </w:rPr>
        <w:t>Student Number: 1815896</w:t>
      </w:r>
    </w:p>
    <w:p w14:paraId="2748DDBF" w14:textId="14A19598" w:rsidR="0D05D69A" w:rsidRDefault="49B50A1B" w:rsidP="49B50A1B">
      <w:pPr>
        <w:rPr>
          <w:rFonts w:eastAsiaTheme="minorEastAsia"/>
          <w:color w:val="000000" w:themeColor="text1"/>
          <w:sz w:val="28"/>
          <w:szCs w:val="28"/>
        </w:rPr>
      </w:pPr>
      <w:r w:rsidRPr="49B50A1B">
        <w:rPr>
          <w:rFonts w:eastAsiaTheme="minorEastAsia"/>
          <w:color w:val="000000" w:themeColor="text1"/>
          <w:sz w:val="28"/>
          <w:szCs w:val="28"/>
        </w:rPr>
        <w:t>Word Count: 3,541</w:t>
      </w:r>
    </w:p>
    <w:p w14:paraId="2307C75B" w14:textId="18924A63" w:rsidR="49B50A1B" w:rsidRDefault="49B50A1B" w:rsidP="49B50A1B">
      <w:pPr>
        <w:rPr>
          <w:rFonts w:eastAsiaTheme="minorEastAsia"/>
          <w:color w:val="000000" w:themeColor="text1"/>
          <w:sz w:val="28"/>
          <w:szCs w:val="28"/>
        </w:rPr>
      </w:pPr>
      <w:r w:rsidRPr="49B50A1B">
        <w:rPr>
          <w:rFonts w:eastAsiaTheme="minorEastAsia"/>
          <w:color w:val="000000" w:themeColor="text1"/>
          <w:sz w:val="28"/>
          <w:szCs w:val="28"/>
        </w:rPr>
        <w:t>Date of Submission: 13th May 2019</w:t>
      </w:r>
    </w:p>
    <w:p w14:paraId="64309B83" w14:textId="34B621EE" w:rsidR="0D05D69A" w:rsidRDefault="0D05D69A" w:rsidP="0D05D69A">
      <w:pPr>
        <w:rPr>
          <w:rFonts w:ascii="Times New Roman" w:eastAsia="Times New Roman" w:hAnsi="Times New Roman" w:cs="Times New Roman"/>
          <w:color w:val="000000" w:themeColor="text1"/>
          <w:sz w:val="24"/>
          <w:szCs w:val="24"/>
        </w:rPr>
      </w:pPr>
    </w:p>
    <w:p w14:paraId="0558C3AC" w14:textId="6F03155D" w:rsidR="0D05D69A" w:rsidRDefault="0D05D69A" w:rsidP="0D05D69A">
      <w:pPr>
        <w:rPr>
          <w:rFonts w:ascii="Times New Roman" w:eastAsia="Times New Roman" w:hAnsi="Times New Roman" w:cs="Times New Roman"/>
          <w:color w:val="000000" w:themeColor="text1"/>
          <w:sz w:val="24"/>
          <w:szCs w:val="24"/>
        </w:rPr>
      </w:pPr>
    </w:p>
    <w:p w14:paraId="5E1BFB17" w14:textId="1AEAE3D7" w:rsidR="0D05D69A" w:rsidRDefault="0D05D69A" w:rsidP="0D05D69A">
      <w:pPr>
        <w:rPr>
          <w:rFonts w:ascii="Times New Roman" w:eastAsia="Times New Roman" w:hAnsi="Times New Roman" w:cs="Times New Roman"/>
          <w:color w:val="000000" w:themeColor="text1"/>
          <w:sz w:val="24"/>
          <w:szCs w:val="24"/>
        </w:rPr>
      </w:pPr>
    </w:p>
    <w:p w14:paraId="08DE3D55" w14:textId="1DF18F7B" w:rsidR="0D05D69A" w:rsidRDefault="0D05D69A" w:rsidP="0D05D69A">
      <w:pPr>
        <w:rPr>
          <w:rFonts w:ascii="Times New Roman" w:eastAsia="Times New Roman" w:hAnsi="Times New Roman" w:cs="Times New Roman"/>
          <w:color w:val="000000" w:themeColor="text1"/>
          <w:sz w:val="24"/>
          <w:szCs w:val="24"/>
        </w:rPr>
      </w:pPr>
    </w:p>
    <w:p w14:paraId="34055BAF" w14:textId="7ABBFFB0" w:rsidR="0D05D69A" w:rsidRDefault="0D05D69A" w:rsidP="0D05D69A">
      <w:pPr>
        <w:rPr>
          <w:rFonts w:ascii="Times New Roman" w:eastAsia="Times New Roman" w:hAnsi="Times New Roman" w:cs="Times New Roman"/>
          <w:color w:val="000000" w:themeColor="text1"/>
          <w:sz w:val="24"/>
          <w:szCs w:val="24"/>
        </w:rPr>
      </w:pPr>
    </w:p>
    <w:p w14:paraId="20F1C077" w14:textId="5638A47F" w:rsidR="0D05D69A"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Childrens educational experience is becoming increasingly filled with stimuli to both engage and educate. Teachers can battle to find the balance between being the educator or the facilitator, knowing when to use technology to support pedagogy. Livingstone (2011), supports this by suggesting that although schools were quick to put computers in the class, they are not so quick to change their pedagogy. It can be a challenge to find appropriate materials to allow children to engage with the wider world of technology independently.  If we want to educate our children to become independent thinkers in a technological world, then how do we do this safely when we live in a world where, with a click of a button, children can find a host of inappropriate materials. Donaldson (2015), highlights this in his review of the curriculum in Wales. He highlights the requirement for children and young people to learn how to become ‘</w:t>
      </w:r>
      <w:r w:rsidRPr="65A5D061">
        <w:rPr>
          <w:rFonts w:ascii="Arial" w:eastAsia="Arial" w:hAnsi="Arial" w:cs="Arial"/>
          <w:i/>
          <w:iCs/>
          <w:sz w:val="24"/>
          <w:szCs w:val="24"/>
        </w:rPr>
        <w:t>more than consumers of technology</w:t>
      </w:r>
      <w:r w:rsidRPr="65A5D061">
        <w:rPr>
          <w:rFonts w:ascii="Arial" w:eastAsia="Arial" w:hAnsi="Arial" w:cs="Arial"/>
          <w:sz w:val="24"/>
          <w:szCs w:val="24"/>
        </w:rPr>
        <w:t xml:space="preserve">’ and their need to develop the knowledge and skills required to use technology creatively as learners and future members of a technologically competent workforce. As discussed by Bitner &amp; Bitner (2002), it is not enough to have the most up to date hardware, but more importantly, to have teachers that are confident and competent to deliver quality content within their lessons.  </w:t>
      </w:r>
      <w:r w:rsidRPr="65A5D061">
        <w:rPr>
          <w:rFonts w:ascii="Arial" w:eastAsia="Arial" w:hAnsi="Arial" w:cs="Arial"/>
          <w:color w:val="333333"/>
          <w:sz w:val="24"/>
          <w:szCs w:val="24"/>
        </w:rPr>
        <w:t xml:space="preserve">Levin &amp; Wadmany (2008) suggest the education of our children through the use of ICT is only going to be as good as the teacher delivering it. This needs to be weighed up with other inhibiting factors such as, the cost of ICT and the availability of money for it within a schools already strained budget, training, fear from teaching staff, infrastructure and of course the safety of our pupils. </w:t>
      </w:r>
      <w:r w:rsidRPr="65A5D061">
        <w:rPr>
          <w:rFonts w:ascii="Arial" w:eastAsia="Arial" w:hAnsi="Arial" w:cs="Arial"/>
          <w:sz w:val="24"/>
          <w:szCs w:val="24"/>
        </w:rPr>
        <w:t xml:space="preserve">This assignment aims to look at the learning journey of a small rural </w:t>
      </w:r>
      <w:r w:rsidRPr="65A5D061">
        <w:rPr>
          <w:rFonts w:ascii="Arial" w:eastAsia="Arial" w:hAnsi="Arial" w:cs="Arial"/>
          <w:sz w:val="24"/>
          <w:szCs w:val="24"/>
        </w:rPr>
        <w:lastRenderedPageBreak/>
        <w:t xml:space="preserve">school and how they have moved from having minimal engagement from the children with ICT and little digital competency, to where they stand today. It will also look at how the school aims to further develop their practices to prepare their children to enter a world where their educational and work life will increasingly involve interaction with technology and facilitate them with the skills they need to adapt to the changes that occur. This assignment will look at the background of the school and the starting position, the ICT developments made, data collected and the findings, what these results tell us and why and the future steps the school plan to take in order to maintain these standards and developments. </w:t>
      </w:r>
    </w:p>
    <w:p w14:paraId="478DCD06" w14:textId="201F3496" w:rsidR="0D05D69A" w:rsidRDefault="65A5D061" w:rsidP="65A5D061">
      <w:pPr>
        <w:spacing w:line="480" w:lineRule="auto"/>
        <w:rPr>
          <w:rFonts w:ascii="Arial" w:eastAsia="Arial" w:hAnsi="Arial" w:cs="Arial"/>
          <w:color w:val="000000" w:themeColor="text1"/>
          <w:sz w:val="24"/>
          <w:szCs w:val="24"/>
        </w:rPr>
      </w:pPr>
      <w:r w:rsidRPr="65A5D061">
        <w:rPr>
          <w:rFonts w:ascii="Arial" w:eastAsia="Arial" w:hAnsi="Arial" w:cs="Arial"/>
          <w:color w:val="000000" w:themeColor="text1"/>
          <w:sz w:val="24"/>
          <w:szCs w:val="24"/>
        </w:rPr>
        <w:t xml:space="preserve">The school discussed throughout this assignment is a small village school in rural Wales. Currently, there are 53 children on roll. The school is made up of two classes, one for the 34 Foundation Phase pupils and one for 19 Key Stage two pupils. There are two full time teachers at the school, this includes the teaching Head Teacher, one contracted supply teacher who covers teacher preparation and management time for the Head Teacher, two full time Learning Support Assistants (LSA’s) and one part time. There is also a cleaner employed by the school who is also the Midday Supervisor. All pupils who attend the school are of white British ethnicity and many come from farming families. There is 0% Free School Meal (FSM) take up and 5.3% of the children are on school action or school action plus. There is low unemployment in the area and over 90% of the children come to school on the bus or by other school transport arrangements. The school is currently thriving, and pupil numbers have nearly doubled in the past two years. </w:t>
      </w:r>
    </w:p>
    <w:p w14:paraId="0F5FBD4F" w14:textId="06C0369E" w:rsidR="602EA888" w:rsidRDefault="65A5D061" w:rsidP="65A5D061">
      <w:pPr>
        <w:spacing w:line="480" w:lineRule="auto"/>
        <w:rPr>
          <w:rFonts w:ascii="Arial" w:eastAsia="Arial" w:hAnsi="Arial" w:cs="Arial"/>
          <w:sz w:val="24"/>
          <w:szCs w:val="24"/>
        </w:rPr>
      </w:pPr>
      <w:r w:rsidRPr="65A5D061">
        <w:rPr>
          <w:rFonts w:ascii="Arial" w:eastAsia="Arial" w:hAnsi="Arial" w:cs="Arial"/>
          <w:color w:val="000000" w:themeColor="text1"/>
          <w:sz w:val="24"/>
          <w:szCs w:val="24"/>
        </w:rPr>
        <w:lastRenderedPageBreak/>
        <w:t>Four years ago, the school was in special measures following an Estyn Inspection in January 2015 and under threat of closure due to the School Organisation Policy (Powys County Council, 2018). In April 2015, under instruction of an Executive Head Teacher I was asked to teach the Foundation Phase pupils with a temporary supply teacher in the Key Stage two class. The school was working towards meeting the recommendations set out in the Post Inspection Action Plan (PIAP) where there were seven recommendations made. A temporary Head joined the school in May 2015 and the main aim was to ensure that the recommendations set out by Estyn were being met. The recommendation in most need of addressing was to ‘</w:t>
      </w:r>
      <w:r w:rsidRPr="65A5D061">
        <w:rPr>
          <w:rFonts w:ascii="Arial" w:eastAsia="Arial" w:hAnsi="Arial" w:cs="Arial"/>
          <w:i/>
          <w:iCs/>
          <w:color w:val="000000" w:themeColor="text1"/>
          <w:sz w:val="24"/>
          <w:szCs w:val="24"/>
        </w:rPr>
        <w:t>improve standards in ICT</w:t>
      </w:r>
      <w:r w:rsidRPr="65A5D061">
        <w:rPr>
          <w:rFonts w:ascii="Arial" w:eastAsia="Arial" w:hAnsi="Arial" w:cs="Arial"/>
          <w:color w:val="000000" w:themeColor="text1"/>
          <w:sz w:val="24"/>
          <w:szCs w:val="24"/>
        </w:rPr>
        <w:t>’ (Estyn, 2015 pg 3), they had stated that ‘</w:t>
      </w:r>
      <w:r w:rsidRPr="65A5D061">
        <w:rPr>
          <w:rFonts w:ascii="Arial" w:eastAsia="Arial" w:hAnsi="Arial" w:cs="Arial"/>
          <w:i/>
          <w:iCs/>
          <w:sz w:val="24"/>
          <w:szCs w:val="24"/>
        </w:rPr>
        <w:t>Pupils, particularly in key stage 2 have insufficient ICT skills and they make limited use of these skills in work across the curriculum</w:t>
      </w:r>
      <w:r w:rsidRPr="65A5D061">
        <w:rPr>
          <w:rFonts w:ascii="Arial" w:eastAsia="Arial" w:hAnsi="Arial" w:cs="Arial"/>
          <w:sz w:val="24"/>
          <w:szCs w:val="24"/>
        </w:rPr>
        <w:t xml:space="preserve">.’ (Estyn, 2015 pg 5). The school had one projector on a white board in the Foundation Phase, one iPad for teacher use for collection of moderation materials and six computers in the Key Stage Two class. Neither the children nor the teachers had the resources to teach these children the skills they needed in order to show their capabilities, nor to address the demand of the Digital Competency Framework (DCF). The DCF aims to ‘encapsulate a range of skills that will help learners thrive in an increasingly digital world’ (Digital Competency guidelines 2016, pg 2). </w:t>
      </w:r>
    </w:p>
    <w:p w14:paraId="2889FAFE" w14:textId="43969702" w:rsidR="0D05D69A" w:rsidRDefault="7A2E50C3" w:rsidP="7A2E50C3">
      <w:pPr>
        <w:spacing w:line="480" w:lineRule="auto"/>
        <w:rPr>
          <w:rFonts w:ascii="Arial" w:eastAsia="Arial" w:hAnsi="Arial" w:cs="Arial"/>
          <w:sz w:val="24"/>
          <w:szCs w:val="24"/>
        </w:rPr>
      </w:pPr>
      <w:r w:rsidRPr="7A2E50C3">
        <w:rPr>
          <w:rFonts w:ascii="Arial" w:eastAsia="Arial" w:hAnsi="Arial" w:cs="Arial"/>
          <w:sz w:val="24"/>
          <w:szCs w:val="24"/>
        </w:rPr>
        <w:t xml:space="preserve">Due to lack of exposure, many of the children were not enthused or interested in using technology. Many of the resources required were expensive and as the school was under the threat of closure, attitudes towards spending large amounts of money on hardware was negative. However, a community group set up to support the school raised £15,000 through a variety of events. At the same time, the acting Head Teacher </w:t>
      </w:r>
      <w:r w:rsidRPr="7A2E50C3">
        <w:rPr>
          <w:rFonts w:ascii="Arial" w:eastAsia="Arial" w:hAnsi="Arial" w:cs="Arial"/>
          <w:sz w:val="24"/>
          <w:szCs w:val="24"/>
        </w:rPr>
        <w:lastRenderedPageBreak/>
        <w:t xml:space="preserve">left her post in July 2016. September 2016 saw a new Head joining the school, one in which I had worked with successfully previously and as we both had a similar vision for the school, it enabled us to move forward quickly with many things, but most importantly the ICT provision for the children. With the money raised by the community group two Interactve whiteboards, two visualisers, fifteen iPads and four Chrome books were purchased for the children to start using. Initially planning was drafted to familiarise the children with the technology. However, there was need for a more structured and holistic approach to teaching which encompassed not just the use of Information and Communications Technology (ICT) but e-safety and the wider world. Following some research and communication with other schools we decided to adopt the Gareth Morgan Consultancy Scheme of Work. A three year rolling programme for the school was developed. It ensured the children were using appropriate apps, delivery of a wide range of skills and activities, addressed the (DCF), digital citizenship and e-safety. Staff delivering the programme also had resources available. This alleviated the fear of using the new hardware within the school. At this point ICT was added as an agenda item on the staff meeting minutes agenda to ensure that any questions or problems could be addressed as quickly as possible and regularly. Training was delivered to supply and support staff within the school on use of the new equipment and software. Children were engaged and using ICT for many different reasons. The iPad was now an everyday tool in the class for a range of uses such as QR coding, green screening and coding. The children were now beginning to make progress within the DCF and their confidence and enthusiasm was growing. </w:t>
      </w:r>
    </w:p>
    <w:p w14:paraId="5DD9B93A" w14:textId="1DD0455C" w:rsidR="0D05D69A" w:rsidRDefault="7A2E50C3" w:rsidP="7A2E50C3">
      <w:pPr>
        <w:spacing w:line="480" w:lineRule="auto"/>
        <w:rPr>
          <w:rFonts w:ascii="Arial" w:eastAsia="Arial" w:hAnsi="Arial" w:cs="Arial"/>
          <w:sz w:val="24"/>
          <w:szCs w:val="24"/>
        </w:rPr>
      </w:pPr>
      <w:r w:rsidRPr="7A2E50C3">
        <w:rPr>
          <w:rFonts w:ascii="Arial" w:eastAsia="Arial" w:hAnsi="Arial" w:cs="Arial"/>
          <w:sz w:val="24"/>
          <w:szCs w:val="24"/>
        </w:rPr>
        <w:lastRenderedPageBreak/>
        <w:t xml:space="preserve">The school was now at a point to do some reflection and some evaluative work of the developments made. A questionnaire was given to pupils to indicate what the next steps were. A copy of the findings has been included as appendix 2. The biggest finding from this questionnaire was that the children knew what to do when accessing inappropriate material in school, where there are measures in place to protect them, but not outside of school where much more of the internet is accessible if parental controls are not activated. This highlighted the need for better communication with parents about matters relating to ICT and e-safety, and a better approach to disseminating materials to them. The school website was refreshed, and additional areas developed for information regarding e-safety to be stored so parents could always access it. A section of the newsletter was also dedicated to ICT updates, information or helpful hints and tips to give to parents. </w:t>
      </w:r>
    </w:p>
    <w:p w14:paraId="0D6136D3" w14:textId="76728461" w:rsidR="0D05D69A"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 xml:space="preserve">To facilitate this holistic approach between school, parents and community the school began to use 360 degree safe. This tool is used to evaluate the robustness of the schools e-safety procedures, it was free and accessible through HWB which the school was already using successfully. A school in the same County were successful in using this tool. A visit was arranged, and it was evident within the school from talking to staff and children that the children were aware of the dangers of the internet and use of certain apps, social media and gaming. Something which was a weakness within our own school. Following the visit, we evaluated our own school's robustness using the 360-degree safety tool and it was clear that we had several areas that we could develop upon. This too is frequently revisited, and progress or work carried out on a certain area </w:t>
      </w:r>
      <w:r w:rsidRPr="65A5D061">
        <w:rPr>
          <w:rFonts w:ascii="Arial" w:eastAsia="Arial" w:hAnsi="Arial" w:cs="Arial"/>
          <w:sz w:val="24"/>
          <w:szCs w:val="24"/>
        </w:rPr>
        <w:lastRenderedPageBreak/>
        <w:t>is updated. We gained our first two accredited awards from the tool within the first year of using it.</w:t>
      </w:r>
    </w:p>
    <w:p w14:paraId="3FC92B17" w14:textId="6F6D358D" w:rsidR="0D05D69A"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In January 2018 the school had their final inspection following the monitoring process. We were no longer in special measures. The feedback from Estyn on our ICT development was positive. They noticed the increase in children's independence in using ICT. They also noted that the children ‘</w:t>
      </w:r>
      <w:r w:rsidRPr="65A5D061">
        <w:rPr>
          <w:rFonts w:ascii="Arial" w:eastAsia="Arial" w:hAnsi="Arial" w:cs="Arial"/>
          <w:i/>
          <w:iCs/>
          <w:sz w:val="24"/>
          <w:szCs w:val="24"/>
        </w:rPr>
        <w:t>supported other pupils effectively to develop new skills, for example in using quick response codes to store and retrieve a range of work, such as an audio recording of a radio play</w:t>
      </w:r>
      <w:r w:rsidRPr="65A5D061">
        <w:rPr>
          <w:rFonts w:ascii="Arial" w:eastAsia="Arial" w:hAnsi="Arial" w:cs="Arial"/>
          <w:sz w:val="24"/>
          <w:szCs w:val="24"/>
        </w:rPr>
        <w:t xml:space="preserve">’,(Estyn, 2018 pg 1). The school was also no longer in threat of closure. Although this was a positive step, the need for development and continual progress was still prevalent. As a school we wanted communication and access to documentation to be more effective. To ensure this the school looked at using Microsoft Office 365 through the HWB portal. By using the team area on Microsoft 365 the staff within the school were able to access important documents safely and securely. A team was created and different channels within the team were set up for the different focus groups within the school. A channel for the storage and compilation of documents for 360 degree safe was set up for all staff to have an awareness of it. Wills and Clerkin (2009) reflect on the importance of this information sharing, they suggest that collaboration is deeply educative and facilitive. A channel was also set up for each of the classes within the school. The children were invited into the class and were shown how to gain access and use the different tools available. Children in both classes can upload documents, have a conversation with each other about the work on the site and save and retrieve work. Older children have been collaboratively working on the same documents. More recently, and to conclude </w:t>
      </w:r>
      <w:r w:rsidRPr="65A5D061">
        <w:rPr>
          <w:rFonts w:ascii="Arial" w:eastAsia="Arial" w:hAnsi="Arial" w:cs="Arial"/>
          <w:sz w:val="24"/>
          <w:szCs w:val="24"/>
        </w:rPr>
        <w:lastRenderedPageBreak/>
        <w:t xml:space="preserve">the journey so far, a local community council have donated money for us to purchase six more chrome books and the County Council have facilitated the purchase of four laptops to ensure that national tests can be carried out effectively within the school. The school is currently supported by iTeach, a company that support maintenance and update application on devices such as iPads but also maintains smooth running of our PC’s and chrome books.  </w:t>
      </w:r>
    </w:p>
    <w:p w14:paraId="2C3495DB" w14:textId="52F19280" w:rsidR="37629C7A"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The aim of this journey within school was to improve standards in ICT to address the requirements of Estyn. Reflecting on the presentation accompanying this assignment, (Appendix 1 pg 8), the main question was, is it enough to teach children to use devices?  Does this mean an improvement in standards? Or are teaching these skills just a way of allowing our children to present their existing skills and knowledge in a more creative and engaging way? If you were to look at reported standards of the school in terms of end of year Outcomes and levels in the schools data pack (Appendix 5), you could see that since 2015 all children in the Foundation Phase achieved 100% Core Subject Indicators (CSI) in Language Development, Mathematical Development and Personal and Social Development. The noticeable change in these figures since 2015 is the number of children reaching the higher levels (Outcome 6) in these subject areas, particularly in Personal and Social Development. The reported levels for key stage two have not been published as there were fewer than five pupils in the cohort. However, projected levels for next year show an increase in higher level achievement (level 5). These reports are positive for the school; however, it should be noted that during this time frame both classes within the school had new teachers, so this increase in standards cannot be solely put down to the increased use of ICT.</w:t>
      </w:r>
    </w:p>
    <w:p w14:paraId="12E47B54" w14:textId="182FB106" w:rsidR="4D22515B" w:rsidRDefault="7A2E50C3" w:rsidP="7A2E50C3">
      <w:pPr>
        <w:spacing w:line="480" w:lineRule="auto"/>
        <w:rPr>
          <w:rFonts w:ascii="Arial" w:eastAsia="Arial" w:hAnsi="Arial" w:cs="Arial"/>
          <w:sz w:val="24"/>
          <w:szCs w:val="24"/>
        </w:rPr>
      </w:pPr>
      <w:r w:rsidRPr="7A2E50C3">
        <w:rPr>
          <w:rFonts w:ascii="Arial" w:eastAsia="Arial" w:hAnsi="Arial" w:cs="Arial"/>
          <w:sz w:val="24"/>
          <w:szCs w:val="24"/>
        </w:rPr>
        <w:lastRenderedPageBreak/>
        <w:t xml:space="preserve">During the process there were opportunities to engage with the children to express their views on the use of ICT within the classroom. The term ‘pupil voice’ refers to ways of listening to the views of pupils and/or involving them in decision-making </w:t>
      </w:r>
      <w:r w:rsidRPr="7A2E50C3">
        <w:rPr>
          <w:rFonts w:ascii="Arial" w:eastAsia="Arial" w:hAnsi="Arial" w:cs="Arial"/>
          <w:color w:val="000000" w:themeColor="text1"/>
          <w:sz w:val="24"/>
          <w:szCs w:val="24"/>
        </w:rPr>
        <w:t>(Department for education 2014)</w:t>
      </w:r>
      <w:r w:rsidRPr="7A2E50C3">
        <w:rPr>
          <w:rFonts w:ascii="Arial" w:eastAsia="Arial" w:hAnsi="Arial" w:cs="Arial"/>
          <w:sz w:val="24"/>
          <w:szCs w:val="24"/>
        </w:rPr>
        <w:t xml:space="preserve">. It contributes to achievement and attainment - young people involved in participative work benefit in a range of different ways. Increased confidence, self-respect, competence and an improved sense of responsibility have all been reported by young people who contribute in school (Quike, 2003). Flutter (2007), suggests that it increases motivation and engagement with learning. A feature of effective leadership is engaging pupils as active participants in their education and in making a positive contribution to their school and local community. This is discussed further by Marsh (2012) who found that pupils who had effective teacher – pupil relationship and had an input into their school life had higher engagement with their school and community. During the monitoring process the school faced with Estyn, the children were frequently questioned face to face by inspectors, governors and challenge advisors. They were questioned about what they liked and disliked about their school, but also their opinion about the changes in ICT. A pupil questionnaire found that all children felt that the developments in the school regarding ICT were positive, with only a minority stating that they didn’t feel the devices had an impact on their learning. The Governors came in to speak to learners (Appendix 3), the children felt that when producing documents that required more word processing skill, iPads were quite difficult to manipulate and devices with keyboards were more effective. This resulted in the school investing money in more chrome books for the school than iPads. </w:t>
      </w:r>
    </w:p>
    <w:p w14:paraId="399CDB05" w14:textId="0B7DAA48" w:rsidR="4D89B4DC"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lastRenderedPageBreak/>
        <w:t>Pollard, (2012) discusses this cylindrical process of plan, make provision and act, he describes it as a process of ‘</w:t>
      </w:r>
      <w:r w:rsidRPr="65A5D061">
        <w:rPr>
          <w:rFonts w:ascii="Arial" w:eastAsia="Arial" w:hAnsi="Arial" w:cs="Arial"/>
          <w:i/>
          <w:iCs/>
          <w:sz w:val="24"/>
          <w:szCs w:val="24"/>
        </w:rPr>
        <w:t>reflective teaching</w:t>
      </w:r>
      <w:r w:rsidRPr="65A5D061">
        <w:rPr>
          <w:rFonts w:ascii="Arial" w:eastAsia="Arial" w:hAnsi="Arial" w:cs="Arial"/>
          <w:sz w:val="24"/>
          <w:szCs w:val="24"/>
        </w:rPr>
        <w:t xml:space="preserve">’. He continues to suggest that teachers should monitor, observe and collect data on their own and children’s intentions, actions and feelings. Bolton, (2003) explains the idea of being reflective as a state of mind, an ongoing attitude to life and work. Brookfield (2012) calls it a ‘reflexive habit’ or ‘second nature’. This ability to realise  where we are currently and where we want to be and the learning that takes place in between.This dynamic process of listening to learners and acting on their feedback is a key feature in the new curriculum for Wales. The new National Approach to Professional Learning (NAPL) diagram from Welsh Government (2018) shows that the school learner is at the centre of everything we do. Surrounded by the four core purposes and the professional learner, it is up to the teacher as the professional to ensure they engage with the pupil to facilitate their development, and the school’s long term aims. It is also imperative within the new curriculum and educational changes within Wales currently to engage with the new professional standards for teachers. The standards concentrate on the essential elements of every teacher’s work – pedagogy, collaboration, leadership, innovation and professional learning. (Welsh Government 2017). </w:t>
      </w:r>
    </w:p>
    <w:p w14:paraId="6C7B6F5C" w14:textId="180237E2" w:rsidR="4D89B4DC" w:rsidRDefault="7A2E50C3" w:rsidP="7A2E50C3">
      <w:pPr>
        <w:spacing w:line="480" w:lineRule="auto"/>
        <w:rPr>
          <w:rFonts w:ascii="Arial" w:eastAsia="Arial" w:hAnsi="Arial" w:cs="Arial"/>
          <w:sz w:val="24"/>
          <w:szCs w:val="24"/>
        </w:rPr>
      </w:pPr>
      <w:r w:rsidRPr="7A2E50C3">
        <w:rPr>
          <w:rFonts w:ascii="Arial" w:eastAsia="Arial" w:hAnsi="Arial" w:cs="Arial"/>
          <w:sz w:val="24"/>
          <w:szCs w:val="24"/>
        </w:rPr>
        <w:t xml:space="preserve">By engaging with these new standards, pedagogy, ensuring the best outcomes for our learners, is the most important aspect of being a teacher. Throughout this process teaching and outcomes have been closely monitored by senior teaching staff, moderation processes, Governors, Challenge Advisors and Estyn inspectors. Standards for the children within the school remain high with 100% of children reaching Outcome 5 in their core subject indicators in the Foundation Phase (see data pack - Appendix 4)   </w:t>
      </w:r>
    </w:p>
    <w:p w14:paraId="3EC3DA9D" w14:textId="7B993C55" w:rsidR="4D89B4DC"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lastRenderedPageBreak/>
        <w:t xml:space="preserve">The next standard is collaboration, collaboration within our own schools' expertise but also utilising that of outside organisations and other schools. </w:t>
      </w:r>
      <w:r w:rsidRPr="65A5D061">
        <w:rPr>
          <w:rFonts w:ascii="Arial" w:eastAsia="Arial" w:hAnsi="Arial" w:cs="Arial"/>
          <w:color w:val="333333"/>
          <w:sz w:val="24"/>
          <w:szCs w:val="24"/>
        </w:rPr>
        <w:t>An underlying assumption is that educators will improve practice if they have opportunities to participate in collaborative professional development (</w:t>
      </w:r>
      <w:r w:rsidRPr="65A5D061">
        <w:rPr>
          <w:rFonts w:ascii="Arial" w:eastAsia="Arial" w:hAnsi="Arial" w:cs="Arial"/>
          <w:color w:val="000000" w:themeColor="text1"/>
          <w:sz w:val="24"/>
          <w:szCs w:val="24"/>
        </w:rPr>
        <w:t xml:space="preserve">Brownell et al., 2006). They found that there were </w:t>
      </w:r>
      <w:r w:rsidRPr="65A5D061">
        <w:rPr>
          <w:rFonts w:ascii="Arial" w:eastAsia="Arial" w:hAnsi="Arial" w:cs="Arial"/>
          <w:color w:val="333333"/>
          <w:sz w:val="24"/>
          <w:szCs w:val="24"/>
        </w:rPr>
        <w:t xml:space="preserve">differences in knowledge of curriculum, pedagogy, student management, and student-centered instruction, as well as differences in ability to reflect on and adapt instruction. Collaboration was beneficial in this project when looking at how 360 degree safe was used to assess need and robustness. Where the school we visited had trouble engaging families in adhering to gaming guidelines, our own school had no problem in engaging parents. However, our challenge was getting quality information to them and communicating effectively with them about e-safety. A challenge that was addressed quickly with the improvements with the website and the newsletter. We were also supported by the ICT advisory teacher for our area who came in and addressed staff learning needs and by </w:t>
      </w:r>
      <w:r w:rsidRPr="65A5D061">
        <w:rPr>
          <w:rFonts w:ascii="Arial" w:eastAsia="Arial" w:hAnsi="Arial" w:cs="Arial"/>
          <w:sz w:val="24"/>
          <w:szCs w:val="24"/>
        </w:rPr>
        <w:t xml:space="preserve">iTeach who support the school with technical support. The school is now engaging more with other schools to share our pedagogy and skills. This not only supports other professionals but also enables our own professional learning. </w:t>
      </w:r>
    </w:p>
    <w:p w14:paraId="5A5305A6" w14:textId="6A708625" w:rsidR="4D89B4DC"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 xml:space="preserve">Innovation helps to drive the school forward and gives plans for the future. An idea we have recently facilitated within the foundation Phase to support mixed age teaching is the use of television screens to act as mini interactive boards using an Apple TV box and an iPad. This enables us to more effectively differentiate the delivery of the ICT scheme of work through group working. An idea that many other schools have visited to experience, Feedback has been positive. Ideas like this help to save the school money, as whiteboards are more expensive than the hardware we purchased, these are fit for </w:t>
      </w:r>
      <w:r w:rsidRPr="65A5D061">
        <w:rPr>
          <w:rFonts w:ascii="Arial" w:eastAsia="Arial" w:hAnsi="Arial" w:cs="Arial"/>
          <w:sz w:val="24"/>
          <w:szCs w:val="24"/>
        </w:rPr>
        <w:lastRenderedPageBreak/>
        <w:t xml:space="preserve">purpose and have been useful in facilitating effective pedagogy for ICT and ensures we can improve standards in ICT in the future.  </w:t>
      </w:r>
    </w:p>
    <w:p w14:paraId="2FD7B10E" w14:textId="5016D8C2" w:rsidR="4D89B4DC" w:rsidRDefault="4D89B4DC" w:rsidP="4D89B4DC">
      <w:pPr>
        <w:spacing w:line="480" w:lineRule="auto"/>
        <w:rPr>
          <w:rFonts w:ascii="Arial" w:eastAsia="Arial" w:hAnsi="Arial" w:cs="Arial"/>
          <w:color w:val="333333"/>
          <w:sz w:val="24"/>
          <w:szCs w:val="24"/>
        </w:rPr>
      </w:pPr>
      <w:r w:rsidRPr="4D89B4DC">
        <w:rPr>
          <w:rFonts w:ascii="Arial" w:eastAsia="Arial" w:hAnsi="Arial" w:cs="Arial"/>
          <w:sz w:val="24"/>
          <w:szCs w:val="24"/>
        </w:rPr>
        <w:t>Leadership standards in the new curriculum highlight the need for ‘</w:t>
      </w:r>
      <w:r w:rsidRPr="4D89B4DC">
        <w:rPr>
          <w:rFonts w:ascii="Arial" w:eastAsia="Arial" w:hAnsi="Arial" w:cs="Arial"/>
          <w:i/>
          <w:iCs/>
          <w:sz w:val="24"/>
          <w:szCs w:val="24"/>
        </w:rPr>
        <w:t>perceptive and positive contributions made where necessary to support the work of the school</w:t>
      </w:r>
      <w:r w:rsidRPr="4D89B4DC">
        <w:rPr>
          <w:rFonts w:ascii="Arial" w:eastAsia="Arial" w:hAnsi="Arial" w:cs="Arial"/>
          <w:sz w:val="24"/>
          <w:szCs w:val="24"/>
        </w:rPr>
        <w:t>’. The school in this assignment was fortunate enough to have teaching staff with an interest in ICT, financial support from the community and capable learners. In a short space of time the school was able to change policy and procedure, invest in new equipment and develop practices to facilitate the DCF. Within the context of this school it was not the head teacher that took a lead in this curriculum area, but a teacher who held an interest in the area. Harris, (2010) discusses the effectiveness of</w:t>
      </w:r>
      <w:r w:rsidRPr="4D89B4DC">
        <w:rPr>
          <w:rFonts w:ascii="Arial" w:eastAsia="Arial" w:hAnsi="Arial" w:cs="Arial"/>
          <w:color w:val="333333"/>
          <w:sz w:val="24"/>
          <w:szCs w:val="24"/>
        </w:rPr>
        <w:t xml:space="preserve"> a model where leadership is fundamentally concerned with building positive relationships and empowering others to lead. Particularly in a small school, it is essential that there are strong relationships and an ethos of team to ensure the best from everyone within the team but also to lighten the workload of already stretched teaching Head Teachers.  </w:t>
      </w:r>
    </w:p>
    <w:p w14:paraId="341D4A28" w14:textId="0497830A" w:rsidR="0D05D69A"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 xml:space="preserve">At the beginning of this journey the school had very few hardware or software resources to develop a curriculum for the modern day. With the implementation of the DCF and recommendations from Estyn, it was essential that the children experienced more than they were. Although it is not to say that modern day education is all about using iPads and looking at computer screens. This is supported by Molone &amp; White (2016) who suggest that as we are becoming a ‘blue screen’ led nation it is fact it is the outdoors schools should be promoting. Research published by the Guardian newspaper suggested that many children are spending less time outside than a prison inmate, </w:t>
      </w:r>
      <w:r w:rsidRPr="65A5D061">
        <w:rPr>
          <w:rFonts w:ascii="Arial" w:eastAsia="Arial" w:hAnsi="Arial" w:cs="Arial"/>
          <w:sz w:val="24"/>
          <w:szCs w:val="24"/>
        </w:rPr>
        <w:lastRenderedPageBreak/>
        <w:t xml:space="preserve">(Carrington, 2019). There are many dilemmas facing teachers today as discussed by Pollard (2012), who highlighted that teachers feel that to improve one area within a school they feel that they need to neglect many others. In a small school this may be more significant. Without the numbers of staff to delegate and to share work load, pressure mounts on the same few to oversee the same number of areas of development as larger schools. </w:t>
      </w:r>
    </w:p>
    <w:p w14:paraId="027B3433" w14:textId="2A515429" w:rsidR="4D89B4DC" w:rsidRDefault="65A5D061" w:rsidP="65A5D061">
      <w:pPr>
        <w:spacing w:line="480" w:lineRule="auto"/>
        <w:rPr>
          <w:rFonts w:ascii="Arial" w:eastAsia="Arial" w:hAnsi="Arial" w:cs="Arial"/>
          <w:sz w:val="24"/>
          <w:szCs w:val="24"/>
        </w:rPr>
      </w:pPr>
      <w:r w:rsidRPr="65A5D061">
        <w:rPr>
          <w:rFonts w:ascii="Arial" w:eastAsia="Arial" w:hAnsi="Arial" w:cs="Arial"/>
          <w:sz w:val="24"/>
          <w:szCs w:val="24"/>
        </w:rPr>
        <w:t xml:space="preserve">This project has highlighted many developments made not only by the school but by the staff within it. Collaborative working within school and outside of school, seeking the views of the children, researching equipment, developing policy and practice, developing pedagogy, disseminating information, training other professionals, working with Governors, spending money raised by parents, fundraising, and teaching children new skills to name a few. Highlights include coming out of Estyn monitoring procedures and ensuring that the school stayed open indefinitely. The developments within this school could not have happened without the work of the parents in the community, dedication from all staff involved.  </w:t>
      </w:r>
    </w:p>
    <w:p w14:paraId="3F7BB4F1" w14:textId="1C0C6D0C" w:rsidR="0D05D69A" w:rsidRDefault="4D89B4DC" w:rsidP="0D05D69A">
      <w:r w:rsidRPr="4D89B4DC">
        <w:rPr>
          <w:rFonts w:ascii="Times New Roman" w:eastAsia="Times New Roman" w:hAnsi="Times New Roman" w:cs="Times New Roman"/>
          <w:color w:val="000000" w:themeColor="text1"/>
          <w:sz w:val="24"/>
          <w:szCs w:val="24"/>
        </w:rPr>
        <w:t xml:space="preserve"> </w:t>
      </w:r>
    </w:p>
    <w:p w14:paraId="0E6A5971" w14:textId="66A844A1" w:rsidR="0D05D69A" w:rsidRDefault="0D05D69A" w:rsidP="0D05D69A"/>
    <w:p w14:paraId="7EA42C1A" w14:textId="055A2B51" w:rsidR="0D05D69A" w:rsidRDefault="0D05D69A" w:rsidP="0D05D69A"/>
    <w:p w14:paraId="100F88A8" w14:textId="1E118850" w:rsidR="0D05D69A" w:rsidRDefault="0D05D69A" w:rsidP="0D05D69A"/>
    <w:p w14:paraId="7990530C" w14:textId="1815702A" w:rsidR="0D05D69A" w:rsidRDefault="0D05D69A" w:rsidP="0D05D69A"/>
    <w:p w14:paraId="0D4E893A" w14:textId="19936586" w:rsidR="0D05D69A" w:rsidRDefault="0D05D69A" w:rsidP="0D05D69A"/>
    <w:p w14:paraId="06FDA93C" w14:textId="688C1021" w:rsidR="0D05D69A" w:rsidRDefault="0D05D69A" w:rsidP="0D05D69A"/>
    <w:p w14:paraId="705809DB" w14:textId="75F90E03" w:rsidR="0D05D69A" w:rsidRDefault="0D05D69A" w:rsidP="0D05D69A"/>
    <w:p w14:paraId="44E6AB5D" w14:textId="38956B82" w:rsidR="0D05D69A" w:rsidRDefault="0D05D69A" w:rsidP="0D05D69A"/>
    <w:p w14:paraId="6F7D3EFD" w14:textId="7D0A635F" w:rsidR="0D05D69A" w:rsidRDefault="0D05D69A" w:rsidP="0D05D69A"/>
    <w:p w14:paraId="38713AFC" w14:textId="164F311B" w:rsidR="65A5D061" w:rsidRDefault="65A5D061" w:rsidP="65A5D061"/>
    <w:p w14:paraId="1F62454C" w14:textId="602A937C" w:rsidR="0D05D69A" w:rsidRDefault="7A2E50C3" w:rsidP="7A2E50C3">
      <w:pPr>
        <w:rPr>
          <w:rFonts w:ascii="Arial" w:eastAsia="Arial" w:hAnsi="Arial" w:cs="Arial"/>
          <w:sz w:val="24"/>
          <w:szCs w:val="24"/>
        </w:rPr>
      </w:pPr>
      <w:r w:rsidRPr="7A2E50C3">
        <w:rPr>
          <w:rFonts w:ascii="Arial" w:eastAsia="Arial" w:hAnsi="Arial" w:cs="Arial"/>
          <w:sz w:val="24"/>
          <w:szCs w:val="24"/>
        </w:rPr>
        <w:t>Bibliography</w:t>
      </w:r>
    </w:p>
    <w:p w14:paraId="26468B51" w14:textId="2ACFB069" w:rsidR="4D22515B" w:rsidRDefault="4D22515B" w:rsidP="4D22515B">
      <w:pPr>
        <w:rPr>
          <w:rFonts w:ascii="Arial" w:eastAsia="Arial" w:hAnsi="Arial" w:cs="Arial"/>
          <w:color w:val="333333"/>
          <w:sz w:val="24"/>
          <w:szCs w:val="24"/>
        </w:rPr>
      </w:pPr>
      <w:r w:rsidRPr="4D22515B">
        <w:rPr>
          <w:rFonts w:ascii="Arial" w:eastAsia="Arial" w:hAnsi="Arial" w:cs="Arial"/>
          <w:color w:val="333333"/>
          <w:sz w:val="24"/>
          <w:szCs w:val="24"/>
        </w:rPr>
        <w:t xml:space="preserve">Bell, A. (2007) ‘Designing and testing questionnaires for children’, </w:t>
      </w:r>
      <w:r w:rsidRPr="4D22515B">
        <w:rPr>
          <w:rFonts w:ascii="Arial" w:eastAsia="Arial" w:hAnsi="Arial" w:cs="Arial"/>
          <w:i/>
          <w:iCs/>
          <w:color w:val="333333"/>
          <w:sz w:val="24"/>
          <w:szCs w:val="24"/>
        </w:rPr>
        <w:t>Journal of Research in Nursing</w:t>
      </w:r>
      <w:r w:rsidRPr="4D22515B">
        <w:rPr>
          <w:rFonts w:ascii="Arial" w:eastAsia="Arial" w:hAnsi="Arial" w:cs="Arial"/>
          <w:color w:val="333333"/>
          <w:sz w:val="24"/>
          <w:szCs w:val="24"/>
        </w:rPr>
        <w:t>, 12(5), pp. 461–469.</w:t>
      </w:r>
    </w:p>
    <w:p w14:paraId="633030EC" w14:textId="09054B32" w:rsidR="0D05D69A" w:rsidRDefault="65A5D061" w:rsidP="65A5D061">
      <w:pPr>
        <w:rPr>
          <w:rFonts w:ascii="Arial" w:eastAsia="Arial" w:hAnsi="Arial" w:cs="Arial"/>
          <w:color w:val="333333"/>
          <w:sz w:val="24"/>
          <w:szCs w:val="24"/>
        </w:rPr>
      </w:pPr>
      <w:r w:rsidRPr="65A5D061">
        <w:rPr>
          <w:rFonts w:ascii="Arial" w:eastAsia="Arial" w:hAnsi="Arial" w:cs="Arial"/>
          <w:sz w:val="24"/>
          <w:szCs w:val="24"/>
        </w:rPr>
        <w:t xml:space="preserve">Bitner &amp; Bitner (2002). Journal of Technology and Teacher Education Volume 10, Number 1, 2002 ISSN 1059-7069 Publisher: Society for Information Technology &amp; Teacher Education, Waynesville, </w:t>
      </w:r>
      <w:r w:rsidRPr="65A5D061">
        <w:rPr>
          <w:rFonts w:ascii="Arial" w:eastAsia="Arial" w:hAnsi="Arial" w:cs="Arial"/>
          <w:color w:val="333333"/>
          <w:sz w:val="24"/>
          <w:szCs w:val="24"/>
        </w:rPr>
        <w:t xml:space="preserve">NC USA: Society for Information Technology &amp; Teacher Education. Retrieved May 6, 2019 from </w:t>
      </w:r>
      <w:hyperlink r:id="rId6">
        <w:r w:rsidRPr="65A5D061">
          <w:rPr>
            <w:rStyle w:val="Hyperlink"/>
            <w:rFonts w:ascii="Arial" w:eastAsia="Arial" w:hAnsi="Arial" w:cs="Arial"/>
            <w:color w:val="2168AF"/>
            <w:sz w:val="24"/>
            <w:szCs w:val="24"/>
          </w:rPr>
          <w:t>https://www.learntechlib.org/primary/p/22950/</w:t>
        </w:r>
      </w:hyperlink>
      <w:r w:rsidRPr="65A5D061">
        <w:rPr>
          <w:rFonts w:ascii="Arial" w:eastAsia="Arial" w:hAnsi="Arial" w:cs="Arial"/>
          <w:color w:val="2168AF"/>
          <w:sz w:val="24"/>
          <w:szCs w:val="24"/>
        </w:rPr>
        <w:t>.</w:t>
      </w:r>
    </w:p>
    <w:p w14:paraId="1BBDB685" w14:textId="6D9A4D0C" w:rsidR="65A5D061" w:rsidRDefault="65A5D061" w:rsidP="65A5D061">
      <w:pPr>
        <w:rPr>
          <w:rFonts w:ascii="Arial" w:eastAsia="Arial" w:hAnsi="Arial" w:cs="Arial"/>
          <w:sz w:val="24"/>
          <w:szCs w:val="24"/>
        </w:rPr>
      </w:pPr>
      <w:r w:rsidRPr="65A5D061">
        <w:rPr>
          <w:rFonts w:ascii="Arial" w:eastAsia="Arial" w:hAnsi="Arial" w:cs="Arial"/>
          <w:sz w:val="24"/>
          <w:szCs w:val="24"/>
        </w:rPr>
        <w:t>Bolton, G. (2009) ‘Writing values: reflective writing for professional development’, The Lancet, 373, 20-1.</w:t>
      </w:r>
    </w:p>
    <w:p w14:paraId="209BF286" w14:textId="19904819" w:rsidR="65A5D061" w:rsidRDefault="65A5D061" w:rsidP="65A5D061">
      <w:pPr>
        <w:rPr>
          <w:rFonts w:ascii="Arial" w:eastAsia="Arial" w:hAnsi="Arial" w:cs="Arial"/>
          <w:sz w:val="24"/>
          <w:szCs w:val="24"/>
        </w:rPr>
      </w:pPr>
      <w:r w:rsidRPr="65A5D061">
        <w:rPr>
          <w:rFonts w:ascii="Arial" w:eastAsia="Arial" w:hAnsi="Arial" w:cs="Arial"/>
          <w:sz w:val="24"/>
          <w:szCs w:val="24"/>
        </w:rPr>
        <w:t xml:space="preserve">Brookfield, S.D. (2012) </w:t>
      </w:r>
      <w:r w:rsidRPr="65A5D061">
        <w:rPr>
          <w:rFonts w:ascii="Arial" w:eastAsia="Arial" w:hAnsi="Arial" w:cs="Arial"/>
          <w:i/>
          <w:iCs/>
          <w:sz w:val="24"/>
          <w:szCs w:val="24"/>
        </w:rPr>
        <w:t>Teaching for Critical Thinking: Tools and Techniques to Help Students Question their Assumptions</w:t>
      </w:r>
      <w:r w:rsidRPr="65A5D061">
        <w:rPr>
          <w:rFonts w:ascii="Arial" w:eastAsia="Arial" w:hAnsi="Arial" w:cs="Arial"/>
          <w:sz w:val="24"/>
          <w:szCs w:val="24"/>
        </w:rPr>
        <w:t>. San Francisco, CA: John Wiley.</w:t>
      </w:r>
    </w:p>
    <w:p w14:paraId="38CEDC7C" w14:textId="7D1BAEF2" w:rsidR="65A5D061" w:rsidRDefault="65A5D061" w:rsidP="65A5D061">
      <w:pPr>
        <w:rPr>
          <w:rFonts w:ascii="Arial" w:eastAsia="Arial" w:hAnsi="Arial" w:cs="Arial"/>
          <w:color w:val="000000" w:themeColor="text1"/>
          <w:sz w:val="24"/>
          <w:szCs w:val="24"/>
        </w:rPr>
      </w:pPr>
      <w:r w:rsidRPr="65A5D061">
        <w:rPr>
          <w:rFonts w:ascii="Arial" w:eastAsia="Arial" w:hAnsi="Arial" w:cs="Arial"/>
          <w:color w:val="000000" w:themeColor="text1"/>
          <w:sz w:val="24"/>
          <w:szCs w:val="24"/>
        </w:rPr>
        <w:t xml:space="preserve">Brownell, M., Adams, A., Sindelar, P., Waldron, N. and Vanhover, S. (2006). Learning from Collaboration: The Role of Teacher Qualities. </w:t>
      </w:r>
      <w:r w:rsidRPr="65A5D061">
        <w:rPr>
          <w:rFonts w:ascii="Arial" w:eastAsia="Arial" w:hAnsi="Arial" w:cs="Arial"/>
          <w:i/>
          <w:iCs/>
          <w:color w:val="000000" w:themeColor="text1"/>
          <w:sz w:val="24"/>
          <w:szCs w:val="24"/>
        </w:rPr>
        <w:t>Exceptional Children</w:t>
      </w:r>
      <w:r w:rsidRPr="65A5D061">
        <w:rPr>
          <w:rFonts w:ascii="Arial" w:eastAsia="Arial" w:hAnsi="Arial" w:cs="Arial"/>
          <w:color w:val="000000" w:themeColor="text1"/>
          <w:sz w:val="24"/>
          <w:szCs w:val="24"/>
        </w:rPr>
        <w:t>, 72(2), pp.169-185.</w:t>
      </w:r>
    </w:p>
    <w:p w14:paraId="724F0418" w14:textId="6E6298AD" w:rsidR="65A5D061" w:rsidRDefault="65A5D061" w:rsidP="65A5D061">
      <w:pPr>
        <w:rPr>
          <w:rFonts w:ascii="Arial" w:eastAsia="Arial" w:hAnsi="Arial" w:cs="Arial"/>
          <w:color w:val="666666"/>
          <w:sz w:val="24"/>
          <w:szCs w:val="24"/>
        </w:rPr>
      </w:pPr>
      <w:r w:rsidRPr="65A5D061">
        <w:rPr>
          <w:rFonts w:ascii="Arial" w:eastAsia="Arial" w:hAnsi="Arial" w:cs="Arial"/>
          <w:color w:val="000000" w:themeColor="text1"/>
          <w:sz w:val="24"/>
          <w:szCs w:val="24"/>
        </w:rPr>
        <w:t xml:space="preserve">Carrington, D. (2019). </w:t>
      </w:r>
      <w:r w:rsidRPr="65A5D061">
        <w:rPr>
          <w:rFonts w:ascii="Arial" w:eastAsia="Arial" w:hAnsi="Arial" w:cs="Arial"/>
          <w:i/>
          <w:iCs/>
          <w:color w:val="000000" w:themeColor="text1"/>
          <w:sz w:val="24"/>
          <w:szCs w:val="24"/>
        </w:rPr>
        <w:t>Three-quarters of UK children spend less time outdoors than prison inmates – survey</w:t>
      </w:r>
      <w:r w:rsidRPr="65A5D061">
        <w:rPr>
          <w:rFonts w:ascii="Arial" w:eastAsia="Arial" w:hAnsi="Arial" w:cs="Arial"/>
          <w:color w:val="000000" w:themeColor="text1"/>
          <w:sz w:val="24"/>
          <w:szCs w:val="24"/>
        </w:rPr>
        <w:t>. [online] the Guardian. Available at: https://www.theguardian.com/environment/2016/mar/25/three-quarters-of-uk-children-spend-less-time-outdoors-than-prison-inmates-survey</w:t>
      </w:r>
    </w:p>
    <w:p w14:paraId="7ED07EDA" w14:textId="6F57437C" w:rsidR="4D22515B" w:rsidRDefault="4D22515B" w:rsidP="4D22515B">
      <w:pPr>
        <w:rPr>
          <w:rFonts w:ascii="Arial" w:eastAsia="Arial" w:hAnsi="Arial" w:cs="Arial"/>
          <w:color w:val="000000" w:themeColor="text1"/>
          <w:sz w:val="24"/>
          <w:szCs w:val="24"/>
        </w:rPr>
      </w:pPr>
      <w:r w:rsidRPr="4D22515B">
        <w:rPr>
          <w:rFonts w:ascii="Arial" w:eastAsia="Arial" w:hAnsi="Arial" w:cs="Arial"/>
          <w:color w:val="000000" w:themeColor="text1"/>
          <w:sz w:val="24"/>
          <w:szCs w:val="24"/>
        </w:rPr>
        <w:t xml:space="preserve">Department for education (2014). </w:t>
      </w:r>
      <w:r w:rsidRPr="4D22515B">
        <w:rPr>
          <w:rFonts w:ascii="Arial" w:eastAsia="Arial" w:hAnsi="Arial" w:cs="Arial"/>
          <w:i/>
          <w:iCs/>
          <w:color w:val="000000" w:themeColor="text1"/>
          <w:sz w:val="24"/>
          <w:szCs w:val="24"/>
        </w:rPr>
        <w:t>listening to and involving children and young people</w:t>
      </w:r>
      <w:r w:rsidRPr="4D22515B">
        <w:rPr>
          <w:rFonts w:ascii="Arial" w:eastAsia="Arial" w:hAnsi="Arial" w:cs="Arial"/>
          <w:color w:val="000000" w:themeColor="text1"/>
          <w:sz w:val="24"/>
          <w:szCs w:val="24"/>
        </w:rPr>
        <w:t>. [online] Department for Education. Available at: https://assets.publishing.service.gov.uk/government/uploads/system/uploads/attachment_data/file/437241/Listening_to_and_involving_children_and_young_people.pdf [Accessed 08 May 2019].</w:t>
      </w:r>
    </w:p>
    <w:p w14:paraId="0CEC1B3C" w14:textId="0812F508" w:rsidR="0D05D69A" w:rsidRDefault="4D22515B" w:rsidP="4D22515B">
      <w:pPr>
        <w:rPr>
          <w:rFonts w:ascii="Arial" w:eastAsia="Arial" w:hAnsi="Arial" w:cs="Arial"/>
          <w:sz w:val="24"/>
          <w:szCs w:val="24"/>
        </w:rPr>
      </w:pPr>
      <w:r w:rsidRPr="4D22515B">
        <w:rPr>
          <w:rFonts w:ascii="Arial" w:eastAsia="Arial" w:hAnsi="Arial" w:cs="Arial"/>
          <w:sz w:val="24"/>
          <w:szCs w:val="24"/>
        </w:rPr>
        <w:t xml:space="preserve">Donaldson, G. (2015). </w:t>
      </w:r>
      <w:r w:rsidRPr="4D22515B">
        <w:rPr>
          <w:rFonts w:ascii="Arial" w:eastAsia="Arial" w:hAnsi="Arial" w:cs="Arial"/>
          <w:i/>
          <w:iCs/>
          <w:sz w:val="24"/>
          <w:szCs w:val="24"/>
        </w:rPr>
        <w:t>Successful Futures: Independent review of curriculum and assessment arrangements in Wales</w:t>
      </w:r>
      <w:r w:rsidRPr="4D22515B">
        <w:rPr>
          <w:rFonts w:ascii="Arial" w:eastAsia="Arial" w:hAnsi="Arial" w:cs="Arial"/>
          <w:sz w:val="24"/>
          <w:szCs w:val="24"/>
        </w:rPr>
        <w:t>. Caerdydd: Llywodraeth Cenedlaethol Cymru.</w:t>
      </w:r>
    </w:p>
    <w:p w14:paraId="7ED97098" w14:textId="0E37520B" w:rsidR="4D22515B" w:rsidRDefault="4D89B4DC" w:rsidP="4D22515B">
      <w:r w:rsidRPr="4D89B4DC">
        <w:rPr>
          <w:rFonts w:ascii="Arial" w:eastAsia="Arial" w:hAnsi="Arial" w:cs="Arial"/>
          <w:color w:val="333333"/>
          <w:sz w:val="24"/>
          <w:szCs w:val="24"/>
        </w:rPr>
        <w:t xml:space="preserve">Flutter, J. (2007) </w:t>
      </w:r>
      <w:r w:rsidRPr="4D89B4DC">
        <w:rPr>
          <w:rFonts w:ascii="Arial" w:eastAsia="Arial" w:hAnsi="Arial" w:cs="Arial"/>
          <w:i/>
          <w:iCs/>
          <w:color w:val="333333"/>
          <w:sz w:val="24"/>
          <w:szCs w:val="24"/>
        </w:rPr>
        <w:t>Teacher development and pupil voice</w:t>
      </w:r>
      <w:r w:rsidRPr="4D89B4DC">
        <w:rPr>
          <w:rFonts w:ascii="Arial" w:eastAsia="Arial" w:hAnsi="Arial" w:cs="Arial"/>
          <w:color w:val="333333"/>
          <w:sz w:val="24"/>
          <w:szCs w:val="24"/>
        </w:rPr>
        <w:t>, The Curriculum Journal, 18:3, 343-354,</w:t>
      </w:r>
    </w:p>
    <w:p w14:paraId="39E8941C" w14:textId="18F14F9E" w:rsidR="4D89B4DC" w:rsidRDefault="4D89B4DC" w:rsidP="4D89B4DC">
      <w:r w:rsidRPr="4D89B4DC">
        <w:rPr>
          <w:rFonts w:ascii="Arial" w:eastAsia="Arial" w:hAnsi="Arial" w:cs="Arial"/>
          <w:color w:val="333333"/>
          <w:sz w:val="24"/>
          <w:szCs w:val="24"/>
        </w:rPr>
        <w:t>Harris, A. (2010) Effective Leadership in Schools Facing Challenging Contexts, School Leadership &amp; Management, 22:1, 15-26</w:t>
      </w:r>
    </w:p>
    <w:p w14:paraId="31F00036" w14:textId="21EC6CAD" w:rsidR="602EA888" w:rsidRDefault="4D22515B" w:rsidP="4D22515B">
      <w:pPr>
        <w:rPr>
          <w:rFonts w:ascii="Arial" w:eastAsia="Arial" w:hAnsi="Arial" w:cs="Arial"/>
          <w:color w:val="333333"/>
          <w:sz w:val="24"/>
          <w:szCs w:val="24"/>
        </w:rPr>
      </w:pPr>
      <w:r w:rsidRPr="4D22515B">
        <w:rPr>
          <w:rFonts w:ascii="Arial" w:eastAsia="Arial" w:hAnsi="Arial" w:cs="Arial"/>
          <w:color w:val="333333"/>
          <w:sz w:val="24"/>
          <w:szCs w:val="24"/>
        </w:rPr>
        <w:t>Jimoyiannis, A &amp; Komis, V (2007) Examining teachers’ beliefs about ICT in education: implications of a teacher preparation programme, Teacher Development, 11:2, 149-173</w:t>
      </w:r>
    </w:p>
    <w:p w14:paraId="5BC5722C" w14:textId="3C8F1917" w:rsidR="0D05D69A" w:rsidRDefault="4D22515B" w:rsidP="4D22515B">
      <w:pPr>
        <w:rPr>
          <w:rFonts w:ascii="Arial" w:eastAsia="Arial" w:hAnsi="Arial" w:cs="Arial"/>
          <w:color w:val="333333"/>
          <w:sz w:val="24"/>
          <w:szCs w:val="24"/>
        </w:rPr>
      </w:pPr>
      <w:r w:rsidRPr="4D22515B">
        <w:rPr>
          <w:rFonts w:ascii="Arial" w:eastAsia="Arial" w:hAnsi="Arial" w:cs="Arial"/>
          <w:color w:val="333333"/>
          <w:sz w:val="24"/>
          <w:szCs w:val="24"/>
        </w:rPr>
        <w:lastRenderedPageBreak/>
        <w:t xml:space="preserve">Levin, T. &amp; Wadmany, R. (2008). Teachers’ Views on Factors Affecting Effective Integration of Information Technology in the Classroom: Developmental Scenery. </w:t>
      </w:r>
      <w:r w:rsidRPr="4D22515B">
        <w:rPr>
          <w:rFonts w:ascii="Arial" w:eastAsia="Arial" w:hAnsi="Arial" w:cs="Arial"/>
          <w:i/>
          <w:iCs/>
          <w:color w:val="333333"/>
          <w:sz w:val="24"/>
          <w:szCs w:val="24"/>
        </w:rPr>
        <w:t>Journal of Technology and Teacher Education, 16</w:t>
      </w:r>
      <w:r w:rsidRPr="4D22515B">
        <w:rPr>
          <w:rFonts w:ascii="Arial" w:eastAsia="Arial" w:hAnsi="Arial" w:cs="Arial"/>
          <w:color w:val="333333"/>
          <w:sz w:val="24"/>
          <w:szCs w:val="24"/>
        </w:rPr>
        <w:t xml:space="preserve">(2), 233-263. Waynesville, NC USA: Society for Information Technology &amp; Teacher Education. Retrieved May 6, 2019 from </w:t>
      </w:r>
      <w:hyperlink r:id="rId7">
        <w:r w:rsidRPr="4D22515B">
          <w:rPr>
            <w:rStyle w:val="Hyperlink"/>
            <w:rFonts w:ascii="Arial" w:eastAsia="Arial" w:hAnsi="Arial" w:cs="Arial"/>
            <w:color w:val="2168AF"/>
            <w:sz w:val="24"/>
            <w:szCs w:val="24"/>
          </w:rPr>
          <w:t>https://www.learntechlib.org/primary/p/22950/</w:t>
        </w:r>
      </w:hyperlink>
      <w:r w:rsidRPr="4D22515B">
        <w:rPr>
          <w:rFonts w:ascii="Arial" w:eastAsia="Arial" w:hAnsi="Arial" w:cs="Arial"/>
          <w:color w:val="2168AF"/>
          <w:sz w:val="24"/>
          <w:szCs w:val="24"/>
        </w:rPr>
        <w:t>.</w:t>
      </w:r>
    </w:p>
    <w:p w14:paraId="1AE7E988" w14:textId="16E9D56C" w:rsidR="602EA888" w:rsidRDefault="65A5D061" w:rsidP="65A5D061">
      <w:pPr>
        <w:rPr>
          <w:rFonts w:ascii="Arial" w:eastAsia="Arial" w:hAnsi="Arial" w:cs="Arial"/>
          <w:color w:val="333333"/>
          <w:sz w:val="24"/>
          <w:szCs w:val="24"/>
        </w:rPr>
      </w:pPr>
      <w:r w:rsidRPr="65A5D061">
        <w:rPr>
          <w:rFonts w:ascii="Arial" w:eastAsia="Arial" w:hAnsi="Arial" w:cs="Arial"/>
          <w:color w:val="333333"/>
          <w:sz w:val="24"/>
          <w:szCs w:val="24"/>
        </w:rPr>
        <w:t>Livingstone, S. (2012) Critical reflections on the benefits of ICT in education, Oxford Review of Education, 38:1, 9-24,</w:t>
      </w:r>
    </w:p>
    <w:p w14:paraId="2EC65351" w14:textId="0900EC0F" w:rsidR="0D05D69A" w:rsidRDefault="65A5D061" w:rsidP="65A5D061">
      <w:pPr>
        <w:rPr>
          <w:rFonts w:ascii="Arial" w:eastAsia="Arial" w:hAnsi="Arial" w:cs="Arial"/>
          <w:sz w:val="24"/>
          <w:szCs w:val="24"/>
        </w:rPr>
      </w:pPr>
      <w:r w:rsidRPr="65A5D061">
        <w:rPr>
          <w:rFonts w:ascii="Arial" w:eastAsia="Arial" w:hAnsi="Arial" w:cs="Arial"/>
          <w:color w:val="000000" w:themeColor="text1"/>
          <w:sz w:val="24"/>
          <w:szCs w:val="24"/>
          <w:lang w:val="en-GB"/>
        </w:rPr>
        <w:t xml:space="preserve">Molone, K. and Waite, S. (2016) Student Outcomes and Natural Schooling. Plymouth: Plymouth University.: </w:t>
      </w:r>
      <w:hyperlink r:id="rId8">
        <w:r w:rsidRPr="65A5D061">
          <w:rPr>
            <w:rStyle w:val="Hyperlink"/>
            <w:rFonts w:ascii="Arial" w:eastAsia="Arial" w:hAnsi="Arial" w:cs="Arial"/>
            <w:color w:val="0000FF"/>
            <w:sz w:val="24"/>
            <w:szCs w:val="24"/>
            <w:lang w:val="en-GB"/>
          </w:rPr>
          <w:t>http://www.plymouth.ac.uk/research/oelres-net</w:t>
        </w:r>
      </w:hyperlink>
    </w:p>
    <w:p w14:paraId="5E2ABD9F" w14:textId="7CC37D36" w:rsidR="65A5D061" w:rsidRDefault="65A5D061" w:rsidP="65A5D061">
      <w:r w:rsidRPr="65A5D061">
        <w:rPr>
          <w:rFonts w:ascii="Arial" w:eastAsia="Arial" w:hAnsi="Arial" w:cs="Arial"/>
          <w:color w:val="000000" w:themeColor="text1"/>
          <w:sz w:val="24"/>
          <w:szCs w:val="24"/>
          <w:lang w:val="en-GB"/>
        </w:rPr>
        <w:t xml:space="preserve">Pollard, A. and Anderson, J. (2012). </w:t>
      </w:r>
      <w:r w:rsidRPr="65A5D061">
        <w:rPr>
          <w:rFonts w:ascii="Arial" w:eastAsia="Arial" w:hAnsi="Arial" w:cs="Arial"/>
          <w:i/>
          <w:iCs/>
          <w:color w:val="000000" w:themeColor="text1"/>
          <w:sz w:val="24"/>
          <w:szCs w:val="24"/>
          <w:lang w:val="en-GB"/>
        </w:rPr>
        <w:t>Reflective teaching</w:t>
      </w:r>
      <w:r w:rsidRPr="65A5D061">
        <w:rPr>
          <w:rFonts w:ascii="Arial" w:eastAsia="Arial" w:hAnsi="Arial" w:cs="Arial"/>
          <w:color w:val="000000" w:themeColor="text1"/>
          <w:sz w:val="24"/>
          <w:szCs w:val="24"/>
          <w:lang w:val="en-GB"/>
        </w:rPr>
        <w:t>. 3rd ed. London: Continuum International Pub. Group</w:t>
      </w:r>
      <w:r w:rsidRPr="65A5D061">
        <w:rPr>
          <w:rFonts w:ascii="Arial" w:eastAsia="Arial" w:hAnsi="Arial" w:cs="Arial"/>
          <w:color w:val="000000" w:themeColor="text1"/>
          <w:sz w:val="19"/>
          <w:szCs w:val="19"/>
          <w:lang w:val="en-GB"/>
        </w:rPr>
        <w:t>.</w:t>
      </w:r>
    </w:p>
    <w:p w14:paraId="387AFCBC" w14:textId="029B034A" w:rsidR="65A5D061" w:rsidRDefault="65A5D061" w:rsidP="65A5D061">
      <w:pPr>
        <w:rPr>
          <w:rFonts w:ascii="Arial" w:eastAsia="Arial" w:hAnsi="Arial" w:cs="Arial"/>
          <w:color w:val="000000" w:themeColor="text1"/>
          <w:sz w:val="24"/>
          <w:szCs w:val="24"/>
          <w:lang w:val="en-GB"/>
        </w:rPr>
      </w:pPr>
      <w:r w:rsidRPr="65A5D061">
        <w:rPr>
          <w:rFonts w:ascii="Arial" w:eastAsia="Arial" w:hAnsi="Arial" w:cs="Arial"/>
          <w:color w:val="000000" w:themeColor="text1"/>
          <w:sz w:val="24"/>
          <w:szCs w:val="24"/>
          <w:lang w:val="en-GB"/>
        </w:rPr>
        <w:t xml:space="preserve">Powys County Council (2018). </w:t>
      </w:r>
      <w:r w:rsidRPr="65A5D061">
        <w:rPr>
          <w:rFonts w:ascii="Arial" w:eastAsia="Arial" w:hAnsi="Arial" w:cs="Arial"/>
          <w:i/>
          <w:iCs/>
          <w:color w:val="000000" w:themeColor="text1"/>
          <w:sz w:val="24"/>
          <w:szCs w:val="24"/>
          <w:lang w:val="en-GB"/>
        </w:rPr>
        <w:t>School Organisation Policy Delivery Plan</w:t>
      </w:r>
      <w:r w:rsidRPr="65A5D061">
        <w:rPr>
          <w:rFonts w:ascii="Arial" w:eastAsia="Arial" w:hAnsi="Arial" w:cs="Arial"/>
          <w:color w:val="000000" w:themeColor="text1"/>
          <w:sz w:val="24"/>
          <w:szCs w:val="24"/>
          <w:lang w:val="en-GB"/>
        </w:rPr>
        <w:t xml:space="preserve">. [online] Powys County Council. </w:t>
      </w:r>
    </w:p>
    <w:p w14:paraId="5A2D63AA" w14:textId="0C030772" w:rsidR="65A5D061" w:rsidRDefault="65A5D061" w:rsidP="65A5D061">
      <w:pPr>
        <w:rPr>
          <w:rFonts w:ascii="Arial" w:eastAsia="Arial" w:hAnsi="Arial" w:cs="Arial"/>
          <w:color w:val="666666"/>
          <w:sz w:val="24"/>
          <w:szCs w:val="24"/>
          <w:lang w:val="en-GB"/>
        </w:rPr>
      </w:pPr>
      <w:r w:rsidRPr="65A5D061">
        <w:rPr>
          <w:rFonts w:ascii="Arial" w:eastAsia="Arial" w:hAnsi="Arial" w:cs="Arial"/>
          <w:color w:val="000000" w:themeColor="text1"/>
          <w:sz w:val="24"/>
          <w:szCs w:val="24"/>
          <w:lang w:val="en-GB"/>
        </w:rPr>
        <w:t xml:space="preserve">Quicke, J. (2003). Educating the pupil voice. </w:t>
      </w:r>
      <w:r w:rsidRPr="65A5D061">
        <w:rPr>
          <w:rFonts w:ascii="Arial" w:eastAsia="Arial" w:hAnsi="Arial" w:cs="Arial"/>
          <w:i/>
          <w:iCs/>
          <w:color w:val="000000" w:themeColor="text1"/>
          <w:sz w:val="24"/>
          <w:szCs w:val="24"/>
          <w:lang w:val="en-GB"/>
        </w:rPr>
        <w:t>Support for Learning</w:t>
      </w:r>
      <w:r w:rsidRPr="65A5D061">
        <w:rPr>
          <w:rFonts w:ascii="Arial" w:eastAsia="Arial" w:hAnsi="Arial" w:cs="Arial"/>
          <w:color w:val="000000" w:themeColor="text1"/>
          <w:sz w:val="24"/>
          <w:szCs w:val="24"/>
          <w:lang w:val="en-GB"/>
        </w:rPr>
        <w:t>, [online] 18(2), pp.51-57. Available at: https://onlinelibrary.wiley.com/doi/pdf/10.1111/1467-9604.00280 [Accessed 9 May 2019].</w:t>
      </w:r>
    </w:p>
    <w:p w14:paraId="5C56848D" w14:textId="375C127B" w:rsidR="602EA888" w:rsidRDefault="65A5D061" w:rsidP="65A5D061">
      <w:pPr>
        <w:rPr>
          <w:rFonts w:ascii="Arial" w:eastAsia="Arial" w:hAnsi="Arial" w:cs="Arial"/>
          <w:color w:val="000000" w:themeColor="text1"/>
          <w:sz w:val="24"/>
          <w:szCs w:val="24"/>
          <w:lang w:val="en-GB"/>
        </w:rPr>
      </w:pPr>
      <w:r w:rsidRPr="65A5D061">
        <w:rPr>
          <w:rFonts w:ascii="Arial" w:eastAsia="Arial" w:hAnsi="Arial" w:cs="Arial"/>
          <w:color w:val="000000" w:themeColor="text1"/>
          <w:sz w:val="24"/>
          <w:szCs w:val="24"/>
          <w:lang w:val="en-GB"/>
        </w:rPr>
        <w:t xml:space="preserve">Welsh Government (2016). </w:t>
      </w:r>
      <w:r w:rsidRPr="65A5D061">
        <w:rPr>
          <w:rFonts w:ascii="Arial" w:eastAsia="Arial" w:hAnsi="Arial" w:cs="Arial"/>
          <w:i/>
          <w:iCs/>
          <w:color w:val="000000" w:themeColor="text1"/>
          <w:sz w:val="24"/>
          <w:szCs w:val="24"/>
          <w:lang w:val="en-GB"/>
        </w:rPr>
        <w:t>Digital Competance Framework Guidence</w:t>
      </w:r>
      <w:r w:rsidRPr="65A5D061">
        <w:rPr>
          <w:rFonts w:ascii="Arial" w:eastAsia="Arial" w:hAnsi="Arial" w:cs="Arial"/>
          <w:color w:val="000000" w:themeColor="text1"/>
          <w:sz w:val="24"/>
          <w:szCs w:val="24"/>
          <w:lang w:val="en-GB"/>
        </w:rPr>
        <w:t>. Cardiff: Welsh Government, p.2.</w:t>
      </w:r>
    </w:p>
    <w:p w14:paraId="219AE505" w14:textId="1EAD3B01" w:rsidR="65A5D061" w:rsidRDefault="65A5D061" w:rsidP="65A5D061">
      <w:r w:rsidRPr="65A5D061">
        <w:rPr>
          <w:rFonts w:ascii="Arial" w:eastAsia="Arial" w:hAnsi="Arial" w:cs="Arial"/>
          <w:color w:val="000000" w:themeColor="text1"/>
          <w:sz w:val="24"/>
          <w:szCs w:val="24"/>
          <w:lang w:val="en-GB"/>
        </w:rPr>
        <w:t xml:space="preserve">Welsh Government, learning Wales (2019). </w:t>
      </w:r>
      <w:r w:rsidRPr="65A5D061">
        <w:rPr>
          <w:rFonts w:ascii="Arial" w:eastAsia="Arial" w:hAnsi="Arial" w:cs="Arial"/>
          <w:i/>
          <w:iCs/>
          <w:color w:val="000000" w:themeColor="text1"/>
          <w:sz w:val="24"/>
          <w:szCs w:val="24"/>
          <w:lang w:val="en-GB"/>
        </w:rPr>
        <w:t>Digital Competancy Framewor</w:t>
      </w:r>
      <w:r w:rsidRPr="65A5D061">
        <w:rPr>
          <w:rFonts w:ascii="Arial" w:eastAsia="Arial" w:hAnsi="Arial" w:cs="Arial"/>
          <w:i/>
          <w:iCs/>
          <w:color w:val="000000" w:themeColor="text1"/>
          <w:sz w:val="19"/>
          <w:szCs w:val="19"/>
          <w:lang w:val="en-GB"/>
        </w:rPr>
        <w:t>k</w:t>
      </w:r>
      <w:r w:rsidRPr="65A5D061">
        <w:rPr>
          <w:rFonts w:ascii="Arial" w:eastAsia="Arial" w:hAnsi="Arial" w:cs="Arial"/>
          <w:color w:val="000000" w:themeColor="text1"/>
          <w:sz w:val="19"/>
          <w:szCs w:val="19"/>
          <w:lang w:val="en-GB"/>
        </w:rPr>
        <w:t>.</w:t>
      </w:r>
    </w:p>
    <w:p w14:paraId="0F8C883C" w14:textId="696E975E" w:rsidR="602EA888" w:rsidRDefault="65A5D061" w:rsidP="65A5D061">
      <w:pPr>
        <w:rPr>
          <w:rFonts w:ascii="Arial" w:eastAsia="Arial" w:hAnsi="Arial" w:cs="Arial"/>
          <w:color w:val="333333"/>
          <w:sz w:val="24"/>
          <w:szCs w:val="24"/>
          <w:lang w:val="en-GB"/>
        </w:rPr>
      </w:pPr>
      <w:r w:rsidRPr="65A5D061">
        <w:rPr>
          <w:rFonts w:ascii="Arial" w:eastAsia="Arial" w:hAnsi="Arial" w:cs="Arial"/>
          <w:color w:val="333333"/>
          <w:sz w:val="24"/>
          <w:szCs w:val="24"/>
          <w:lang w:val="en-GB"/>
        </w:rPr>
        <w:t xml:space="preserve">Wilkin, S, Davies, H, Eynon, R. (2017) </w:t>
      </w:r>
      <w:hyperlink r:id="rId9">
        <w:r w:rsidRPr="65A5D061">
          <w:rPr>
            <w:rStyle w:val="Hyperlink"/>
            <w:rFonts w:ascii="Arial" w:eastAsia="Arial" w:hAnsi="Arial" w:cs="Arial"/>
            <w:color w:val="auto"/>
            <w:sz w:val="24"/>
            <w:szCs w:val="24"/>
            <w:u w:val="none"/>
            <w:lang w:val="en-GB"/>
          </w:rPr>
          <w:t>Addressing digital inequalities amongst young people: conflicting discourses and complex outcomes</w:t>
        </w:r>
      </w:hyperlink>
      <w:r w:rsidRPr="65A5D061">
        <w:rPr>
          <w:rFonts w:ascii="Arial" w:eastAsia="Arial" w:hAnsi="Arial" w:cs="Arial"/>
          <w:sz w:val="24"/>
          <w:szCs w:val="24"/>
          <w:lang w:val="en-GB"/>
        </w:rPr>
        <w:t>.</w:t>
      </w:r>
      <w:r w:rsidRPr="65A5D061">
        <w:rPr>
          <w:rFonts w:ascii="Arial" w:eastAsia="Arial" w:hAnsi="Arial" w:cs="Arial"/>
          <w:color w:val="10147E"/>
          <w:sz w:val="24"/>
          <w:szCs w:val="24"/>
          <w:lang w:val="en-GB"/>
        </w:rPr>
        <w:t xml:space="preserve"> </w:t>
      </w:r>
      <w:r w:rsidRPr="65A5D061">
        <w:rPr>
          <w:rFonts w:ascii="Arial" w:eastAsia="Arial" w:hAnsi="Arial" w:cs="Arial"/>
          <w:i/>
          <w:iCs/>
          <w:color w:val="333333"/>
          <w:sz w:val="24"/>
          <w:szCs w:val="24"/>
          <w:lang w:val="en-GB"/>
        </w:rPr>
        <w:t>Oxford Review of Education</w:t>
      </w:r>
      <w:r w:rsidRPr="65A5D061">
        <w:rPr>
          <w:rFonts w:ascii="Arial" w:eastAsia="Arial" w:hAnsi="Arial" w:cs="Arial"/>
          <w:color w:val="333333"/>
          <w:sz w:val="24"/>
          <w:szCs w:val="24"/>
          <w:lang w:val="en-GB"/>
        </w:rPr>
        <w:t xml:space="preserve"> 43:3, pages 332-347.</w:t>
      </w:r>
    </w:p>
    <w:p w14:paraId="56D92889" w14:textId="791A2747" w:rsidR="65A5D061" w:rsidRDefault="65A5D061" w:rsidP="65A5D061">
      <w:pPr>
        <w:rPr>
          <w:rFonts w:ascii="Arial" w:eastAsia="Arial" w:hAnsi="Arial" w:cs="Arial"/>
          <w:color w:val="333333"/>
          <w:sz w:val="24"/>
          <w:szCs w:val="24"/>
          <w:lang w:val="en-GB"/>
        </w:rPr>
      </w:pPr>
      <w:r w:rsidRPr="65A5D061">
        <w:rPr>
          <w:rFonts w:ascii="Arial" w:eastAsia="Arial" w:hAnsi="Arial" w:cs="Arial"/>
          <w:color w:val="333333"/>
          <w:sz w:val="24"/>
          <w:szCs w:val="24"/>
          <w:lang w:val="en-GB"/>
        </w:rPr>
        <w:t xml:space="preserve">Wills, K.V. and Clerkin, T.A.(2009) ‘Incorporating reflective practice into team simulation projects for improved learning outcomes’ </w:t>
      </w:r>
      <w:r w:rsidRPr="65A5D061">
        <w:rPr>
          <w:rFonts w:ascii="Arial" w:eastAsia="Arial" w:hAnsi="Arial" w:cs="Arial"/>
          <w:i/>
          <w:iCs/>
          <w:color w:val="333333"/>
          <w:sz w:val="24"/>
          <w:szCs w:val="24"/>
          <w:lang w:val="en-GB"/>
        </w:rPr>
        <w:t>Business Communication Quarterly</w:t>
      </w:r>
      <w:r w:rsidRPr="65A5D061">
        <w:rPr>
          <w:rFonts w:ascii="Arial" w:eastAsia="Arial" w:hAnsi="Arial" w:cs="Arial"/>
          <w:color w:val="333333"/>
          <w:sz w:val="24"/>
          <w:szCs w:val="24"/>
          <w:lang w:val="en-GB"/>
        </w:rPr>
        <w:t>, 72, 221. DOI:10.1177/1080569909334559.</w:t>
      </w:r>
    </w:p>
    <w:p w14:paraId="0EF13D31" w14:textId="26EA0176" w:rsidR="0D05D69A" w:rsidRDefault="0D05D69A" w:rsidP="0D05D69A">
      <w:pPr>
        <w:rPr>
          <w:rFonts w:ascii="Calibri" w:eastAsia="Calibri" w:hAnsi="Calibri" w:cs="Calibri"/>
          <w:color w:val="2168AF"/>
        </w:rPr>
      </w:pPr>
    </w:p>
    <w:p w14:paraId="4B8DD036" w14:textId="470880C9" w:rsidR="0D05D69A" w:rsidRDefault="0D05D69A" w:rsidP="0D05D69A"/>
    <w:p w14:paraId="0EB250E7" w14:textId="24094B0A" w:rsidR="0D05D69A" w:rsidRDefault="0D05D69A" w:rsidP="0D05D69A"/>
    <w:p w14:paraId="06D0FD3D" w14:textId="6B5DA03E" w:rsidR="0D05D69A" w:rsidRDefault="0D05D69A" w:rsidP="0D05D69A"/>
    <w:p w14:paraId="32978717" w14:textId="7442BA20" w:rsidR="0D05D69A" w:rsidRDefault="0D05D69A" w:rsidP="0D05D69A"/>
    <w:p w14:paraId="384798DF" w14:textId="47F371B6" w:rsidR="0D05D69A" w:rsidRDefault="0D05D69A" w:rsidP="0D05D69A"/>
    <w:p w14:paraId="4C5DA1AC" w14:textId="5DC622D3" w:rsidR="0D05D69A" w:rsidRDefault="0D05D69A" w:rsidP="0D05D69A"/>
    <w:p w14:paraId="36F932DF" w14:textId="0FCF83FF" w:rsidR="0D05D69A" w:rsidRDefault="0D05D69A" w:rsidP="0D05D69A"/>
    <w:p w14:paraId="0F90E51B" w14:textId="37E75CF7" w:rsidR="0D05D69A" w:rsidRDefault="0D05D69A" w:rsidP="7A2E50C3">
      <w:pPr>
        <w:rPr>
          <w:rFonts w:ascii="Arial" w:eastAsia="Arial" w:hAnsi="Arial" w:cs="Arial"/>
          <w:sz w:val="24"/>
          <w:szCs w:val="24"/>
        </w:rPr>
      </w:pPr>
    </w:p>
    <w:p w14:paraId="57F332F8" w14:textId="2F4B6EC0" w:rsidR="0D05D69A" w:rsidRDefault="7A2E50C3" w:rsidP="7A2E50C3">
      <w:pPr>
        <w:rPr>
          <w:rFonts w:ascii="Arial" w:eastAsia="Arial" w:hAnsi="Arial" w:cs="Arial"/>
          <w:sz w:val="24"/>
          <w:szCs w:val="24"/>
        </w:rPr>
      </w:pPr>
      <w:r w:rsidRPr="7A2E50C3">
        <w:rPr>
          <w:rFonts w:ascii="Arial" w:eastAsia="Arial" w:hAnsi="Arial" w:cs="Arial"/>
          <w:sz w:val="24"/>
          <w:szCs w:val="24"/>
        </w:rPr>
        <w:t>Appendix 2</w:t>
      </w:r>
    </w:p>
    <w:p w14:paraId="24CB7E44" w14:textId="64A42418" w:rsidR="7A2E50C3" w:rsidRDefault="7A2E50C3" w:rsidP="7A2E50C3">
      <w:r w:rsidRPr="7A2E50C3">
        <w:rPr>
          <w:rFonts w:ascii="Arial" w:eastAsia="Arial" w:hAnsi="Arial" w:cs="Arial"/>
          <w:sz w:val="24"/>
          <w:szCs w:val="24"/>
        </w:rPr>
        <w:t xml:space="preserve">The information sent home to parents regarding the findings from the e-safety review. </w:t>
      </w:r>
    </w:p>
    <w:p w14:paraId="70E17DEC" w14:textId="1CF133B1" w:rsidR="7A2E50C3" w:rsidRDefault="7A2E50C3" w:rsidP="7A2E50C3">
      <w:pPr>
        <w:rPr>
          <w:rFonts w:ascii="Arial" w:eastAsia="Arial" w:hAnsi="Arial" w:cs="Arial"/>
          <w:sz w:val="24"/>
          <w:szCs w:val="24"/>
        </w:rPr>
      </w:pPr>
      <w:r w:rsidRPr="7A2E50C3">
        <w:rPr>
          <w:rFonts w:ascii="Arial" w:eastAsia="Arial" w:hAnsi="Arial" w:cs="Arial"/>
          <w:sz w:val="24"/>
          <w:szCs w:val="24"/>
        </w:rPr>
        <w:t>As part of our monitoring processes in school, we recently carried out a questionnaire about the use of the internet at home and the children's perceptions of internet safety when at home and at school. The results are very interesting, and we would like to share them with you. This information is to promote awareness and encourage thought about internet access at home. It is not to pass judgement or to worry you, and of course the internet is a fantastic resource for promoting independent learning and education when used effectively.</w:t>
      </w:r>
    </w:p>
    <w:p w14:paraId="4E180A1B" w14:textId="6A8D57D6" w:rsidR="7A2E50C3" w:rsidRDefault="7A2E50C3" w:rsidP="7A2E50C3">
      <w:pPr>
        <w:rPr>
          <w:rFonts w:ascii="Arial" w:eastAsia="Arial" w:hAnsi="Arial" w:cs="Arial"/>
          <w:sz w:val="24"/>
          <w:szCs w:val="24"/>
        </w:rPr>
      </w:pPr>
      <w:r w:rsidRPr="7A2E50C3">
        <w:rPr>
          <w:rFonts w:ascii="Arial" w:eastAsia="Arial" w:hAnsi="Arial" w:cs="Arial"/>
          <w:sz w:val="24"/>
          <w:szCs w:val="24"/>
        </w:rPr>
        <w:t xml:space="preserve">We found that nearly all pupils in years 2-6 use the internet at home for gaming. The majority of this usage is on I-Pads or tablet devices with a minority using laptops, or gaming devices such as PlayStation or Xbox. Many of the children reported on average to spend an hour each day during the week on the internet. We did not ask children about the amount of time spent watching the television, but this too would add to the screen time children are experiencing. This did not change during the weekend as the children reported that a similar amount of time was spent on the internet or gaming. </w:t>
      </w:r>
    </w:p>
    <w:p w14:paraId="6D644746" w14:textId="1495F5C9" w:rsidR="7A2E50C3" w:rsidRDefault="7A2E50C3" w:rsidP="7A2E50C3">
      <w:pPr>
        <w:rPr>
          <w:rFonts w:ascii="Arial" w:eastAsia="Arial" w:hAnsi="Arial" w:cs="Arial"/>
          <w:sz w:val="24"/>
          <w:szCs w:val="24"/>
        </w:rPr>
      </w:pPr>
      <w:r w:rsidRPr="7A2E50C3">
        <w:rPr>
          <w:rFonts w:ascii="Arial" w:eastAsia="Arial" w:hAnsi="Arial" w:cs="Arial"/>
          <w:sz w:val="24"/>
          <w:szCs w:val="24"/>
        </w:rPr>
        <w:t xml:space="preserve">A majority of children stated that parents or carers did not discuss internet safety with them at home and only a few reported that they had rules at home when accessing the internet. When asked, only a few children knew what to do if they accessed something that made them feel uncomfortable when at home. This compared to nearly all children knowing what to do if something happened at school. Websites and apps that have been reported to have been used at home include, YouTube, Snapchat and Facebook. All of which have a user age restriction above the children's age. To continue our development in education and provision for e-safety, for the wider community as well as the students in school, we would like you to answer a few short questions. We would appreciate your complete honesty as this will promote future development. </w:t>
      </w:r>
    </w:p>
    <w:p w14:paraId="00F55EAA" w14:textId="23344E43" w:rsidR="7A2E50C3" w:rsidRDefault="7A2E50C3" w:rsidP="7A2E50C3">
      <w:pPr>
        <w:rPr>
          <w:rFonts w:ascii="Arial" w:eastAsia="Arial" w:hAnsi="Arial" w:cs="Arial"/>
          <w:sz w:val="24"/>
          <w:szCs w:val="24"/>
        </w:rPr>
      </w:pPr>
    </w:p>
    <w:p w14:paraId="0B8A8B86" w14:textId="1B6A44A1" w:rsidR="7A2E50C3" w:rsidRDefault="7A2E50C3" w:rsidP="7A2E50C3">
      <w:pPr>
        <w:rPr>
          <w:rFonts w:ascii="Arial" w:eastAsia="Arial" w:hAnsi="Arial" w:cs="Arial"/>
          <w:sz w:val="24"/>
          <w:szCs w:val="24"/>
        </w:rPr>
      </w:pPr>
      <w:r w:rsidRPr="7A2E50C3">
        <w:rPr>
          <w:rFonts w:ascii="Arial" w:eastAsia="Arial" w:hAnsi="Arial" w:cs="Arial"/>
          <w:sz w:val="24"/>
          <w:szCs w:val="24"/>
        </w:rPr>
        <w:t>Thank you</w:t>
      </w:r>
    </w:p>
    <w:p w14:paraId="0DBDA924" w14:textId="08A7A9CC" w:rsidR="7A2E50C3" w:rsidRDefault="7A2E50C3" w:rsidP="7A2E50C3"/>
    <w:p w14:paraId="57C79CA5" w14:textId="48947BDD" w:rsidR="0D05D69A" w:rsidRDefault="0D05D69A" w:rsidP="0D05D69A"/>
    <w:p w14:paraId="12172BF6" w14:textId="25B5302C" w:rsidR="0D05D69A" w:rsidRDefault="0D05D69A" w:rsidP="0D05D69A"/>
    <w:p w14:paraId="011F4612" w14:textId="5BE61896" w:rsidR="0D05D69A" w:rsidRDefault="0D05D69A" w:rsidP="0D05D69A"/>
    <w:p w14:paraId="0495FC64" w14:textId="59B17546" w:rsidR="7A2E50C3" w:rsidRDefault="7A2E50C3" w:rsidP="7A2E50C3"/>
    <w:p w14:paraId="272F219B" w14:textId="0C6D7348" w:rsidR="7A2E50C3" w:rsidRDefault="7A2E50C3" w:rsidP="7A2E50C3">
      <w:pPr>
        <w:spacing w:line="291" w:lineRule="exact"/>
        <w:rPr>
          <w:rFonts w:ascii="Calibri" w:eastAsia="Calibri" w:hAnsi="Calibri" w:cs="Calibri"/>
          <w:lang w:val="en-GB"/>
        </w:rPr>
      </w:pPr>
    </w:p>
    <w:p w14:paraId="3DD40C2A" w14:textId="26F480B9" w:rsidR="7A2E50C3" w:rsidRDefault="7A2E50C3" w:rsidP="7A2E50C3">
      <w:pPr>
        <w:spacing w:line="291" w:lineRule="exact"/>
        <w:rPr>
          <w:rFonts w:ascii="Arial" w:eastAsia="Arial" w:hAnsi="Arial" w:cs="Arial"/>
          <w:sz w:val="24"/>
          <w:szCs w:val="24"/>
          <w:lang w:val="en-GB"/>
        </w:rPr>
      </w:pPr>
      <w:r w:rsidRPr="7A2E50C3">
        <w:rPr>
          <w:rFonts w:ascii="Arial" w:eastAsia="Arial" w:hAnsi="Arial" w:cs="Arial"/>
          <w:sz w:val="24"/>
          <w:szCs w:val="24"/>
          <w:lang w:val="en-GB"/>
        </w:rPr>
        <w:lastRenderedPageBreak/>
        <w:t>Appendix 3</w:t>
      </w:r>
    </w:p>
    <w:p w14:paraId="4F6BE271" w14:textId="3D25F5F0"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Governors report from speaking to Learners  </w:t>
      </w:r>
    </w:p>
    <w:p w14:paraId="32D22439" w14:textId="0CE66DCB"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Date: 26/11/18 </w:t>
      </w:r>
    </w:p>
    <w:p w14:paraId="65EA997D" w14:textId="75FECCA2"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Focus: ICT </w:t>
      </w:r>
    </w:p>
    <w:p w14:paraId="0ED05819" w14:textId="4A4277B8"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 </w:t>
      </w:r>
    </w:p>
    <w:p w14:paraId="64F5DA7E" w14:textId="038EDF23"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Monitoring by K.W and D.R </w:t>
      </w:r>
    </w:p>
    <w:p w14:paraId="6DF8C701" w14:textId="45D2B9EB"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 Yr 2,3, 4, 5, 6</w:t>
      </w:r>
    </w:p>
    <w:p w14:paraId="6E99B739" w14:textId="125EB48D"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 </w:t>
      </w:r>
    </w:p>
    <w:p w14:paraId="4AC8F926" w14:textId="20DB415B"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1 What did you find easy? </w:t>
      </w:r>
    </w:p>
    <w:p w14:paraId="374AAE39" w14:textId="73BD3EBF"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Like the ipads more than the notebooks. Logging in to the iPad and notebooks is easier than the desktops. Printing is much easier. </w:t>
      </w:r>
    </w:p>
    <w:p w14:paraId="17BD5E74" w14:textId="60C798C7"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2 What did you find difficult and what helps you move on? </w:t>
      </w:r>
    </w:p>
    <w:p w14:paraId="568AB198" w14:textId="52DF2B77"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One pupil would prefer a separate keyboard as they find typing on the screen harder, when they need to type lots, they use a desktop. They try to use the iPad or notebooks when they need to print. </w:t>
      </w:r>
    </w:p>
    <w:p w14:paraId="7765DECC" w14:textId="61536DB1"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3. What do you need help with? </w:t>
      </w:r>
    </w:p>
    <w:p w14:paraId="6357AF1F" w14:textId="2DD17E58"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Nothing. </w:t>
      </w:r>
    </w:p>
    <w:p w14:paraId="04DA4804" w14:textId="08C63B82"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4. What are you most pleased with? </w:t>
      </w:r>
    </w:p>
    <w:p w14:paraId="767EF2E1" w14:textId="35A2E7BA"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 xml:space="preserve">Ability to access HWB, being able to make movies – animations and iMovie.  </w:t>
      </w:r>
    </w:p>
    <w:p w14:paraId="0A8271B6" w14:textId="2CF714D1"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5. Can you show me any of your work?</w:t>
      </w:r>
    </w:p>
    <w:p w14:paraId="09A60420" w14:textId="203EA06D"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Shown book editor, several movies and presentations the pupils had created.</w:t>
      </w:r>
    </w:p>
    <w:p w14:paraId="6139CA53" w14:textId="1069F00F"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6. What new things have you learnt?</w:t>
      </w:r>
    </w:p>
    <w:p w14:paraId="2006FA70" w14:textId="18A80B67" w:rsidR="7A2E50C3" w:rsidRDefault="7A2E50C3" w:rsidP="7A2E50C3">
      <w:pPr>
        <w:spacing w:line="291" w:lineRule="exact"/>
        <w:rPr>
          <w:rFonts w:ascii="Arial" w:eastAsia="Arial" w:hAnsi="Arial" w:cs="Arial"/>
          <w:sz w:val="24"/>
          <w:szCs w:val="24"/>
        </w:rPr>
      </w:pPr>
      <w:r w:rsidRPr="7A2E50C3">
        <w:rPr>
          <w:rFonts w:ascii="Arial" w:eastAsia="Arial" w:hAnsi="Arial" w:cs="Arial"/>
          <w:sz w:val="24"/>
          <w:szCs w:val="24"/>
          <w:lang w:val="en-GB"/>
        </w:rPr>
        <w:t>How to add music to movies, more editing techniques, working together on a report on O</w:t>
      </w:r>
      <w:r w:rsidR="009341A3">
        <w:rPr>
          <w:rFonts w:ascii="Arial" w:eastAsia="Arial" w:hAnsi="Arial" w:cs="Arial"/>
          <w:sz w:val="24"/>
          <w:szCs w:val="24"/>
          <w:lang w:val="en-GB"/>
        </w:rPr>
        <w:t>f</w:t>
      </w:r>
      <w:bookmarkStart w:id="0" w:name="_GoBack"/>
      <w:bookmarkEnd w:id="0"/>
      <w:r w:rsidRPr="7A2E50C3">
        <w:rPr>
          <w:rFonts w:ascii="Arial" w:eastAsia="Arial" w:hAnsi="Arial" w:cs="Arial"/>
          <w:sz w:val="24"/>
          <w:szCs w:val="24"/>
          <w:lang w:val="en-GB"/>
        </w:rPr>
        <w:t>fice 365.</w:t>
      </w:r>
    </w:p>
    <w:p w14:paraId="1C7C546B" w14:textId="6B580137" w:rsidR="7A2E50C3" w:rsidRDefault="7A2E50C3" w:rsidP="7A2E50C3"/>
    <w:p w14:paraId="6F805486" w14:textId="2F6787DB" w:rsidR="7A2E50C3" w:rsidRDefault="7A2E50C3" w:rsidP="7A2E50C3"/>
    <w:p w14:paraId="6AC724F6" w14:textId="654AEAA6" w:rsidR="7A2E50C3" w:rsidRDefault="7A2E50C3" w:rsidP="7A2E50C3"/>
    <w:sectPr w:rsidR="7A2E50C3">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A376B" w14:textId="77777777" w:rsidR="00D1788F" w:rsidRDefault="00D1788F">
      <w:pPr>
        <w:spacing w:after="0" w:line="240" w:lineRule="auto"/>
      </w:pPr>
      <w:r>
        <w:separator/>
      </w:r>
    </w:p>
  </w:endnote>
  <w:endnote w:type="continuationSeparator" w:id="0">
    <w:p w14:paraId="3378A936" w14:textId="77777777" w:rsidR="00D1788F" w:rsidRDefault="00D17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65A5D061" w14:paraId="78865D74" w14:textId="77777777" w:rsidTr="65A5D061">
      <w:tc>
        <w:tcPr>
          <w:tcW w:w="3120" w:type="dxa"/>
        </w:tcPr>
        <w:p w14:paraId="44F50656" w14:textId="13997179" w:rsidR="65A5D061" w:rsidRDefault="65A5D061" w:rsidP="65A5D061">
          <w:pPr>
            <w:pStyle w:val="Header"/>
            <w:ind w:left="-115"/>
          </w:pPr>
        </w:p>
      </w:tc>
      <w:tc>
        <w:tcPr>
          <w:tcW w:w="3120" w:type="dxa"/>
        </w:tcPr>
        <w:p w14:paraId="591B1BD6" w14:textId="0C5A1061" w:rsidR="65A5D061" w:rsidRDefault="65A5D061" w:rsidP="65A5D061">
          <w:pPr>
            <w:pStyle w:val="Header"/>
            <w:jc w:val="center"/>
          </w:pPr>
          <w:r>
            <w:fldChar w:fldCharType="begin"/>
          </w:r>
          <w:r>
            <w:instrText>PAGE</w:instrText>
          </w:r>
          <w:r w:rsidR="009341A3">
            <w:fldChar w:fldCharType="separate"/>
          </w:r>
          <w:r w:rsidR="009341A3">
            <w:rPr>
              <w:noProof/>
            </w:rPr>
            <w:t>14</w:t>
          </w:r>
          <w:r>
            <w:fldChar w:fldCharType="end"/>
          </w:r>
        </w:p>
      </w:tc>
      <w:tc>
        <w:tcPr>
          <w:tcW w:w="3120" w:type="dxa"/>
        </w:tcPr>
        <w:p w14:paraId="55F83CDC" w14:textId="2401B2D6" w:rsidR="65A5D061" w:rsidRDefault="65A5D061" w:rsidP="65A5D061">
          <w:pPr>
            <w:pStyle w:val="Header"/>
            <w:ind w:right="-115"/>
            <w:jc w:val="right"/>
          </w:pPr>
        </w:p>
      </w:tc>
    </w:tr>
  </w:tbl>
  <w:p w14:paraId="24C02038" w14:textId="71D017AB" w:rsidR="65A5D061" w:rsidRDefault="65A5D061" w:rsidP="65A5D0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65A5D061" w14:paraId="42AE1DD7" w14:textId="77777777" w:rsidTr="65A5D061">
      <w:tc>
        <w:tcPr>
          <w:tcW w:w="3120" w:type="dxa"/>
        </w:tcPr>
        <w:p w14:paraId="622FED77" w14:textId="3025BF00" w:rsidR="65A5D061" w:rsidRDefault="65A5D061" w:rsidP="65A5D061">
          <w:pPr>
            <w:pStyle w:val="Header"/>
            <w:ind w:left="-115"/>
          </w:pPr>
        </w:p>
      </w:tc>
      <w:tc>
        <w:tcPr>
          <w:tcW w:w="3120" w:type="dxa"/>
        </w:tcPr>
        <w:p w14:paraId="629C1087" w14:textId="5F84AD83" w:rsidR="65A5D061" w:rsidRDefault="65A5D061" w:rsidP="65A5D061">
          <w:pPr>
            <w:pStyle w:val="Header"/>
            <w:jc w:val="center"/>
          </w:pPr>
        </w:p>
      </w:tc>
      <w:tc>
        <w:tcPr>
          <w:tcW w:w="3120" w:type="dxa"/>
        </w:tcPr>
        <w:p w14:paraId="1752B775" w14:textId="7B36B661" w:rsidR="65A5D061" w:rsidRDefault="65A5D061" w:rsidP="65A5D061">
          <w:pPr>
            <w:pStyle w:val="Header"/>
            <w:ind w:right="-115"/>
            <w:jc w:val="right"/>
          </w:pPr>
        </w:p>
      </w:tc>
    </w:tr>
  </w:tbl>
  <w:p w14:paraId="20A06A52" w14:textId="1EF7F043" w:rsidR="65A5D061" w:rsidRDefault="65A5D061" w:rsidP="65A5D0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3F5389" w14:textId="77777777" w:rsidR="00D1788F" w:rsidRDefault="00D1788F">
      <w:pPr>
        <w:spacing w:after="0" w:line="240" w:lineRule="auto"/>
      </w:pPr>
      <w:r>
        <w:separator/>
      </w:r>
    </w:p>
  </w:footnote>
  <w:footnote w:type="continuationSeparator" w:id="0">
    <w:p w14:paraId="525DD8B8" w14:textId="77777777" w:rsidR="00D1788F" w:rsidRDefault="00D178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9E9C1" w14:textId="103DCD1C" w:rsidR="65A5D061" w:rsidRDefault="65A5D061"/>
  <w:tbl>
    <w:tblPr>
      <w:tblW w:w="0" w:type="auto"/>
      <w:tblLayout w:type="fixed"/>
      <w:tblLook w:val="06A0" w:firstRow="1" w:lastRow="0" w:firstColumn="1" w:lastColumn="0" w:noHBand="1" w:noVBand="1"/>
    </w:tblPr>
    <w:tblGrid>
      <w:gridCol w:w="3120"/>
      <w:gridCol w:w="3120"/>
      <w:gridCol w:w="3120"/>
    </w:tblGrid>
    <w:tr w:rsidR="65A5D061" w14:paraId="7AACD7B2" w14:textId="77777777" w:rsidTr="65A5D061">
      <w:tc>
        <w:tcPr>
          <w:tcW w:w="3120" w:type="dxa"/>
        </w:tcPr>
        <w:p w14:paraId="397FA8B3" w14:textId="208D5FF6" w:rsidR="65A5D061" w:rsidRDefault="65A5D061" w:rsidP="65A5D061">
          <w:pPr>
            <w:pStyle w:val="Header"/>
            <w:ind w:left="-115"/>
          </w:pPr>
        </w:p>
      </w:tc>
      <w:tc>
        <w:tcPr>
          <w:tcW w:w="3120" w:type="dxa"/>
        </w:tcPr>
        <w:p w14:paraId="27D6C8F4" w14:textId="6C8B6F89" w:rsidR="65A5D061" w:rsidRDefault="65A5D061" w:rsidP="65A5D061">
          <w:pPr>
            <w:pStyle w:val="Header"/>
            <w:jc w:val="center"/>
          </w:pPr>
        </w:p>
      </w:tc>
      <w:tc>
        <w:tcPr>
          <w:tcW w:w="3120" w:type="dxa"/>
        </w:tcPr>
        <w:p w14:paraId="7EC61A92" w14:textId="73A6CC57" w:rsidR="65A5D061" w:rsidRDefault="65A5D061" w:rsidP="65A5D061">
          <w:pPr>
            <w:pStyle w:val="Header"/>
            <w:ind w:right="-115"/>
            <w:jc w:val="right"/>
          </w:pPr>
        </w:p>
      </w:tc>
    </w:tr>
  </w:tbl>
  <w:p w14:paraId="1F9E1E13" w14:textId="2DAA4AC0" w:rsidR="65A5D061" w:rsidRDefault="65A5D061" w:rsidP="65A5D0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65A5D061" w14:paraId="334D324E" w14:textId="77777777" w:rsidTr="65A5D061">
      <w:tc>
        <w:tcPr>
          <w:tcW w:w="3120" w:type="dxa"/>
        </w:tcPr>
        <w:p w14:paraId="116D0264" w14:textId="7759A619" w:rsidR="65A5D061" w:rsidRDefault="65A5D061" w:rsidP="65A5D061">
          <w:pPr>
            <w:pStyle w:val="Header"/>
            <w:ind w:left="-115"/>
          </w:pPr>
        </w:p>
      </w:tc>
      <w:tc>
        <w:tcPr>
          <w:tcW w:w="3120" w:type="dxa"/>
        </w:tcPr>
        <w:p w14:paraId="2653F8AC" w14:textId="087EA239" w:rsidR="65A5D061" w:rsidRDefault="65A5D061" w:rsidP="65A5D061">
          <w:pPr>
            <w:pStyle w:val="Header"/>
            <w:jc w:val="center"/>
          </w:pPr>
        </w:p>
      </w:tc>
      <w:tc>
        <w:tcPr>
          <w:tcW w:w="3120" w:type="dxa"/>
        </w:tcPr>
        <w:p w14:paraId="71986250" w14:textId="5884D053" w:rsidR="65A5D061" w:rsidRDefault="65A5D061" w:rsidP="65A5D061">
          <w:pPr>
            <w:pStyle w:val="Header"/>
            <w:ind w:right="-115"/>
            <w:jc w:val="right"/>
          </w:pPr>
        </w:p>
      </w:tc>
    </w:tr>
  </w:tbl>
  <w:p w14:paraId="6CB98196" w14:textId="78E700C2" w:rsidR="65A5D061" w:rsidRDefault="65A5D061" w:rsidP="65A5D0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A51346"/>
    <w:rsid w:val="009341A3"/>
    <w:rsid w:val="00D1788F"/>
    <w:rsid w:val="04A51346"/>
    <w:rsid w:val="0D05D69A"/>
    <w:rsid w:val="37629C7A"/>
    <w:rsid w:val="49B50A1B"/>
    <w:rsid w:val="4D22515B"/>
    <w:rsid w:val="4D89B4DC"/>
    <w:rsid w:val="602EA888"/>
    <w:rsid w:val="65A5D061"/>
    <w:rsid w:val="7A2E5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390D2"/>
  <w15:chartTrackingRefBased/>
  <w15:docId w15:val="{8A5D15D2-2506-4B90-9765-0FB4A1307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ymouth.ac.uk/research/oelres-net"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learntechlib.org/primary/p/22950/"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arntechlib.org/primary/p/22950/"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andfonline.com/doi/abs/10.1080/03054985.2017.130505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4281</Words>
  <Characters>24404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Hughes (Llanbister CP School)</dc:creator>
  <cp:keywords/>
  <dc:description/>
  <cp:lastModifiedBy>Kay Hughes</cp:lastModifiedBy>
  <cp:revision>2</cp:revision>
  <dcterms:created xsi:type="dcterms:W3CDTF">2019-05-13T11:54:00Z</dcterms:created>
  <dcterms:modified xsi:type="dcterms:W3CDTF">2019-05-13T11:54:00Z</dcterms:modified>
</cp:coreProperties>
</file>