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726F4B" wp14:paraId="0137302C" wp14:textId="44BC631E">
      <w:pPr>
        <w:spacing w:before="0" w:beforeAutospacing="off" w:after="120" w:afterAutospacing="off"/>
        <w:rPr>
          <w:rFonts w:ascii="Arial" w:hAnsi="Arial" w:eastAsia="Arial" w:cs="Arial"/>
          <w:b w:val="1"/>
          <w:bCs w:val="1"/>
          <w:i w:val="0"/>
          <w:iCs w:val="0"/>
          <w:noProof w:val="0"/>
          <w:sz w:val="18"/>
          <w:szCs w:val="18"/>
          <w:lang w:val="en-GB"/>
        </w:rPr>
      </w:pPr>
    </w:p>
    <w:p xmlns:wp14="http://schemas.microsoft.com/office/word/2010/wordml" w:rsidP="30726F4B" wp14:paraId="235CF7E5" wp14:textId="1D4D77B6">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0726F4B" w:rsidR="4BC6428C">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30726F4B" w:rsidR="4BC6428C">
        <w:rPr>
          <w:rFonts w:ascii="Arial" w:hAnsi="Arial" w:eastAsia="Arial" w:cs="Arial"/>
          <w:b w:val="0"/>
          <w:bCs w:val="0"/>
          <w:i w:val="0"/>
          <w:iCs w:val="0"/>
          <w:caps w:val="0"/>
          <w:smallCaps w:val="0"/>
          <w:noProof w:val="0"/>
          <w:color w:val="000000" w:themeColor="text1" w:themeTint="FF" w:themeShade="FF"/>
          <w:sz w:val="28"/>
          <w:szCs w:val="28"/>
          <w:lang w:val="en-GB"/>
        </w:rPr>
        <w:t xml:space="preserve">: Salima Ollson Kasirye </w:t>
      </w:r>
    </w:p>
    <w:p xmlns:wp14="http://schemas.microsoft.com/office/word/2010/wordml" w:rsidP="30726F4B" wp14:paraId="4267D847" wp14:textId="389CE539">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0726F4B" w:rsidR="4BC6428C">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30726F4B" w:rsidR="4BC6428C">
        <w:rPr>
          <w:rFonts w:ascii="Arial" w:hAnsi="Arial" w:eastAsia="Arial" w:cs="Arial"/>
          <w:b w:val="0"/>
          <w:bCs w:val="0"/>
          <w:i w:val="0"/>
          <w:iCs w:val="0"/>
          <w:caps w:val="0"/>
          <w:smallCaps w:val="0"/>
          <w:noProof w:val="0"/>
          <w:color w:val="000000" w:themeColor="text1" w:themeTint="FF" w:themeShade="FF"/>
          <w:sz w:val="28"/>
          <w:szCs w:val="28"/>
          <w:lang w:val="nl-NL"/>
        </w:rPr>
        <w:t>:2561617</w:t>
      </w:r>
    </w:p>
    <w:p xmlns:wp14="http://schemas.microsoft.com/office/word/2010/wordml" w:rsidP="30726F4B" wp14:paraId="7D884E33" wp14:textId="426D1940">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0726F4B" wp14:paraId="4C3E9970" wp14:textId="3E36606E">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30726F4B" w:rsidR="4BC6428C">
        <w:rPr>
          <w:rFonts w:ascii="Arial" w:hAnsi="Arial" w:eastAsia="Arial" w:cs="Arial"/>
          <w:b w:val="1"/>
          <w:bCs w:val="1"/>
          <w:i w:val="0"/>
          <w:iCs w:val="0"/>
          <w:caps w:val="0"/>
          <w:smallCaps w:val="0"/>
          <w:noProof w:val="0"/>
          <w:color w:val="000000" w:themeColor="text1" w:themeTint="FF" w:themeShade="FF"/>
          <w:sz w:val="28"/>
          <w:szCs w:val="28"/>
          <w:lang w:val="nl-NL"/>
        </w:rPr>
        <w:t>Module name</w:t>
      </w:r>
      <w:r w:rsidRPr="30726F4B" w:rsidR="4BC6428C">
        <w:rPr>
          <w:rFonts w:ascii="Arial" w:hAnsi="Arial" w:eastAsia="Arial" w:cs="Arial"/>
          <w:b w:val="0"/>
          <w:bCs w:val="0"/>
          <w:i w:val="0"/>
          <w:iCs w:val="0"/>
          <w:caps w:val="0"/>
          <w:smallCaps w:val="0"/>
          <w:noProof w:val="0"/>
          <w:color w:val="000000" w:themeColor="text1" w:themeTint="FF" w:themeShade="FF"/>
          <w:sz w:val="28"/>
          <w:szCs w:val="28"/>
          <w:lang w:val="nl-NL"/>
        </w:rPr>
        <w:t>:</w:t>
      </w:r>
      <w:r w:rsidRPr="30726F4B" w:rsidR="4BC6428C">
        <w:rPr>
          <w:rFonts w:ascii="Arial" w:hAnsi="Arial" w:eastAsia="Arial" w:cs="Arial"/>
          <w:b w:val="0"/>
          <w:bCs w:val="0"/>
          <w:i w:val="0"/>
          <w:iCs w:val="0"/>
          <w:caps w:val="0"/>
          <w:smallCaps w:val="0"/>
          <w:noProof w:val="0"/>
          <w:color w:val="000000" w:themeColor="text1" w:themeTint="FF" w:themeShade="FF"/>
          <w:sz w:val="32"/>
          <w:szCs w:val="32"/>
          <w:lang w:val="nl-NL"/>
        </w:rPr>
        <w:t xml:space="preserve"> </w:t>
      </w:r>
      <w:r w:rsidRPr="30726F4B" w:rsidR="4BC6428C">
        <w:rPr>
          <w:rFonts w:ascii="Arial" w:hAnsi="Arial" w:eastAsia="Arial" w:cs="Arial"/>
          <w:b w:val="1"/>
          <w:bCs w:val="1"/>
          <w:i w:val="0"/>
          <w:iCs w:val="0"/>
          <w:caps w:val="0"/>
          <w:smallCaps w:val="0"/>
          <w:noProof w:val="0"/>
          <w:color w:val="000000" w:themeColor="text1" w:themeTint="FF" w:themeShade="FF"/>
          <w:sz w:val="32"/>
          <w:szCs w:val="32"/>
          <w:lang w:val="nl-NL"/>
        </w:rPr>
        <w:t>Introduction  to Health and Social Care</w:t>
      </w:r>
    </w:p>
    <w:p xmlns:wp14="http://schemas.microsoft.com/office/word/2010/wordml" w:rsidP="30726F4B" wp14:paraId="4F1F3D7F" wp14:textId="1E76EB9C">
      <w:pPr>
        <w:keepNext w:val="1"/>
        <w:keepLines w:val="1"/>
        <w:spacing w:before="360" w:after="80" w:line="360" w:lineRule="auto"/>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0726F4B" w:rsidR="4BC6428C">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30726F4B" w:rsidR="4BC6428C">
        <w:rPr>
          <w:rFonts w:ascii="Arial" w:hAnsi="Arial" w:eastAsia="Arial" w:cs="Arial"/>
          <w:b w:val="0"/>
          <w:bCs w:val="0"/>
          <w:i w:val="0"/>
          <w:iCs w:val="0"/>
          <w:caps w:val="0"/>
          <w:smallCaps w:val="0"/>
          <w:noProof w:val="0"/>
          <w:color w:val="000000" w:themeColor="text1" w:themeTint="FF" w:themeShade="FF"/>
          <w:sz w:val="28"/>
          <w:szCs w:val="28"/>
          <w:lang w:val="en-GB"/>
        </w:rPr>
        <w:t>:</w:t>
      </w:r>
      <w:r w:rsidRPr="30726F4B" w:rsidR="4BC6428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Pr="30726F4B" w:rsidR="4BC6428C">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LCHS4003</w:t>
      </w:r>
    </w:p>
    <w:p xmlns:wp14="http://schemas.microsoft.com/office/word/2010/wordml" w:rsidP="30726F4B" wp14:paraId="57E7480B" wp14:textId="1BECB6B9">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0726F4B" wp14:paraId="21D3C8A1" wp14:textId="19F7F469">
      <w:pPr>
        <w:rPr>
          <w:rFonts w:ascii="Calibri" w:hAnsi="Calibri" w:eastAsia="Calibri" w:cs="Calibri"/>
          <w:b w:val="0"/>
          <w:bCs w:val="0"/>
          <w:i w:val="0"/>
          <w:iCs w:val="0"/>
          <w:caps w:val="0"/>
          <w:smallCaps w:val="0"/>
          <w:noProof w:val="0"/>
          <w:color w:val="000000" w:themeColor="text1" w:themeTint="FF" w:themeShade="FF"/>
          <w:sz w:val="28"/>
          <w:szCs w:val="28"/>
          <w:lang w:val="en-GB"/>
        </w:rPr>
      </w:pPr>
      <w:r w:rsidRPr="30726F4B" w:rsidR="4BC6428C">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30726F4B" w:rsidR="4BC6428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0726F4B" w:rsidR="4BC6428C">
        <w:rPr>
          <w:rFonts w:ascii="Calibri" w:hAnsi="Calibri" w:eastAsia="Calibri" w:cs="Calibri"/>
          <w:b w:val="1"/>
          <w:bCs w:val="1"/>
          <w:i w:val="0"/>
          <w:iCs w:val="0"/>
          <w:caps w:val="0"/>
          <w:smallCaps w:val="0"/>
          <w:noProof w:val="0"/>
          <w:color w:val="000000" w:themeColor="text1" w:themeTint="FF" w:themeShade="FF"/>
          <w:sz w:val="28"/>
          <w:szCs w:val="28"/>
          <w:lang w:val="en-GB"/>
        </w:rPr>
        <w:t>Muhammad Aliyu</w:t>
      </w:r>
    </w:p>
    <w:p xmlns:wp14="http://schemas.microsoft.com/office/word/2010/wordml" w:rsidP="30726F4B" wp14:paraId="58B4938C" wp14:textId="720736C4">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0726F4B" wp14:paraId="0D59C4D3" wp14:textId="5228FA53">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0726F4B" wp14:paraId="4027CC3D" wp14:textId="13639A8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0726F4B" wp14:paraId="25A97937" wp14:textId="6BDC1C2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0726F4B" wp14:paraId="27EA3D76" wp14:textId="71568D9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0726F4B" wp14:paraId="3C73AA33" wp14:textId="1C93981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0726F4B" wp14:paraId="78FF2133" wp14:textId="58833EC5">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1B26943" wp14:textId="6EEA766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2ED54E07" wp14:textId="36C24318">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51FD577" wp14:textId="2714049D">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7AB8CF5E" wp14:textId="5FED786F">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1B68C6CF" wp14:textId="697EB6F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38B2EB79" wp14:textId="703BF29B">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2207AFC" wp14:textId="7E34ADCC">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66B1DE3" wp14:textId="6FC840C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8A3DB63" wp14:textId="46FC9440">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70192F43" wp14:textId="28073AD3">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2EA45CEF" wp14:textId="6B2FD1C1">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2BB6329" wp14:textId="0E21A683">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5A4C0E2" wp14:textId="79255168">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65761D83" wp14:textId="3F2FF37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73B9C0EB" wp14:textId="09744A51">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D03EC58" wp14:textId="2F9B7478">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27F79C63" wp14:textId="50E05BF7">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14095E61" wp14:textId="6E7321F1">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0B59FC8C" wp14:textId="01838F70">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60A71349" wp14:textId="285C5196">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D6F1666" wp14:textId="17C6C1AD">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6EFA7ED4" wp14:textId="6A090199">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1CB391C3" wp14:textId="4171E63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4B51EE21" wp14:textId="40504B6E">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6F3A416" wp14:textId="40F0C8E8">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413B441" wp14:textId="7D0EF469">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3A5E4E76" wp14:textId="25E07BEC">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365D046F" wp14:textId="41A1A793">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5C6C3A55" wp14:textId="3FECFF29">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1572DABF" wp14:textId="1EB13BFE">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3EA7CCA9" wp14:textId="2C6B4E8E">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6992273B" wp14:textId="1058C191">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26E07514" wp14:textId="525E3D12">
      <w:pPr>
        <w:spacing w:before="0" w:beforeAutospacing="off" w:after="120" w:afterAutospacing="off"/>
        <w:rPr>
          <w:rFonts w:ascii="Arial" w:hAnsi="Arial" w:eastAsia="Arial" w:cs="Arial"/>
          <w:b w:val="0"/>
          <w:bCs w:val="0"/>
          <w:i w:val="0"/>
          <w:iCs w:val="0"/>
          <w:noProof w:val="0"/>
          <w:sz w:val="18"/>
          <w:szCs w:val="18"/>
          <w:lang w:val="en-GB"/>
        </w:rPr>
      </w:pPr>
    </w:p>
    <w:p xmlns:wp14="http://schemas.microsoft.com/office/word/2010/wordml" w:rsidP="30726F4B" wp14:paraId="2A53827E" wp14:textId="6E5A63BF">
      <w:pPr>
        <w:spacing w:before="0" w:beforeAutospacing="off" w:after="120" w:afterAutospacing="off"/>
      </w:pPr>
      <w:r w:rsidRPr="30726F4B" w:rsidR="76489697">
        <w:rPr>
          <w:rFonts w:ascii="Arial" w:hAnsi="Arial" w:eastAsia="Arial" w:cs="Arial"/>
          <w:b w:val="0"/>
          <w:bCs w:val="0"/>
          <w:i w:val="0"/>
          <w:iCs w:val="0"/>
          <w:noProof w:val="0"/>
          <w:sz w:val="18"/>
          <w:szCs w:val="18"/>
          <w:lang w:val="en-GB"/>
        </w:rPr>
        <w:t xml:space="preserve"> </w:t>
      </w:r>
    </w:p>
    <w:p xmlns:wp14="http://schemas.microsoft.com/office/word/2010/wordml" w:rsidP="30726F4B" wp14:paraId="5B45F59F" wp14:textId="3CD55C70">
      <w:pPr>
        <w:spacing w:before="0" w:beforeAutospacing="off" w:after="120" w:afterAutospacing="off"/>
      </w:pPr>
    </w:p>
    <w:p xmlns:wp14="http://schemas.microsoft.com/office/word/2010/wordml" wp14:paraId="5E5787A5" wp14:textId="0D3BE5DE"/>
    <w:p w:rsidR="5F95D7AD" w:rsidRDefault="5F95D7AD" w14:paraId="5AA697E7" w14:textId="17F39AE0"/>
    <w:p w:rsidR="5F95D7AD" w:rsidRDefault="5F95D7AD" w14:paraId="7898F2EC" w14:textId="264396EB"/>
    <w:p w:rsidR="5F95D7AD" w:rsidRDefault="5F95D7AD" w14:paraId="7E8810E2" w14:textId="33C66DC0"/>
    <w:p w:rsidR="5F95D7AD" w:rsidRDefault="5F95D7AD" w14:paraId="09E6666B" w14:textId="4D106FB7"/>
    <w:p w:rsidR="22A93E0C" w:rsidP="5F95D7AD" w:rsidRDefault="22A93E0C" w14:paraId="47045053" w14:textId="45FF750F">
      <w:pPr>
        <w:pStyle w:val="Heading1"/>
        <w:spacing w:before="299" w:beforeAutospacing="off" w:after="299" w:afterAutospacing="off"/>
      </w:pPr>
      <w:r w:rsidRPr="5F95D7AD" w:rsidR="22A93E0C">
        <w:rPr>
          <w:rFonts w:ascii="Aptos" w:hAnsi="Aptos" w:eastAsia="Aptos" w:cs="Aptos"/>
          <w:b w:val="1"/>
          <w:bCs w:val="1"/>
          <w:noProof w:val="0"/>
          <w:sz w:val="36"/>
          <w:szCs w:val="36"/>
          <w:lang w:val="en-GB"/>
        </w:rPr>
        <w:t>Case Study Report: Mr Ahmed</w:t>
      </w:r>
    </w:p>
    <w:p w:rsidR="22A93E0C" w:rsidP="5F95D7AD" w:rsidRDefault="22A93E0C" w14:paraId="2A99A093" w14:textId="704920B9">
      <w:pPr>
        <w:pStyle w:val="Heading2"/>
        <w:spacing w:before="299" w:beforeAutospacing="off" w:after="299" w:afterAutospacing="off"/>
      </w:pPr>
      <w:r w:rsidRPr="5F95D7AD" w:rsidR="22A93E0C">
        <w:rPr>
          <w:rFonts w:ascii="Aptos" w:hAnsi="Aptos" w:eastAsia="Aptos" w:cs="Aptos"/>
          <w:b w:val="1"/>
          <w:bCs w:val="1"/>
          <w:noProof w:val="0"/>
          <w:sz w:val="36"/>
          <w:szCs w:val="36"/>
          <w:lang w:val="en-GB"/>
        </w:rPr>
        <w:t xml:space="preserve"> The Importance of Effective Communication in Mr Ahmed’s Care </w:t>
      </w:r>
    </w:p>
    <w:p w:rsidR="22A93E0C" w:rsidP="5F95D7AD" w:rsidRDefault="22A93E0C" w14:paraId="19D6138D" w14:textId="04C4BCB6">
      <w:pPr>
        <w:spacing w:before="240" w:beforeAutospacing="off" w:after="240" w:afterAutospacing="off"/>
      </w:pPr>
      <w:r w:rsidRPr="5F95D7AD" w:rsidR="22A93E0C">
        <w:rPr>
          <w:rFonts w:ascii="Aptos" w:hAnsi="Aptos" w:eastAsia="Aptos" w:cs="Aptos"/>
          <w:noProof w:val="0"/>
          <w:sz w:val="24"/>
          <w:szCs w:val="24"/>
          <w:lang w:val="en-GB"/>
        </w:rPr>
        <w:t>Effective communication is a fundamental aspect of quality health and social care practice, particularly in the care of individuals with complex needs like Mr Ahmed, who has recently suffered a stroke. Communication facilitates the delivery of safe, person-centred care, promotes trust between service users and professionals, and ensures that care plans are understood and followed (Cole &amp; Bird, 2020). In Mr Ahmed’s case, his first language is Bengali, and he experiences difficulties understanding complex English conversations. Therefore, clear, accessible, and culturally sensitive communication is essential to prevent misunderstandings that could impact his health outcomes, such as missed medication doses or improper use of adaptive equipment.</w:t>
      </w:r>
    </w:p>
    <w:p w:rsidR="22A93E0C" w:rsidP="5F95D7AD" w:rsidRDefault="22A93E0C" w14:paraId="3C087ECA" w14:textId="53EEBFC4">
      <w:pPr>
        <w:spacing w:before="240" w:beforeAutospacing="off" w:after="240" w:afterAutospacing="off"/>
      </w:pPr>
      <w:r w:rsidRPr="5F95D7AD" w:rsidR="22A93E0C">
        <w:rPr>
          <w:rFonts w:ascii="Aptos" w:hAnsi="Aptos" w:eastAsia="Aptos" w:cs="Aptos"/>
          <w:noProof w:val="0"/>
          <w:sz w:val="24"/>
          <w:szCs w:val="24"/>
          <w:lang w:val="en-GB"/>
        </w:rPr>
        <w:t xml:space="preserve">To communicate effectively with Mr Ahmed, care professionals should employ </w:t>
      </w:r>
      <w:r w:rsidRPr="5F95D7AD" w:rsidR="22A93E0C">
        <w:rPr>
          <w:rFonts w:ascii="Aptos" w:hAnsi="Aptos" w:eastAsia="Aptos" w:cs="Aptos"/>
          <w:b w:val="1"/>
          <w:bCs w:val="1"/>
          <w:noProof w:val="0"/>
          <w:sz w:val="24"/>
          <w:szCs w:val="24"/>
          <w:lang w:val="en-GB"/>
        </w:rPr>
        <w:t>simplified language, visual aids, gestures, and repetition</w:t>
      </w:r>
      <w:r w:rsidRPr="5F95D7AD" w:rsidR="22A93E0C">
        <w:rPr>
          <w:rFonts w:ascii="Aptos" w:hAnsi="Aptos" w:eastAsia="Aptos" w:cs="Aptos"/>
          <w:noProof w:val="0"/>
          <w:sz w:val="24"/>
          <w:szCs w:val="24"/>
          <w:lang w:val="en-GB"/>
        </w:rPr>
        <w:t xml:space="preserve"> to reinforce understanding (McCabe &amp; Timmins, 2019). Incorporating the support of his wife, who is fluent in English, aligns with a family-centred approach, allowing her to act as a mediator during complex discussions. However, it is critical to ensure that Mr Ahmed’s </w:t>
      </w:r>
      <w:r w:rsidRPr="5F95D7AD" w:rsidR="22A93E0C">
        <w:rPr>
          <w:rFonts w:ascii="Aptos" w:hAnsi="Aptos" w:eastAsia="Aptos" w:cs="Aptos"/>
          <w:b w:val="1"/>
          <w:bCs w:val="1"/>
          <w:noProof w:val="0"/>
          <w:sz w:val="24"/>
          <w:szCs w:val="24"/>
          <w:lang w:val="en-GB"/>
        </w:rPr>
        <w:t>autonomy and consent</w:t>
      </w:r>
      <w:r w:rsidRPr="5F95D7AD" w:rsidR="22A93E0C">
        <w:rPr>
          <w:rFonts w:ascii="Aptos" w:hAnsi="Aptos" w:eastAsia="Aptos" w:cs="Aptos"/>
          <w:noProof w:val="0"/>
          <w:sz w:val="24"/>
          <w:szCs w:val="24"/>
          <w:lang w:val="en-GB"/>
        </w:rPr>
        <w:t xml:space="preserve"> are respected, providing him with opportunities to express his preferences and participate in decision-making (RCN, 2018).</w:t>
      </w:r>
    </w:p>
    <w:p w:rsidR="22A93E0C" w:rsidP="5F95D7AD" w:rsidRDefault="22A93E0C" w14:paraId="2F9B258B" w14:textId="5FBD9514">
      <w:pPr>
        <w:spacing w:before="240" w:beforeAutospacing="off" w:after="240" w:afterAutospacing="off"/>
      </w:pPr>
      <w:r w:rsidRPr="5F95D7AD" w:rsidR="22A93E0C">
        <w:rPr>
          <w:rFonts w:ascii="Aptos" w:hAnsi="Aptos" w:eastAsia="Aptos" w:cs="Aptos"/>
          <w:noProof w:val="0"/>
          <w:sz w:val="24"/>
          <w:szCs w:val="24"/>
          <w:lang w:val="en-GB"/>
        </w:rPr>
        <w:t xml:space="preserve">The </w:t>
      </w:r>
      <w:r w:rsidRPr="5F95D7AD" w:rsidR="22A93E0C">
        <w:rPr>
          <w:rFonts w:ascii="Aptos" w:hAnsi="Aptos" w:eastAsia="Aptos" w:cs="Aptos"/>
          <w:b w:val="1"/>
          <w:bCs w:val="1"/>
          <w:noProof w:val="0"/>
          <w:sz w:val="24"/>
          <w:szCs w:val="24"/>
          <w:lang w:val="en-GB"/>
        </w:rPr>
        <w:t>Equality Act 2010</w:t>
      </w:r>
      <w:r w:rsidRPr="5F95D7AD" w:rsidR="22A93E0C">
        <w:rPr>
          <w:rFonts w:ascii="Aptos" w:hAnsi="Aptos" w:eastAsia="Aptos" w:cs="Aptos"/>
          <w:noProof w:val="0"/>
          <w:sz w:val="24"/>
          <w:szCs w:val="24"/>
          <w:lang w:val="en-GB"/>
        </w:rPr>
        <w:t xml:space="preserve"> underpins inclusive communication practices. Health and social care professionals must make “reasonable adjustments” to accommodate Mr Ahmed’s communication needs, including the provision of interpreters or bilingual care workers (Gov.uk, 2010). Failure to adjust communication appropriately may constitute indirect discrimination and compromise his right to equitable care. By adhering to the core principles of the Equality Act, professionals demonstrate respect for cultural diversity, language needs, and individual preferences, enhancing the therapeutic relationship and promoting safe care.</w:t>
      </w:r>
    </w:p>
    <w:p w:rsidR="22A93E0C" w:rsidP="5F95D7AD" w:rsidRDefault="22A93E0C" w14:paraId="4CFA64D0" w14:textId="38F5B764">
      <w:pPr>
        <w:spacing w:before="240" w:beforeAutospacing="off" w:after="240" w:afterAutospacing="off"/>
      </w:pPr>
      <w:r w:rsidRPr="5F95D7AD" w:rsidR="22A93E0C">
        <w:rPr>
          <w:rFonts w:ascii="Aptos" w:hAnsi="Aptos" w:eastAsia="Aptos" w:cs="Aptos"/>
          <w:noProof w:val="0"/>
          <w:sz w:val="24"/>
          <w:szCs w:val="24"/>
          <w:lang w:val="en-GB"/>
        </w:rPr>
        <w:t xml:space="preserve">One practical approach to structuring communication is the </w:t>
      </w:r>
      <w:r w:rsidRPr="5F95D7AD" w:rsidR="22A93E0C">
        <w:rPr>
          <w:rFonts w:ascii="Aptos" w:hAnsi="Aptos" w:eastAsia="Aptos" w:cs="Aptos"/>
          <w:b w:val="1"/>
          <w:bCs w:val="1"/>
          <w:noProof w:val="0"/>
          <w:sz w:val="24"/>
          <w:szCs w:val="24"/>
          <w:lang w:val="en-GB"/>
        </w:rPr>
        <w:t>Transactional Model of Communication</w:t>
      </w:r>
      <w:r w:rsidRPr="5F95D7AD" w:rsidR="22A93E0C">
        <w:rPr>
          <w:rFonts w:ascii="Aptos" w:hAnsi="Aptos" w:eastAsia="Aptos" w:cs="Aptos"/>
          <w:noProof w:val="0"/>
          <w:sz w:val="24"/>
          <w:szCs w:val="24"/>
          <w:lang w:val="en-GB"/>
        </w:rPr>
        <w:t>. This model emphasises a two-way process where both the sender and receiver share messages, provide feedback, and interpret meaning within a specific context (Barnlund, 2008). In practice, when a domiciliary care worker explains a medication routine to Mr Ahmed, they should check for understanding through verbal feedback, gestures, or written instructions in Bengali. The model also highlights potential barriers, such as language differences or cognitive impairments post-stroke, which must be identified and addressed to ensure effective communication.</w:t>
      </w:r>
    </w:p>
    <w:p w:rsidR="22A93E0C" w:rsidP="5F95D7AD" w:rsidRDefault="22A93E0C" w14:paraId="35979F0F" w14:textId="1E7D2D4F">
      <w:pPr>
        <w:spacing w:before="240" w:beforeAutospacing="off" w:after="240" w:afterAutospacing="off"/>
      </w:pPr>
      <w:r w:rsidRPr="5F95D7AD" w:rsidR="22A93E0C">
        <w:rPr>
          <w:rFonts w:ascii="Aptos" w:hAnsi="Aptos" w:eastAsia="Aptos" w:cs="Aptos"/>
          <w:noProof w:val="0"/>
          <w:sz w:val="24"/>
          <w:szCs w:val="24"/>
          <w:lang w:val="en-GB"/>
        </w:rPr>
        <w:t xml:space="preserve">Additionally, effective communication extends to </w:t>
      </w:r>
      <w:r w:rsidRPr="5F95D7AD" w:rsidR="22A93E0C">
        <w:rPr>
          <w:rFonts w:ascii="Aptos" w:hAnsi="Aptos" w:eastAsia="Aptos" w:cs="Aptos"/>
          <w:b w:val="1"/>
          <w:bCs w:val="1"/>
          <w:noProof w:val="0"/>
          <w:sz w:val="24"/>
          <w:szCs w:val="24"/>
          <w:lang w:val="en-GB"/>
        </w:rPr>
        <w:t>interdisciplinary collaboration</w:t>
      </w:r>
      <w:r w:rsidRPr="5F95D7AD" w:rsidR="22A93E0C">
        <w:rPr>
          <w:rFonts w:ascii="Aptos" w:hAnsi="Aptos" w:eastAsia="Aptos" w:cs="Aptos"/>
          <w:noProof w:val="0"/>
          <w:sz w:val="24"/>
          <w:szCs w:val="24"/>
          <w:lang w:val="en-GB"/>
        </w:rPr>
        <w:t>. Mr Ahmed’s care involves a GP, district nurse, speech and language therapist, and domiciliary care agency. Accurate and timely communication between these professionals is essential for safe care coordination, particularly following incidents such as the missed medication visit. Utilising clear documentation, verbal handovers, and multidisciplinary meetings supports continuity of care and reduces the risk of adverse events (Skills for Care, 2021).</w:t>
      </w:r>
    </w:p>
    <w:p w:rsidR="22A93E0C" w:rsidP="5F95D7AD" w:rsidRDefault="22A93E0C" w14:paraId="0D401A62" w14:textId="731BC593">
      <w:pPr>
        <w:spacing w:before="240" w:beforeAutospacing="off" w:after="240" w:afterAutospacing="off"/>
      </w:pPr>
      <w:r w:rsidRPr="5F95D7AD" w:rsidR="22A93E0C">
        <w:rPr>
          <w:rFonts w:ascii="Aptos" w:hAnsi="Aptos" w:eastAsia="Aptos" w:cs="Aptos"/>
          <w:noProof w:val="0"/>
          <w:sz w:val="24"/>
          <w:szCs w:val="24"/>
          <w:lang w:val="en-GB"/>
        </w:rPr>
        <w:t xml:space="preserve">In conclusion, effective communication with Mr Ahmed requires a combination of </w:t>
      </w:r>
      <w:r w:rsidRPr="5F95D7AD" w:rsidR="22A93E0C">
        <w:rPr>
          <w:rFonts w:ascii="Aptos" w:hAnsi="Aptos" w:eastAsia="Aptos" w:cs="Aptos"/>
          <w:b w:val="1"/>
          <w:bCs w:val="1"/>
          <w:noProof w:val="0"/>
          <w:sz w:val="24"/>
          <w:szCs w:val="24"/>
          <w:lang w:val="en-GB"/>
        </w:rPr>
        <w:t>cultural sensitivity, use of interpreters, plain language, and feedback mechanisms</w:t>
      </w:r>
      <w:r w:rsidRPr="5F95D7AD" w:rsidR="22A93E0C">
        <w:rPr>
          <w:rFonts w:ascii="Aptos" w:hAnsi="Aptos" w:eastAsia="Aptos" w:cs="Aptos"/>
          <w:noProof w:val="0"/>
          <w:sz w:val="24"/>
          <w:szCs w:val="24"/>
          <w:lang w:val="en-GB"/>
        </w:rPr>
        <w:t>, guided by the Equality Act 2010. Applying the Transactional Model ensures a structured, two-way interaction, while collaborative communication within the multidisciplinary team maintains continuity and safety in his care.</w:t>
      </w:r>
    </w:p>
    <w:p w:rsidR="5F95D7AD" w:rsidP="5F95D7AD" w:rsidRDefault="5F95D7AD" w14:paraId="671EABBE" w14:textId="29C0937C">
      <w:pPr>
        <w:spacing w:before="0" w:beforeAutospacing="off" w:after="0" w:afterAutospacing="off"/>
      </w:pPr>
    </w:p>
    <w:p w:rsidR="22A93E0C" w:rsidP="5F95D7AD" w:rsidRDefault="22A93E0C" w14:paraId="2C359F50" w14:textId="2788F8AD">
      <w:pPr>
        <w:pStyle w:val="Heading2"/>
        <w:spacing w:before="299" w:beforeAutospacing="off" w:after="299" w:afterAutospacing="off"/>
      </w:pPr>
      <w:r w:rsidRPr="5F95D7AD" w:rsidR="22A93E0C">
        <w:rPr>
          <w:rFonts w:ascii="Aptos" w:hAnsi="Aptos" w:eastAsia="Aptos" w:cs="Aptos"/>
          <w:b w:val="1"/>
          <w:bCs w:val="1"/>
          <w:noProof w:val="0"/>
          <w:sz w:val="36"/>
          <w:szCs w:val="36"/>
          <w:lang w:val="en-GB"/>
        </w:rPr>
        <w:t xml:space="preserve"> The Importance of Good Administrative Skills in Mr Ahmed’s Care </w:t>
      </w:r>
    </w:p>
    <w:p w:rsidR="22A93E0C" w:rsidP="5F95D7AD" w:rsidRDefault="22A93E0C" w14:paraId="0948530E" w14:textId="5BE2C2A7">
      <w:pPr>
        <w:spacing w:before="240" w:beforeAutospacing="off" w:after="240" w:afterAutospacing="off"/>
      </w:pPr>
      <w:r w:rsidRPr="5F95D7AD" w:rsidR="22A93E0C">
        <w:rPr>
          <w:rFonts w:ascii="Aptos" w:hAnsi="Aptos" w:eastAsia="Aptos" w:cs="Aptos"/>
          <w:noProof w:val="0"/>
          <w:sz w:val="24"/>
          <w:szCs w:val="24"/>
          <w:lang w:val="en-GB"/>
        </w:rPr>
        <w:t>Good administrative skills are essential in health and social care settings to ensure accurate documentation, continuity of care, compliance with legislation, and protection of patient information (Bowling, 2014). For Mr Ahmed, effective administrative practices support the delivery of safe and coordinated care across multiple providers, including the domiciliary care agency, GP, district nurse, and speech and language therapist. Poor administrative skills, such as missed or inaccurate records, can directly compromise patient safety, as illustrated by the recent missed home visit where Mr Ahmed did not receive his prescribed medication on time.</w:t>
      </w:r>
    </w:p>
    <w:p w:rsidR="22A93E0C" w:rsidP="5F95D7AD" w:rsidRDefault="22A93E0C" w14:paraId="451CD9CC" w14:textId="4C839299">
      <w:pPr>
        <w:spacing w:before="240" w:beforeAutospacing="off" w:after="240" w:afterAutospacing="off"/>
      </w:pPr>
      <w:r w:rsidRPr="5F95D7AD" w:rsidR="22A93E0C">
        <w:rPr>
          <w:rFonts w:ascii="Aptos" w:hAnsi="Aptos" w:eastAsia="Aptos" w:cs="Aptos"/>
          <w:b w:val="1"/>
          <w:bCs w:val="1"/>
          <w:noProof w:val="0"/>
          <w:sz w:val="24"/>
          <w:szCs w:val="24"/>
          <w:lang w:val="en-GB"/>
        </w:rPr>
        <w:t>Record keeping</w:t>
      </w:r>
      <w:r w:rsidRPr="5F95D7AD" w:rsidR="22A93E0C">
        <w:rPr>
          <w:rFonts w:ascii="Aptos" w:hAnsi="Aptos" w:eastAsia="Aptos" w:cs="Aptos"/>
          <w:noProof w:val="0"/>
          <w:sz w:val="24"/>
          <w:szCs w:val="24"/>
          <w:lang w:val="en-GB"/>
        </w:rPr>
        <w:t xml:space="preserve"> is a critical aspect of professional practice. Accurate, up-to-date, and legible records provide a clear account of care delivered, interventions made, and patient responses (RCN, 2018). In Mr Ahmed’s case, daily care notes should include details of medication administration, meal assistance, personal care, and any observed changes in health or behaviour. This ensures that all members of the multidisciplinary team are informed, enabling informed decision-making and continuity of care. Electronic health records can facilitate sharing information among authorised professionals while maintaining accuracy and timeliness.</w:t>
      </w:r>
    </w:p>
    <w:p w:rsidR="22A93E0C" w:rsidP="5F95D7AD" w:rsidRDefault="22A93E0C" w14:paraId="6D56EF29" w14:textId="517A5FE0">
      <w:pPr>
        <w:spacing w:before="240" w:beforeAutospacing="off" w:after="240" w:afterAutospacing="off"/>
      </w:pPr>
      <w:r w:rsidRPr="5F95D7AD" w:rsidR="22A93E0C">
        <w:rPr>
          <w:rFonts w:ascii="Aptos" w:hAnsi="Aptos" w:eastAsia="Aptos" w:cs="Aptos"/>
          <w:noProof w:val="0"/>
          <w:sz w:val="24"/>
          <w:szCs w:val="24"/>
          <w:lang w:val="en-GB"/>
        </w:rPr>
        <w:t xml:space="preserve">The </w:t>
      </w:r>
      <w:r w:rsidRPr="5F95D7AD" w:rsidR="22A93E0C">
        <w:rPr>
          <w:rFonts w:ascii="Aptos" w:hAnsi="Aptos" w:eastAsia="Aptos" w:cs="Aptos"/>
          <w:b w:val="1"/>
          <w:bCs w:val="1"/>
          <w:noProof w:val="0"/>
          <w:sz w:val="24"/>
          <w:szCs w:val="24"/>
          <w:lang w:val="en-GB"/>
        </w:rPr>
        <w:t>Data Protection Act 2018 (DPA 2018)</w:t>
      </w:r>
      <w:r w:rsidRPr="5F95D7AD" w:rsidR="22A93E0C">
        <w:rPr>
          <w:rFonts w:ascii="Aptos" w:hAnsi="Aptos" w:eastAsia="Aptos" w:cs="Aptos"/>
          <w:noProof w:val="0"/>
          <w:sz w:val="24"/>
          <w:szCs w:val="24"/>
          <w:lang w:val="en-GB"/>
        </w:rPr>
        <w:t xml:space="preserve">, incorporating the General Data Protection Regulation (GDPR), provides a legislative framework for managing sensitive health and social care information (Gov.uk, 2018). Under the DPA 2018, personal data must be </w:t>
      </w:r>
      <w:r w:rsidRPr="5F95D7AD" w:rsidR="22A93E0C">
        <w:rPr>
          <w:rFonts w:ascii="Aptos" w:hAnsi="Aptos" w:eastAsia="Aptos" w:cs="Aptos"/>
          <w:b w:val="1"/>
          <w:bCs w:val="1"/>
          <w:noProof w:val="0"/>
          <w:sz w:val="24"/>
          <w:szCs w:val="24"/>
          <w:lang w:val="en-GB"/>
        </w:rPr>
        <w:t>processed lawfully, fairly, and transparently</w:t>
      </w:r>
      <w:r w:rsidRPr="5F95D7AD" w:rsidR="22A93E0C">
        <w:rPr>
          <w:rFonts w:ascii="Aptos" w:hAnsi="Aptos" w:eastAsia="Aptos" w:cs="Aptos"/>
          <w:noProof w:val="0"/>
          <w:sz w:val="24"/>
          <w:szCs w:val="24"/>
          <w:lang w:val="en-GB"/>
        </w:rPr>
        <w:t>, and access must be restricted to individuals with a legitimate professional need. For Mr Ahmed, this means that his medical history, care notes, and incident reports are stored securely and shared only with his multidisciplinary care team, respecting confidentiality and privacy. Breaches of data protection can result in legal consequences and loss of trust between service users and professionals.</w:t>
      </w:r>
    </w:p>
    <w:p w:rsidR="22A93E0C" w:rsidP="5F95D7AD" w:rsidRDefault="22A93E0C" w14:paraId="4964B40D" w14:textId="105A3B6B">
      <w:pPr>
        <w:spacing w:before="240" w:beforeAutospacing="off" w:after="240" w:afterAutospacing="off"/>
      </w:pPr>
      <w:r w:rsidRPr="5F95D7AD" w:rsidR="22A93E0C">
        <w:rPr>
          <w:rFonts w:ascii="Aptos" w:hAnsi="Aptos" w:eastAsia="Aptos" w:cs="Aptos"/>
          <w:noProof w:val="0"/>
          <w:sz w:val="24"/>
          <w:szCs w:val="24"/>
          <w:lang w:val="en-GB"/>
        </w:rPr>
        <w:t xml:space="preserve">In addition to legislative compliance, professional policy frameworks guide administrative practice. For example, the </w:t>
      </w:r>
      <w:r w:rsidRPr="5F95D7AD" w:rsidR="22A93E0C">
        <w:rPr>
          <w:rFonts w:ascii="Aptos" w:hAnsi="Aptos" w:eastAsia="Aptos" w:cs="Aptos"/>
          <w:b w:val="1"/>
          <w:bCs w:val="1"/>
          <w:noProof w:val="0"/>
          <w:sz w:val="24"/>
          <w:szCs w:val="24"/>
          <w:lang w:val="en-GB"/>
        </w:rPr>
        <w:t>Care Quality Commission (CQC) standards</w:t>
      </w:r>
      <w:r w:rsidRPr="5F95D7AD" w:rsidR="22A93E0C">
        <w:rPr>
          <w:rFonts w:ascii="Aptos" w:hAnsi="Aptos" w:eastAsia="Aptos" w:cs="Aptos"/>
          <w:noProof w:val="0"/>
          <w:sz w:val="24"/>
          <w:szCs w:val="24"/>
          <w:lang w:val="en-GB"/>
        </w:rPr>
        <w:t xml:space="preserve"> require that providers maintain comprehensive records, monitor care delivery, and implement systems to prevent errors (CQC, 2020). In Mr Ahmed’s case, the missed domiciliary visit demonstrates the need for robust administrative procedures, such as scheduling systems, electronic alerts, and regular audit checks to ensure all care tasks are completed.</w:t>
      </w:r>
    </w:p>
    <w:p w:rsidR="22A93E0C" w:rsidP="5F95D7AD" w:rsidRDefault="22A93E0C" w14:paraId="5B668850" w14:textId="5A843165">
      <w:pPr>
        <w:spacing w:before="240" w:beforeAutospacing="off" w:after="240" w:afterAutospacing="off"/>
      </w:pPr>
      <w:r w:rsidRPr="5F95D7AD" w:rsidR="22A93E0C">
        <w:rPr>
          <w:rFonts w:ascii="Aptos" w:hAnsi="Aptos" w:eastAsia="Aptos" w:cs="Aptos"/>
          <w:noProof w:val="0"/>
          <w:sz w:val="24"/>
          <w:szCs w:val="24"/>
          <w:lang w:val="en-GB"/>
        </w:rPr>
        <w:t xml:space="preserve">Administrative skills also encompass </w:t>
      </w:r>
      <w:r w:rsidRPr="5F95D7AD" w:rsidR="22A93E0C">
        <w:rPr>
          <w:rFonts w:ascii="Aptos" w:hAnsi="Aptos" w:eastAsia="Aptos" w:cs="Aptos"/>
          <w:b w:val="1"/>
          <w:bCs w:val="1"/>
          <w:noProof w:val="0"/>
          <w:sz w:val="24"/>
          <w:szCs w:val="24"/>
          <w:lang w:val="en-GB"/>
        </w:rPr>
        <w:t>reporting and escalation procedures</w:t>
      </w:r>
      <w:r w:rsidRPr="5F95D7AD" w:rsidR="22A93E0C">
        <w:rPr>
          <w:rFonts w:ascii="Aptos" w:hAnsi="Aptos" w:eastAsia="Aptos" w:cs="Aptos"/>
          <w:noProof w:val="0"/>
          <w:sz w:val="24"/>
          <w:szCs w:val="24"/>
          <w:lang w:val="en-GB"/>
        </w:rPr>
        <w:t>. Following an incident, such as missed medication, staff must document the event accurately and promptly, report it to supervisors, and participate in any investigations. This aligns with safeguarding principles, highlighting accountability, transparency, and a culture of continuous improvement (Skills for Care, 2021).</w:t>
      </w:r>
    </w:p>
    <w:p w:rsidR="22A93E0C" w:rsidP="5F95D7AD" w:rsidRDefault="22A93E0C" w14:paraId="77049401" w14:textId="23083D10">
      <w:pPr>
        <w:spacing w:before="240" w:beforeAutospacing="off" w:after="240" w:afterAutospacing="off"/>
      </w:pPr>
      <w:r w:rsidRPr="5F95D7AD" w:rsidR="22A93E0C">
        <w:rPr>
          <w:rFonts w:ascii="Aptos" w:hAnsi="Aptos" w:eastAsia="Aptos" w:cs="Aptos"/>
          <w:noProof w:val="0"/>
          <w:sz w:val="24"/>
          <w:szCs w:val="24"/>
          <w:lang w:val="en-GB"/>
        </w:rPr>
        <w:t xml:space="preserve">Finally, administrative competence supports </w:t>
      </w:r>
      <w:r w:rsidRPr="5F95D7AD" w:rsidR="22A93E0C">
        <w:rPr>
          <w:rFonts w:ascii="Aptos" w:hAnsi="Aptos" w:eastAsia="Aptos" w:cs="Aptos"/>
          <w:b w:val="1"/>
          <w:bCs w:val="1"/>
          <w:noProof w:val="0"/>
          <w:sz w:val="24"/>
          <w:szCs w:val="24"/>
          <w:lang w:val="en-GB"/>
        </w:rPr>
        <w:t>communication and multidisciplinary coordination</w:t>
      </w:r>
      <w:r w:rsidRPr="5F95D7AD" w:rsidR="22A93E0C">
        <w:rPr>
          <w:rFonts w:ascii="Aptos" w:hAnsi="Aptos" w:eastAsia="Aptos" w:cs="Aptos"/>
          <w:noProof w:val="0"/>
          <w:sz w:val="24"/>
          <w:szCs w:val="24"/>
          <w:lang w:val="en-GB"/>
        </w:rPr>
        <w:t>. Clear records, handovers, and care plans enable the GP, district nurse, and speech therapist to deliver care in a timely, safe, and person-centred manner. For Mr Ahmed, effective administration ensures his care needs are met consistently, promotes his safety, and maintains his and his family’s confidence in the health and social care system.</w:t>
      </w:r>
    </w:p>
    <w:p w:rsidR="22A93E0C" w:rsidP="5F95D7AD" w:rsidRDefault="22A93E0C" w14:paraId="2B82A135" w14:textId="5C5A77A5">
      <w:pPr>
        <w:spacing w:before="240" w:beforeAutospacing="off" w:after="240" w:afterAutospacing="off"/>
      </w:pPr>
      <w:r w:rsidRPr="5F95D7AD" w:rsidR="22A93E0C">
        <w:rPr>
          <w:rFonts w:ascii="Aptos" w:hAnsi="Aptos" w:eastAsia="Aptos" w:cs="Aptos"/>
          <w:noProof w:val="0"/>
          <w:sz w:val="24"/>
          <w:szCs w:val="24"/>
          <w:lang w:val="en-GB"/>
        </w:rPr>
        <w:t>In summary, good administrative skills, guided by the DPA 2018, CQC standards, and organisational policies, are crucial for maintaining accurate records, safeguarding patient information, and ensuring safe, coordinated care for Mr Ahmed.</w:t>
      </w:r>
    </w:p>
    <w:p w:rsidR="5F95D7AD" w:rsidP="5F95D7AD" w:rsidRDefault="5F95D7AD" w14:paraId="73C07AA9" w14:textId="1FCCE661">
      <w:pPr>
        <w:spacing w:before="0" w:beforeAutospacing="off" w:after="0" w:afterAutospacing="off"/>
      </w:pPr>
    </w:p>
    <w:p w:rsidR="22A93E0C" w:rsidP="5F95D7AD" w:rsidRDefault="22A93E0C" w14:paraId="5E96B411" w14:textId="12DB80D7">
      <w:pPr>
        <w:pStyle w:val="Heading3"/>
        <w:spacing w:before="281" w:beforeAutospacing="off" w:after="281" w:afterAutospacing="off"/>
      </w:pPr>
      <w:r w:rsidRPr="5F95D7AD" w:rsidR="22A93E0C">
        <w:rPr>
          <w:rFonts w:ascii="Aptos" w:hAnsi="Aptos" w:eastAsia="Aptos" w:cs="Aptos"/>
          <w:b w:val="1"/>
          <w:bCs w:val="1"/>
          <w:noProof w:val="0"/>
          <w:sz w:val="28"/>
          <w:szCs w:val="28"/>
          <w:lang w:val="en-GB"/>
        </w:rPr>
        <w:t xml:space="preserve"> References </w:t>
      </w:r>
    </w:p>
    <w:p w:rsidR="22A93E0C" w:rsidP="5F95D7AD" w:rsidRDefault="22A93E0C" w14:paraId="7EFA4F3A" w14:textId="63323544">
      <w:pPr>
        <w:spacing w:before="240" w:beforeAutospacing="off" w:after="240" w:afterAutospacing="off"/>
      </w:pPr>
      <w:r w:rsidRPr="5F95D7AD" w:rsidR="22A93E0C">
        <w:rPr>
          <w:rFonts w:ascii="Aptos" w:hAnsi="Aptos" w:eastAsia="Aptos" w:cs="Aptos"/>
          <w:noProof w:val="0"/>
          <w:sz w:val="24"/>
          <w:szCs w:val="24"/>
          <w:lang w:val="en-GB"/>
        </w:rPr>
        <w:t xml:space="preserve">Barnlund, D.C. (2008) </w:t>
      </w:r>
      <w:r w:rsidRPr="5F95D7AD" w:rsidR="22A93E0C">
        <w:rPr>
          <w:rFonts w:ascii="Aptos" w:hAnsi="Aptos" w:eastAsia="Aptos" w:cs="Aptos"/>
          <w:i w:val="1"/>
          <w:iCs w:val="1"/>
          <w:noProof w:val="0"/>
          <w:sz w:val="24"/>
          <w:szCs w:val="24"/>
          <w:lang w:val="en-GB"/>
        </w:rPr>
        <w:t>A transactional model of communication</w:t>
      </w:r>
      <w:r w:rsidRPr="5F95D7AD" w:rsidR="22A93E0C">
        <w:rPr>
          <w:rFonts w:ascii="Aptos" w:hAnsi="Aptos" w:eastAsia="Aptos" w:cs="Aptos"/>
          <w:noProof w:val="0"/>
          <w:sz w:val="24"/>
          <w:szCs w:val="24"/>
          <w:lang w:val="en-GB"/>
        </w:rPr>
        <w:t>. New York: Routledge.</w:t>
      </w:r>
    </w:p>
    <w:p w:rsidR="22A93E0C" w:rsidP="5F95D7AD" w:rsidRDefault="22A93E0C" w14:paraId="04C80D57" w14:textId="23C584E0">
      <w:pPr>
        <w:spacing w:before="240" w:beforeAutospacing="off" w:after="240" w:afterAutospacing="off"/>
      </w:pPr>
      <w:r w:rsidRPr="5F95D7AD" w:rsidR="22A93E0C">
        <w:rPr>
          <w:rFonts w:ascii="Aptos" w:hAnsi="Aptos" w:eastAsia="Aptos" w:cs="Aptos"/>
          <w:noProof w:val="0"/>
          <w:sz w:val="24"/>
          <w:szCs w:val="24"/>
          <w:lang w:val="en-GB"/>
        </w:rPr>
        <w:t xml:space="preserve">Bowling, A. (2014) </w:t>
      </w:r>
      <w:r w:rsidRPr="5F95D7AD" w:rsidR="22A93E0C">
        <w:rPr>
          <w:rFonts w:ascii="Aptos" w:hAnsi="Aptos" w:eastAsia="Aptos" w:cs="Aptos"/>
          <w:i w:val="1"/>
          <w:iCs w:val="1"/>
          <w:noProof w:val="0"/>
          <w:sz w:val="24"/>
          <w:szCs w:val="24"/>
          <w:lang w:val="en-GB"/>
        </w:rPr>
        <w:t>Research methods in health: investigating health and health services</w:t>
      </w:r>
      <w:r w:rsidRPr="5F95D7AD" w:rsidR="22A93E0C">
        <w:rPr>
          <w:rFonts w:ascii="Aptos" w:hAnsi="Aptos" w:eastAsia="Aptos" w:cs="Aptos"/>
          <w:noProof w:val="0"/>
          <w:sz w:val="24"/>
          <w:szCs w:val="24"/>
          <w:lang w:val="en-GB"/>
        </w:rPr>
        <w:t>. 4th edn. Maidenhead: McGraw-Hill Education.</w:t>
      </w:r>
    </w:p>
    <w:p w:rsidR="22A93E0C" w:rsidP="5F95D7AD" w:rsidRDefault="22A93E0C" w14:paraId="47F0D331" w14:textId="7B2EB1A9">
      <w:pPr>
        <w:spacing w:before="240" w:beforeAutospacing="off" w:after="240" w:afterAutospacing="off"/>
      </w:pPr>
      <w:r w:rsidRPr="5F95D7AD" w:rsidR="22A93E0C">
        <w:rPr>
          <w:rFonts w:ascii="Aptos" w:hAnsi="Aptos" w:eastAsia="Aptos" w:cs="Aptos"/>
          <w:noProof w:val="0"/>
          <w:sz w:val="24"/>
          <w:szCs w:val="24"/>
          <w:lang w:val="en-GB"/>
        </w:rPr>
        <w:t xml:space="preserve">Care Quality Commission (CQC) (2020) </w:t>
      </w:r>
      <w:r w:rsidRPr="5F95D7AD" w:rsidR="22A93E0C">
        <w:rPr>
          <w:rFonts w:ascii="Aptos" w:hAnsi="Aptos" w:eastAsia="Aptos" w:cs="Aptos"/>
          <w:i w:val="1"/>
          <w:iCs w:val="1"/>
          <w:noProof w:val="0"/>
          <w:sz w:val="24"/>
          <w:szCs w:val="24"/>
          <w:lang w:val="en-GB"/>
        </w:rPr>
        <w:t>Fundamental standards</w:t>
      </w:r>
      <w:r w:rsidRPr="5F95D7AD" w:rsidR="22A93E0C">
        <w:rPr>
          <w:rFonts w:ascii="Aptos" w:hAnsi="Aptos" w:eastAsia="Aptos" w:cs="Aptos"/>
          <w:noProof w:val="0"/>
          <w:sz w:val="24"/>
          <w:szCs w:val="24"/>
          <w:lang w:val="en-GB"/>
        </w:rPr>
        <w:t xml:space="preserve">. Available at: </w:t>
      </w:r>
      <w:hyperlink r:id="Ra4cee1b1d4cd4c6c">
        <w:r w:rsidRPr="5F95D7AD" w:rsidR="22A93E0C">
          <w:rPr>
            <w:rStyle w:val="Hyperlink"/>
            <w:rFonts w:ascii="Aptos" w:hAnsi="Aptos" w:eastAsia="Aptos" w:cs="Aptos"/>
            <w:noProof w:val="0"/>
            <w:sz w:val="24"/>
            <w:szCs w:val="24"/>
            <w:lang w:val="en-GB"/>
          </w:rPr>
          <w:t>https://www.cqc.org.uk</w:t>
        </w:r>
      </w:hyperlink>
      <w:r w:rsidRPr="5F95D7AD" w:rsidR="22A93E0C">
        <w:rPr>
          <w:rFonts w:ascii="Aptos" w:hAnsi="Aptos" w:eastAsia="Aptos" w:cs="Aptos"/>
          <w:noProof w:val="0"/>
          <w:sz w:val="24"/>
          <w:szCs w:val="24"/>
          <w:lang w:val="en-GB"/>
        </w:rPr>
        <w:t xml:space="preserve"> (Accessed: 7 March 2026).</w:t>
      </w:r>
    </w:p>
    <w:p w:rsidR="22A93E0C" w:rsidP="5F95D7AD" w:rsidRDefault="22A93E0C" w14:paraId="3A37729B" w14:textId="2C7FC7F4">
      <w:pPr>
        <w:spacing w:before="240" w:beforeAutospacing="off" w:after="240" w:afterAutospacing="off"/>
      </w:pPr>
      <w:r w:rsidRPr="5F95D7AD" w:rsidR="22A93E0C">
        <w:rPr>
          <w:rFonts w:ascii="Aptos" w:hAnsi="Aptos" w:eastAsia="Aptos" w:cs="Aptos"/>
          <w:noProof w:val="0"/>
          <w:sz w:val="24"/>
          <w:szCs w:val="24"/>
          <w:lang w:val="en-GB"/>
        </w:rPr>
        <w:t xml:space="preserve">Cole, D. &amp; Bird, T. (2020) </w:t>
      </w:r>
      <w:r w:rsidRPr="5F95D7AD" w:rsidR="22A93E0C">
        <w:rPr>
          <w:rFonts w:ascii="Aptos" w:hAnsi="Aptos" w:eastAsia="Aptos" w:cs="Aptos"/>
          <w:i w:val="1"/>
          <w:iCs w:val="1"/>
          <w:noProof w:val="0"/>
          <w:sz w:val="24"/>
          <w:szCs w:val="24"/>
          <w:lang w:val="en-GB"/>
        </w:rPr>
        <w:t>Communication skills for health and social care</w:t>
      </w:r>
      <w:r w:rsidRPr="5F95D7AD" w:rsidR="22A93E0C">
        <w:rPr>
          <w:rFonts w:ascii="Aptos" w:hAnsi="Aptos" w:eastAsia="Aptos" w:cs="Aptos"/>
          <w:noProof w:val="0"/>
          <w:sz w:val="24"/>
          <w:szCs w:val="24"/>
          <w:lang w:val="en-GB"/>
        </w:rPr>
        <w:t>. 3rd edn. London: Routledge.</w:t>
      </w:r>
    </w:p>
    <w:p w:rsidR="22A93E0C" w:rsidP="5F95D7AD" w:rsidRDefault="22A93E0C" w14:paraId="53CEC954" w14:textId="7A791106">
      <w:pPr>
        <w:spacing w:before="240" w:beforeAutospacing="off" w:after="240" w:afterAutospacing="off"/>
      </w:pPr>
      <w:r w:rsidRPr="5F95D7AD" w:rsidR="22A93E0C">
        <w:rPr>
          <w:rFonts w:ascii="Aptos" w:hAnsi="Aptos" w:eastAsia="Aptos" w:cs="Aptos"/>
          <w:noProof w:val="0"/>
          <w:sz w:val="24"/>
          <w:szCs w:val="24"/>
          <w:lang w:val="en-GB"/>
        </w:rPr>
        <w:t xml:space="preserve">Gov.uk (2010) </w:t>
      </w:r>
      <w:r w:rsidRPr="5F95D7AD" w:rsidR="22A93E0C">
        <w:rPr>
          <w:rFonts w:ascii="Aptos" w:hAnsi="Aptos" w:eastAsia="Aptos" w:cs="Aptos"/>
          <w:i w:val="1"/>
          <w:iCs w:val="1"/>
          <w:noProof w:val="0"/>
          <w:sz w:val="24"/>
          <w:szCs w:val="24"/>
          <w:lang w:val="en-GB"/>
        </w:rPr>
        <w:t>Equality Act 2010</w:t>
      </w:r>
      <w:r w:rsidRPr="5F95D7AD" w:rsidR="22A93E0C">
        <w:rPr>
          <w:rFonts w:ascii="Aptos" w:hAnsi="Aptos" w:eastAsia="Aptos" w:cs="Aptos"/>
          <w:noProof w:val="0"/>
          <w:sz w:val="24"/>
          <w:szCs w:val="24"/>
          <w:lang w:val="en-GB"/>
        </w:rPr>
        <w:t xml:space="preserve">. Available at: </w:t>
      </w:r>
      <w:hyperlink r:id="Rb77d65bb90d34fbb">
        <w:r w:rsidRPr="5F95D7AD" w:rsidR="22A93E0C">
          <w:rPr>
            <w:rStyle w:val="Hyperlink"/>
            <w:rFonts w:ascii="Aptos" w:hAnsi="Aptos" w:eastAsia="Aptos" w:cs="Aptos"/>
            <w:noProof w:val="0"/>
            <w:sz w:val="24"/>
            <w:szCs w:val="24"/>
            <w:lang w:val="en-GB"/>
          </w:rPr>
          <w:t>https://www.legislation.gov.uk/ukpga/2010/15/contents</w:t>
        </w:r>
      </w:hyperlink>
      <w:r w:rsidRPr="5F95D7AD" w:rsidR="22A93E0C">
        <w:rPr>
          <w:rFonts w:ascii="Aptos" w:hAnsi="Aptos" w:eastAsia="Aptos" w:cs="Aptos"/>
          <w:noProof w:val="0"/>
          <w:sz w:val="24"/>
          <w:szCs w:val="24"/>
          <w:lang w:val="en-GB"/>
        </w:rPr>
        <w:t xml:space="preserve"> (Accessed: 7 March 2026).</w:t>
      </w:r>
    </w:p>
    <w:p w:rsidR="22A93E0C" w:rsidP="5F95D7AD" w:rsidRDefault="22A93E0C" w14:paraId="3AF0A88E" w14:textId="3B1E4D6A">
      <w:pPr>
        <w:spacing w:before="240" w:beforeAutospacing="off" w:after="240" w:afterAutospacing="off"/>
      </w:pPr>
      <w:r w:rsidRPr="5F95D7AD" w:rsidR="22A93E0C">
        <w:rPr>
          <w:rFonts w:ascii="Aptos" w:hAnsi="Aptos" w:eastAsia="Aptos" w:cs="Aptos"/>
          <w:noProof w:val="0"/>
          <w:sz w:val="24"/>
          <w:szCs w:val="24"/>
          <w:lang w:val="en-GB"/>
        </w:rPr>
        <w:t xml:space="preserve">Gov.uk (2018) </w:t>
      </w:r>
      <w:r w:rsidRPr="5F95D7AD" w:rsidR="22A93E0C">
        <w:rPr>
          <w:rFonts w:ascii="Aptos" w:hAnsi="Aptos" w:eastAsia="Aptos" w:cs="Aptos"/>
          <w:i w:val="1"/>
          <w:iCs w:val="1"/>
          <w:noProof w:val="0"/>
          <w:sz w:val="24"/>
          <w:szCs w:val="24"/>
          <w:lang w:val="en-GB"/>
        </w:rPr>
        <w:t>Data Protection Act 2018</w:t>
      </w:r>
      <w:r w:rsidRPr="5F95D7AD" w:rsidR="22A93E0C">
        <w:rPr>
          <w:rFonts w:ascii="Aptos" w:hAnsi="Aptos" w:eastAsia="Aptos" w:cs="Aptos"/>
          <w:noProof w:val="0"/>
          <w:sz w:val="24"/>
          <w:szCs w:val="24"/>
          <w:lang w:val="en-GB"/>
        </w:rPr>
        <w:t xml:space="preserve">. Available at: </w:t>
      </w:r>
      <w:hyperlink r:id="Rc5fe7da0e1f84172">
        <w:r w:rsidRPr="5F95D7AD" w:rsidR="22A93E0C">
          <w:rPr>
            <w:rStyle w:val="Hyperlink"/>
            <w:rFonts w:ascii="Aptos" w:hAnsi="Aptos" w:eastAsia="Aptos" w:cs="Aptos"/>
            <w:noProof w:val="0"/>
            <w:sz w:val="24"/>
            <w:szCs w:val="24"/>
            <w:lang w:val="en-GB"/>
          </w:rPr>
          <w:t>https://www.legislation.gov.uk/ukpga/2018/12/contents/enacted</w:t>
        </w:r>
      </w:hyperlink>
      <w:r w:rsidRPr="5F95D7AD" w:rsidR="22A93E0C">
        <w:rPr>
          <w:rFonts w:ascii="Aptos" w:hAnsi="Aptos" w:eastAsia="Aptos" w:cs="Aptos"/>
          <w:noProof w:val="0"/>
          <w:sz w:val="24"/>
          <w:szCs w:val="24"/>
          <w:lang w:val="en-GB"/>
        </w:rPr>
        <w:t xml:space="preserve"> (Accessed: 7 March 2026).</w:t>
      </w:r>
    </w:p>
    <w:p w:rsidR="22A93E0C" w:rsidP="5F95D7AD" w:rsidRDefault="22A93E0C" w14:paraId="30ABD91F" w14:textId="369C1D0F">
      <w:pPr>
        <w:spacing w:before="240" w:beforeAutospacing="off" w:after="240" w:afterAutospacing="off"/>
      </w:pPr>
      <w:r w:rsidRPr="5F95D7AD" w:rsidR="22A93E0C">
        <w:rPr>
          <w:rFonts w:ascii="Aptos" w:hAnsi="Aptos" w:eastAsia="Aptos" w:cs="Aptos"/>
          <w:noProof w:val="0"/>
          <w:sz w:val="24"/>
          <w:szCs w:val="24"/>
          <w:lang w:val="en-GB"/>
        </w:rPr>
        <w:t xml:space="preserve">McCabe, C. &amp; Timmins, F. (2019) </w:t>
      </w:r>
      <w:r w:rsidRPr="5F95D7AD" w:rsidR="22A93E0C">
        <w:rPr>
          <w:rFonts w:ascii="Aptos" w:hAnsi="Aptos" w:eastAsia="Aptos" w:cs="Aptos"/>
          <w:i w:val="1"/>
          <w:iCs w:val="1"/>
          <w:noProof w:val="0"/>
          <w:sz w:val="24"/>
          <w:szCs w:val="24"/>
          <w:lang w:val="en-GB"/>
        </w:rPr>
        <w:t>Communication skills for nursing practice</w:t>
      </w:r>
      <w:r w:rsidRPr="5F95D7AD" w:rsidR="22A93E0C">
        <w:rPr>
          <w:rFonts w:ascii="Aptos" w:hAnsi="Aptos" w:eastAsia="Aptos" w:cs="Aptos"/>
          <w:noProof w:val="0"/>
          <w:sz w:val="24"/>
          <w:szCs w:val="24"/>
          <w:lang w:val="en-GB"/>
        </w:rPr>
        <w:t>. 4th edn. London: Routledge.</w:t>
      </w:r>
    </w:p>
    <w:p w:rsidR="22A93E0C" w:rsidP="5F95D7AD" w:rsidRDefault="22A93E0C" w14:paraId="3CFE74C7" w14:textId="35ACDCFD">
      <w:pPr>
        <w:spacing w:before="240" w:beforeAutospacing="off" w:after="240" w:afterAutospacing="off"/>
      </w:pPr>
      <w:r w:rsidRPr="5F95D7AD" w:rsidR="22A93E0C">
        <w:rPr>
          <w:rFonts w:ascii="Aptos" w:hAnsi="Aptos" w:eastAsia="Aptos" w:cs="Aptos"/>
          <w:noProof w:val="0"/>
          <w:sz w:val="24"/>
          <w:szCs w:val="24"/>
          <w:lang w:val="en-GB"/>
        </w:rPr>
        <w:t xml:space="preserve">Royal College of Nursing (RCN) (2018) </w:t>
      </w:r>
      <w:r w:rsidRPr="5F95D7AD" w:rsidR="22A93E0C">
        <w:rPr>
          <w:rFonts w:ascii="Aptos" w:hAnsi="Aptos" w:eastAsia="Aptos" w:cs="Aptos"/>
          <w:i w:val="1"/>
          <w:iCs w:val="1"/>
          <w:noProof w:val="0"/>
          <w:sz w:val="24"/>
          <w:szCs w:val="24"/>
          <w:lang w:val="en-GB"/>
        </w:rPr>
        <w:t>Record keeping: guidance for nurses and midwives</w:t>
      </w:r>
      <w:r w:rsidRPr="5F95D7AD" w:rsidR="22A93E0C">
        <w:rPr>
          <w:rFonts w:ascii="Aptos" w:hAnsi="Aptos" w:eastAsia="Aptos" w:cs="Aptos"/>
          <w:noProof w:val="0"/>
          <w:sz w:val="24"/>
          <w:szCs w:val="24"/>
          <w:lang w:val="en-GB"/>
        </w:rPr>
        <w:t>. London: RCN.</w:t>
      </w:r>
    </w:p>
    <w:p w:rsidR="22A93E0C" w:rsidP="5F95D7AD" w:rsidRDefault="22A93E0C" w14:paraId="31C7DE60" w14:textId="6AFD5E43">
      <w:pPr>
        <w:spacing w:before="240" w:beforeAutospacing="off" w:after="240" w:afterAutospacing="off"/>
      </w:pPr>
      <w:r w:rsidRPr="5F95D7AD" w:rsidR="22A93E0C">
        <w:rPr>
          <w:rFonts w:ascii="Aptos" w:hAnsi="Aptos" w:eastAsia="Aptos" w:cs="Aptos"/>
          <w:noProof w:val="0"/>
          <w:sz w:val="24"/>
          <w:szCs w:val="24"/>
          <w:lang w:val="en-GB"/>
        </w:rPr>
        <w:t xml:space="preserve">Skills for Care (2021) </w:t>
      </w:r>
      <w:r w:rsidRPr="5F95D7AD" w:rsidR="22A93E0C">
        <w:rPr>
          <w:rFonts w:ascii="Aptos" w:hAnsi="Aptos" w:eastAsia="Aptos" w:cs="Aptos"/>
          <w:i w:val="1"/>
          <w:iCs w:val="1"/>
          <w:noProof w:val="0"/>
          <w:sz w:val="24"/>
          <w:szCs w:val="24"/>
          <w:lang w:val="en-GB"/>
        </w:rPr>
        <w:t>Record keeping and reporting in social care</w:t>
      </w:r>
      <w:r w:rsidRPr="5F95D7AD" w:rsidR="22A93E0C">
        <w:rPr>
          <w:rFonts w:ascii="Aptos" w:hAnsi="Aptos" w:eastAsia="Aptos" w:cs="Aptos"/>
          <w:noProof w:val="0"/>
          <w:sz w:val="24"/>
          <w:szCs w:val="24"/>
          <w:lang w:val="en-GB"/>
        </w:rPr>
        <w:t xml:space="preserve">. Available at: </w:t>
      </w:r>
      <w:hyperlink r:id="R8b32b9f92fa54c8a">
        <w:r w:rsidRPr="5F95D7AD" w:rsidR="22A93E0C">
          <w:rPr>
            <w:rStyle w:val="Hyperlink"/>
            <w:rFonts w:ascii="Aptos" w:hAnsi="Aptos" w:eastAsia="Aptos" w:cs="Aptos"/>
            <w:noProof w:val="0"/>
            <w:sz w:val="24"/>
            <w:szCs w:val="24"/>
            <w:lang w:val="en-GB"/>
          </w:rPr>
          <w:t>https://www.skillsforcare.org.uk</w:t>
        </w:r>
      </w:hyperlink>
      <w:r w:rsidRPr="5F95D7AD" w:rsidR="22A93E0C">
        <w:rPr>
          <w:rFonts w:ascii="Aptos" w:hAnsi="Aptos" w:eastAsia="Aptos" w:cs="Aptos"/>
          <w:noProof w:val="0"/>
          <w:sz w:val="24"/>
          <w:szCs w:val="24"/>
          <w:lang w:val="en-GB"/>
        </w:rPr>
        <w:t xml:space="preserve"> (Accessed: 7 March 2026).</w:t>
      </w:r>
    </w:p>
    <w:p w:rsidR="22A93E0C" w:rsidP="5F95D7AD" w:rsidRDefault="22A93E0C" w14:paraId="3BF2D898" w14:textId="5D2E9CB0">
      <w:pPr>
        <w:spacing w:before="240" w:beforeAutospacing="off" w:after="240" w:afterAutospacing="off"/>
      </w:pPr>
      <w:r w:rsidRPr="5F95D7AD" w:rsidR="22A93E0C">
        <w:rPr>
          <w:rFonts w:ascii="Aptos" w:hAnsi="Aptos" w:eastAsia="Aptos" w:cs="Aptos"/>
          <w:noProof w:val="0"/>
          <w:sz w:val="24"/>
          <w:szCs w:val="24"/>
          <w:lang w:val="en-GB"/>
        </w:rPr>
        <w:t xml:space="preserve">UK Health Security Agency (UKHSA) (2025) </w:t>
      </w:r>
      <w:r w:rsidRPr="5F95D7AD" w:rsidR="22A93E0C">
        <w:rPr>
          <w:rFonts w:ascii="Aptos" w:hAnsi="Aptos" w:eastAsia="Aptos" w:cs="Aptos"/>
          <w:i w:val="1"/>
          <w:iCs w:val="1"/>
          <w:noProof w:val="0"/>
          <w:sz w:val="24"/>
          <w:szCs w:val="24"/>
          <w:lang w:val="en-GB"/>
        </w:rPr>
        <w:t>Tuberculosis incidence and epidemiology, England 2024</w:t>
      </w:r>
      <w:r w:rsidRPr="5F95D7AD" w:rsidR="22A93E0C">
        <w:rPr>
          <w:rFonts w:ascii="Aptos" w:hAnsi="Aptos" w:eastAsia="Aptos" w:cs="Aptos"/>
          <w:noProof w:val="0"/>
          <w:sz w:val="24"/>
          <w:szCs w:val="24"/>
          <w:lang w:val="en-GB"/>
        </w:rPr>
        <w:t>. London: UKHSA.</w:t>
      </w:r>
    </w:p>
    <w:p w:rsidR="5F95D7AD" w:rsidP="5F95D7AD" w:rsidRDefault="5F95D7AD" w14:paraId="2D03FDC0" w14:textId="537EB647">
      <w:pPr>
        <w:spacing w:before="0" w:beforeAutospacing="off" w:after="0" w:afterAutospacing="off"/>
      </w:pPr>
    </w:p>
    <w:p w:rsidR="5F95D7AD" w:rsidP="5F95D7AD" w:rsidRDefault="5F95D7AD" w14:paraId="12AD3E58" w14:textId="6DED5F56">
      <w:pPr>
        <w:spacing w:before="240" w:beforeAutospacing="off" w:after="240" w:afterAutospacing="off"/>
      </w:pPr>
    </w:p>
    <w:p w:rsidR="5F95D7AD" w:rsidRDefault="5F95D7AD" w14:paraId="304B869A" w14:textId="6F6B654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314a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221578"/>
    <w:rsid w:val="05293917"/>
    <w:rsid w:val="204C7A11"/>
    <w:rsid w:val="22A93E0C"/>
    <w:rsid w:val="30726F4B"/>
    <w:rsid w:val="36796507"/>
    <w:rsid w:val="46221578"/>
    <w:rsid w:val="463277E1"/>
    <w:rsid w:val="4BC6428C"/>
    <w:rsid w:val="592EED0B"/>
    <w:rsid w:val="5F95D7AD"/>
    <w:rsid w:val="614148B6"/>
    <w:rsid w:val="73DD180C"/>
    <w:rsid w:val="76489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DF5C"/>
  <w15:chartTrackingRefBased/>
  <w15:docId w15:val="{F4E8DBFC-8AE7-416A-85E8-7D4BBD641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F95D7A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F95D7A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F95D7A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F95D7AD"/>
    <w:pPr>
      <w:spacing/>
      <w:ind w:left="720"/>
      <w:contextualSpacing/>
    </w:pPr>
  </w:style>
  <w:style w:type="character" w:styleId="Hyperlink">
    <w:uiPriority w:val="99"/>
    <w:name w:val="Hyperlink"/>
    <w:basedOn w:val="DefaultParagraphFont"/>
    <w:unhideWhenUsed/>
    <w:rsid w:val="5F95D7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 TargetMode="External" Id="Ra4cee1b1d4cd4c6c" /><Relationship Type="http://schemas.openxmlformats.org/officeDocument/2006/relationships/hyperlink" Target="https://www.legislation.gov.uk/ukpga/2010/15/contents" TargetMode="External" Id="Rb77d65bb90d34fbb" /><Relationship Type="http://schemas.openxmlformats.org/officeDocument/2006/relationships/hyperlink" Target="https://www.legislation.gov.uk/ukpga/2018/12/contents/enacted" TargetMode="External" Id="Rc5fe7da0e1f84172" /><Relationship Type="http://schemas.openxmlformats.org/officeDocument/2006/relationships/hyperlink" Target="https://www.skillsforcare.org.uk/" TargetMode="External" Id="R8b32b9f92fa54c8a" /><Relationship Type="http://schemas.openxmlformats.org/officeDocument/2006/relationships/numbering" Target="/word/numbering.xml" Id="R1acfcd2bc2fa49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Salima Ollson Kasirye (2516167)</dc:creator>
  <keywords/>
  <dc:description/>
  <lastModifiedBy>Salima Ollson Kasirye (2516167)</lastModifiedBy>
  <revision>3</revision>
  <dcterms:created xsi:type="dcterms:W3CDTF">2026-03-07T17:39:31.3399743Z</dcterms:created>
  <dcterms:modified xsi:type="dcterms:W3CDTF">2026-04-23T18:49:14.1963875Z</dcterms:modified>
</coreProperties>
</file>