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E39B5F" w14:textId="77777777" w:rsidR="00D07D91" w:rsidRDefault="00D07D91" w:rsidP="004F1310">
      <w:pPr>
        <w:jc w:val="center"/>
        <w:rPr>
          <w:b/>
          <w:bCs/>
          <w:sz w:val="26"/>
          <w:szCs w:val="26"/>
        </w:rPr>
      </w:pPr>
      <w:r w:rsidRPr="002D436A">
        <w:rPr>
          <w:b/>
          <w:bCs/>
          <w:sz w:val="26"/>
          <w:szCs w:val="26"/>
        </w:rPr>
        <w:t>A guidance document focusing on autism, designed to assist youth workers in enhancing the incl</w:t>
      </w:r>
      <w:r>
        <w:rPr>
          <w:b/>
          <w:bCs/>
          <w:sz w:val="26"/>
          <w:szCs w:val="26"/>
        </w:rPr>
        <w:t>usive</w:t>
      </w:r>
      <w:r w:rsidRPr="002D436A">
        <w:rPr>
          <w:b/>
          <w:bCs/>
          <w:sz w:val="26"/>
          <w:szCs w:val="26"/>
        </w:rPr>
        <w:t xml:space="preserve"> nature of an open access youth centre</w:t>
      </w:r>
    </w:p>
    <w:p w14:paraId="14CC8B31" w14:textId="77777777" w:rsidR="00D07D91" w:rsidRPr="00DD585A" w:rsidRDefault="00D07D91" w:rsidP="004F1310">
      <w:pPr>
        <w:rPr>
          <w:color w:val="000000" w:themeColor="text1"/>
        </w:rPr>
      </w:pPr>
      <w:r w:rsidRPr="00DD585A">
        <w:rPr>
          <w:color w:val="000000" w:themeColor="text1"/>
        </w:rPr>
        <w:t>This guidance document aims to support youth workers in creating inclusive open access environments for autistic young people by providing an overview on autism, relevant policies and legislations, case studies and strategies for inclusive practice. Autism also known as autism spectrum disorder (ASD) is defined by the national autistic society (2025) as a lifelong neurodivergence and disability that influences how people interact and experiences the world, they have differences in how they think, feel and communicate compared to non-autistic people. It is estimated that 1 in 100 people in the uk have autism, this is approximately 700,000 young people and adults with autism. People with ASD vary as it is understood as a spectrum with each autistic person having unique characteristics and different strengths and challenges. The visibility of the characteristics changes with each autistic person and in each situation, autistic people can also mask their characteristics. This means that they hide their autistic traits in order to be more accepted in society, this can be in formal setting and even informal settings like being home with family. Research suggests that autistic people learn to mask by analysing and observing behaviours and then mirrors those behaviours to others. (The national autistic society,2026)</w:t>
      </w:r>
    </w:p>
    <w:p w14:paraId="06049E10" w14:textId="77777777" w:rsidR="00D07D91" w:rsidRDefault="00D07D91" w:rsidP="004F1310">
      <w:pPr>
        <w:rPr>
          <w:rFonts w:eastAsia="Times New Roman"/>
          <w:color w:val="000000" w:themeColor="text1"/>
        </w:rPr>
      </w:pPr>
      <w:r w:rsidRPr="00DD585A">
        <w:rPr>
          <w:rFonts w:eastAsia="Times New Roman"/>
          <w:color w:val="000000" w:themeColor="text1"/>
        </w:rPr>
        <w:t>Masking in autistic individuals refers to the conscious or unconscious suppression of natural behaviours to conform to social expectations. This can involve mirroring facial expressions that do not come naturally, as well as closely monitoring and deliberately adjusting eye contact. Individuals may also alter their tone of voice or rehearse conversations in advance to reduce the risk of saying something viewed as inappropriate. In addition, masking can include changing or minimising stimming so they are less noticeable to others, alongside actively reducing visible reactions to sensory sensitivities, even in overwhelming environments. While these strategies can sometimes help autistic people navigate social situations, they often require significant mental effort and may contribute to stress, anxiety, and exhaustion over time (National autistic society, 2026), particularly in settings such as youth centres where social interaction is frequent and unpredictable. Therefore, it is vital that youth centres create an inclusive and supportive environment where autistic young people feel able to be themselves, without pressure to conform to society’s unrealistic expectations.</w:t>
      </w:r>
    </w:p>
    <w:p w14:paraId="7A307552" w14:textId="77777777" w:rsidR="00D07D91" w:rsidRDefault="00D07D91" w:rsidP="004F1310">
      <w:pPr>
        <w:rPr>
          <w:rFonts w:eastAsia="Times New Roman"/>
          <w:color w:val="000000" w:themeColor="text1"/>
        </w:rPr>
      </w:pPr>
    </w:p>
    <w:p w14:paraId="3011BCC2" w14:textId="77777777" w:rsidR="00D07D91" w:rsidRDefault="00D07D91" w:rsidP="004F1310">
      <w:pPr>
        <w:rPr>
          <w:rFonts w:eastAsia="Times New Roman"/>
          <w:color w:val="000000" w:themeColor="text1"/>
        </w:rPr>
      </w:pPr>
      <w:r>
        <w:rPr>
          <w:rFonts w:eastAsia="Times New Roman"/>
          <w:noProof/>
          <w:color w:val="000000" w:themeColor="text1"/>
        </w:rPr>
        <w:drawing>
          <wp:anchor distT="0" distB="0" distL="114300" distR="114300" simplePos="0" relativeHeight="251659264" behindDoc="0" locked="0" layoutInCell="1" allowOverlap="1" wp14:anchorId="5565BA3B" wp14:editId="3AA65E3F">
            <wp:simplePos x="0" y="0"/>
            <wp:positionH relativeFrom="column">
              <wp:posOffset>-210185</wp:posOffset>
            </wp:positionH>
            <wp:positionV relativeFrom="paragraph">
              <wp:posOffset>-178591</wp:posOffset>
            </wp:positionV>
            <wp:extent cx="2236470" cy="1483995"/>
            <wp:effectExtent l="0" t="0" r="0" b="1905"/>
            <wp:wrapSquare wrapText="bothSides"/>
            <wp:docPr id="1965808916" name="Picture 2">
              <a:hlinkClick xmlns:a="http://schemas.openxmlformats.org/drawingml/2006/main" r:id="rId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808916" name="Picture 2">
                      <a:hlinkClick r:id="rId4"/>
                    </pic:cNvPr>
                    <pic:cNvPicPr/>
                  </pic:nvPicPr>
                  <pic:blipFill>
                    <a:blip r:embed="rId5" cstate="print">
                      <a:extLst>
                        <a:ext uri="{28A0092B-C50C-407E-A947-70E740481C1C}">
                          <a14:useLocalDpi xmlns:a14="http://schemas.microsoft.com/office/drawing/2010/main" val="0"/>
                        </a:ext>
                      </a:extLst>
                    </a:blip>
                    <a:stretch>
                      <a:fillRect/>
                    </a:stretch>
                  </pic:blipFill>
                  <pic:spPr>
                    <a:xfrm>
                      <a:off x="0" y="0"/>
                      <a:ext cx="2236470" cy="1483995"/>
                    </a:xfrm>
                    <a:prstGeom prst="rect">
                      <a:avLst/>
                    </a:prstGeom>
                  </pic:spPr>
                </pic:pic>
              </a:graphicData>
            </a:graphic>
            <wp14:sizeRelH relativeFrom="page">
              <wp14:pctWidth>0</wp14:pctWidth>
            </wp14:sizeRelH>
            <wp14:sizeRelV relativeFrom="page">
              <wp14:pctHeight>0</wp14:pctHeight>
            </wp14:sizeRelV>
          </wp:anchor>
        </w:drawing>
      </w:r>
      <w:r>
        <w:rPr>
          <w:rFonts w:eastAsia="Times New Roman"/>
          <w:color w:val="000000" w:themeColor="text1"/>
        </w:rPr>
        <w:t>Here is a short video that helps understand the impact of masking on a young person with autism</w:t>
      </w:r>
    </w:p>
    <w:p w14:paraId="33831C98" w14:textId="77777777" w:rsidR="00D07D91" w:rsidRDefault="00D07D91" w:rsidP="004F1310">
      <w:pPr>
        <w:rPr>
          <w:rFonts w:eastAsia="Times New Roman"/>
          <w:color w:val="000000" w:themeColor="text1"/>
        </w:rPr>
      </w:pPr>
    </w:p>
    <w:p w14:paraId="47ECBCF3" w14:textId="77777777" w:rsidR="00D07D91" w:rsidRPr="006D5E0E" w:rsidRDefault="00D07D91" w:rsidP="004F1310">
      <w:pPr>
        <w:rPr>
          <w:color w:val="000000" w:themeColor="text1"/>
        </w:rPr>
      </w:pPr>
    </w:p>
    <w:p w14:paraId="601985ED" w14:textId="77777777" w:rsidR="00D07D91" w:rsidRDefault="00D07D91" w:rsidP="004F1310">
      <w:pPr>
        <w:jc w:val="both"/>
        <w:rPr>
          <w:rFonts w:eastAsia="Times New Roman"/>
          <w:color w:val="000000" w:themeColor="text1"/>
        </w:rPr>
      </w:pPr>
      <w:r>
        <w:rPr>
          <w:rFonts w:eastAsia="Times New Roman"/>
          <w:noProof/>
          <w:color w:val="000000" w:themeColor="text1"/>
        </w:rPr>
        <w:lastRenderedPageBreak/>
        <w:drawing>
          <wp:anchor distT="0" distB="0" distL="114300" distR="114300" simplePos="0" relativeHeight="251661312" behindDoc="0" locked="0" layoutInCell="1" allowOverlap="1" wp14:anchorId="1B7A778C" wp14:editId="4448F579">
            <wp:simplePos x="0" y="0"/>
            <wp:positionH relativeFrom="column">
              <wp:posOffset>0</wp:posOffset>
            </wp:positionH>
            <wp:positionV relativeFrom="paragraph">
              <wp:posOffset>885589</wp:posOffset>
            </wp:positionV>
            <wp:extent cx="5731510" cy="1794510"/>
            <wp:effectExtent l="0" t="0" r="0" b="0"/>
            <wp:wrapTopAndBottom/>
            <wp:docPr id="411165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165063" name="Picture 411165063"/>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1794510"/>
                    </a:xfrm>
                    <a:prstGeom prst="rect">
                      <a:avLst/>
                    </a:prstGeom>
                  </pic:spPr>
                </pic:pic>
              </a:graphicData>
            </a:graphic>
          </wp:anchor>
        </w:drawing>
      </w:r>
      <w:r w:rsidRPr="00DD585A">
        <w:rPr>
          <w:rFonts w:eastAsia="Times New Roman"/>
          <w:color w:val="000000" w:themeColor="text1"/>
        </w:rPr>
        <w:t>Research indicates that autistic individuals are at a significantly higher risk of experiencing mental health conditions.</w:t>
      </w:r>
    </w:p>
    <w:p w14:paraId="4E33B228" w14:textId="77777777" w:rsidR="00D07D91" w:rsidRPr="00DD585A" w:rsidRDefault="00D07D91" w:rsidP="004F1310">
      <w:pPr>
        <w:jc w:val="both"/>
        <w:rPr>
          <w:rFonts w:eastAsia="Times New Roman"/>
          <w:color w:val="000000" w:themeColor="text1"/>
        </w:rPr>
      </w:pPr>
    </w:p>
    <w:p w14:paraId="3046994D" w14:textId="77777777" w:rsidR="00D07D91" w:rsidRDefault="00D07D91" w:rsidP="004F1310">
      <w:pPr>
        <w:jc w:val="both"/>
        <w:rPr>
          <w:rFonts w:eastAsia="Times New Roman"/>
          <w:color w:val="000000" w:themeColor="text1"/>
        </w:rPr>
      </w:pPr>
      <w:r>
        <w:rPr>
          <w:rFonts w:eastAsia="Times New Roman"/>
          <w:color w:val="000000" w:themeColor="text1"/>
        </w:rPr>
        <w:t>(</w:t>
      </w:r>
      <w:proofErr w:type="spellStart"/>
      <w:r>
        <w:rPr>
          <w:rFonts w:eastAsia="Times New Roman"/>
          <w:color w:val="000000" w:themeColor="text1"/>
        </w:rPr>
        <w:t>Autistica</w:t>
      </w:r>
      <w:proofErr w:type="spellEnd"/>
      <w:r>
        <w:rPr>
          <w:rFonts w:eastAsia="Times New Roman"/>
          <w:color w:val="000000" w:themeColor="text1"/>
        </w:rPr>
        <w:t>, 2017)</w:t>
      </w:r>
    </w:p>
    <w:p w14:paraId="1F73E09D" w14:textId="77777777" w:rsidR="00D07D91" w:rsidRPr="00DD585A" w:rsidRDefault="00D07D91" w:rsidP="004F1310">
      <w:pPr>
        <w:jc w:val="both"/>
        <w:rPr>
          <w:rFonts w:eastAsia="Times New Roman"/>
          <w:color w:val="000000" w:themeColor="text1"/>
        </w:rPr>
      </w:pPr>
      <w:r w:rsidRPr="00DD585A">
        <w:rPr>
          <w:rFonts w:eastAsia="Times New Roman"/>
          <w:color w:val="000000" w:themeColor="text1"/>
        </w:rPr>
        <w:t>These findings highlight the importance of creating safe, understanding, and inclusive environments for autistic young people within youth work settings</w:t>
      </w:r>
    </w:p>
    <w:p w14:paraId="3B7C9F02" w14:textId="77777777" w:rsidR="00D07D91" w:rsidRDefault="00D07D91" w:rsidP="004F1310">
      <w:pPr>
        <w:pStyle w:val="p1"/>
        <w:rPr>
          <w:rStyle w:val="s1"/>
          <w:rFonts w:asciiTheme="minorHAnsi" w:hAnsiTheme="minorHAnsi"/>
          <w:b/>
          <w:bCs/>
          <w:color w:val="000000" w:themeColor="text1"/>
          <w:sz w:val="24"/>
          <w:szCs w:val="24"/>
        </w:rPr>
      </w:pPr>
    </w:p>
    <w:p w14:paraId="36ECDD81" w14:textId="77777777" w:rsidR="00D07D91" w:rsidRPr="00A83C1F" w:rsidRDefault="00D07D91" w:rsidP="004F1310">
      <w:pPr>
        <w:pStyle w:val="p1"/>
        <w:rPr>
          <w:rStyle w:val="s1"/>
          <w:rFonts w:asciiTheme="minorHAnsi" w:hAnsiTheme="minorHAnsi"/>
          <w:b/>
          <w:bCs/>
          <w:color w:val="000000" w:themeColor="text1"/>
        </w:rPr>
      </w:pPr>
      <w:r w:rsidRPr="00A83C1F">
        <w:rPr>
          <w:rStyle w:val="s1"/>
          <w:rFonts w:asciiTheme="minorHAnsi" w:hAnsiTheme="minorHAnsi"/>
          <w:b/>
          <w:bCs/>
          <w:color w:val="000000" w:themeColor="text1"/>
        </w:rPr>
        <w:t xml:space="preserve">Policies and legislations </w:t>
      </w:r>
    </w:p>
    <w:p w14:paraId="37FA662B" w14:textId="77777777" w:rsidR="00D07D91" w:rsidRDefault="00D07D91" w:rsidP="004F1310">
      <w:pPr>
        <w:pStyle w:val="p1"/>
        <w:rPr>
          <w:rStyle w:val="s1"/>
          <w:rFonts w:asciiTheme="minorHAnsi" w:hAnsiTheme="minorHAnsi"/>
          <w:color w:val="000000" w:themeColor="text1"/>
          <w:sz w:val="24"/>
          <w:szCs w:val="24"/>
        </w:rPr>
      </w:pPr>
    </w:p>
    <w:p w14:paraId="1C2E6454" w14:textId="77777777" w:rsidR="00D07D91" w:rsidRPr="00DD585A" w:rsidRDefault="00D07D91" w:rsidP="004F1310">
      <w:pPr>
        <w:pStyle w:val="p1"/>
        <w:rPr>
          <w:rFonts w:asciiTheme="minorHAnsi" w:hAnsiTheme="minorHAnsi"/>
          <w:color w:val="000000" w:themeColor="text1"/>
          <w:sz w:val="24"/>
          <w:szCs w:val="24"/>
        </w:rPr>
      </w:pPr>
      <w:r w:rsidRPr="00DD585A">
        <w:rPr>
          <w:rStyle w:val="s1"/>
          <w:rFonts w:asciiTheme="minorHAnsi" w:hAnsiTheme="minorHAnsi"/>
          <w:color w:val="000000" w:themeColor="text1"/>
          <w:sz w:val="24"/>
          <w:szCs w:val="24"/>
        </w:rPr>
        <w:t>Inclusive practice within open access youth provision is shaped by legislation and policy that promotes equality, participation, and fair access for young people with Autism Spectrum Disorder (ASD). These frameworks help ensure that autistic young people are recognised as having the same rights and opportunities as their peers, while also acknowledging that some may need additional support to participate fully (Department for Education, 2014).</w:t>
      </w:r>
    </w:p>
    <w:p w14:paraId="3ACBA2CA" w14:textId="77777777" w:rsidR="00D07D91" w:rsidRPr="00DD585A" w:rsidRDefault="00D07D91" w:rsidP="004F1310">
      <w:pPr>
        <w:pStyle w:val="p2"/>
        <w:rPr>
          <w:rFonts w:asciiTheme="minorHAnsi" w:hAnsiTheme="minorHAnsi"/>
          <w:color w:val="000000" w:themeColor="text1"/>
          <w:sz w:val="24"/>
          <w:szCs w:val="24"/>
        </w:rPr>
      </w:pPr>
    </w:p>
    <w:p w14:paraId="3130E2AB" w14:textId="77777777" w:rsidR="00D07D91" w:rsidRPr="00DD585A" w:rsidRDefault="00D07D91" w:rsidP="004F1310">
      <w:pPr>
        <w:pStyle w:val="p1"/>
        <w:rPr>
          <w:rFonts w:asciiTheme="minorHAnsi" w:hAnsiTheme="minorHAnsi"/>
          <w:color w:val="000000" w:themeColor="text1"/>
          <w:sz w:val="24"/>
          <w:szCs w:val="24"/>
        </w:rPr>
      </w:pPr>
      <w:r w:rsidRPr="00DD585A">
        <w:rPr>
          <w:rStyle w:val="s1"/>
          <w:rFonts w:asciiTheme="minorHAnsi" w:hAnsiTheme="minorHAnsi"/>
          <w:color w:val="000000" w:themeColor="text1"/>
          <w:sz w:val="24"/>
          <w:szCs w:val="24"/>
        </w:rPr>
        <w:t xml:space="preserve">A key piece of legislation is the </w:t>
      </w:r>
      <w:r w:rsidRPr="00726E2B">
        <w:rPr>
          <w:rStyle w:val="s2"/>
          <w:rFonts w:asciiTheme="minorHAnsi" w:hAnsiTheme="minorHAnsi"/>
          <w:b w:val="0"/>
          <w:bCs w:val="0"/>
          <w:color w:val="000000" w:themeColor="text1"/>
          <w:sz w:val="24"/>
          <w:szCs w:val="24"/>
        </w:rPr>
        <w:t>Equality Act 2010</w:t>
      </w:r>
      <w:r w:rsidRPr="00DD585A">
        <w:rPr>
          <w:rStyle w:val="s1"/>
          <w:rFonts w:asciiTheme="minorHAnsi" w:hAnsiTheme="minorHAnsi"/>
          <w:color w:val="000000" w:themeColor="text1"/>
          <w:sz w:val="24"/>
          <w:szCs w:val="24"/>
        </w:rPr>
        <w:t>, which protects disabled young people from discrimination and requires organisations to make reasonable adjustments to ensure equal access to services. Autism is recognised under the protected characteristic of disability, meaning youth organisations must consider whether they have made the adjustments to support autistic young people. The Act recognises that barriers may relate to physical access, communication, sensory needs, and social interaction.</w:t>
      </w:r>
    </w:p>
    <w:p w14:paraId="3B74984E" w14:textId="77777777" w:rsidR="00D07D91" w:rsidRPr="00DD585A" w:rsidRDefault="00D07D91" w:rsidP="004F1310">
      <w:pPr>
        <w:pStyle w:val="p2"/>
        <w:rPr>
          <w:rFonts w:asciiTheme="minorHAnsi" w:hAnsiTheme="minorHAnsi"/>
          <w:color w:val="000000" w:themeColor="text1"/>
          <w:sz w:val="24"/>
          <w:szCs w:val="24"/>
        </w:rPr>
      </w:pPr>
    </w:p>
    <w:p w14:paraId="0303CE8B" w14:textId="77777777" w:rsidR="00D07D91" w:rsidRPr="00DD585A" w:rsidRDefault="00D07D91" w:rsidP="004F1310">
      <w:pPr>
        <w:pStyle w:val="p1"/>
        <w:rPr>
          <w:rFonts w:asciiTheme="minorHAnsi" w:hAnsiTheme="minorHAnsi"/>
          <w:color w:val="000000" w:themeColor="text1"/>
          <w:sz w:val="24"/>
          <w:szCs w:val="24"/>
        </w:rPr>
      </w:pPr>
      <w:r w:rsidRPr="00DD585A">
        <w:rPr>
          <w:rStyle w:val="s1"/>
          <w:rFonts w:asciiTheme="minorHAnsi" w:hAnsiTheme="minorHAnsi"/>
          <w:color w:val="000000" w:themeColor="text1"/>
          <w:sz w:val="24"/>
          <w:szCs w:val="24"/>
        </w:rPr>
        <w:t xml:space="preserve">The Children and Families Act 2014 provides a detailed framework that is highly relevant to inclusive youth work practice, particularly when supporting young people with Autism Spectrum Disorder. Section 19 places a clear duty on local authorities to prioritise the views, wishes, and feelings of the child or young person, while also promoting their active participation in decisions and ensuring they are given appropriate information and support to do so. This emphasis on participation is particularly significant within open access youth work, where engagement is voluntary and meaningful inclusion depends on young people feeling heard, respected, and able to influence their environment. Section 20 further defines special educational needs (SEND), highlighting that a young person may require additional or different provision </w:t>
      </w:r>
      <w:r w:rsidRPr="00DD585A">
        <w:rPr>
          <w:rStyle w:val="s1"/>
          <w:rFonts w:asciiTheme="minorHAnsi" w:hAnsiTheme="minorHAnsi"/>
          <w:color w:val="000000" w:themeColor="text1"/>
          <w:sz w:val="24"/>
          <w:szCs w:val="24"/>
        </w:rPr>
        <w:lastRenderedPageBreak/>
        <w:t>where a disability or learning difficulty creates barriers to accessing standard services. In the context of autism, this reinforces the need for youth provision to recognise that barriers may not be immediately visible, but can still significantly impact a young person’s ability to engage, particularly in relation to communication, social interaction, and sensory processing. Open access environments can sometimes be busy, unpredictable, and socially demanding, meaning some young people may experience increased anxiety or vulnerability.</w:t>
      </w:r>
    </w:p>
    <w:p w14:paraId="441754AE" w14:textId="77777777" w:rsidR="00D07D91" w:rsidRPr="00DD585A" w:rsidRDefault="00D07D91" w:rsidP="004F1310">
      <w:pPr>
        <w:pStyle w:val="p2"/>
        <w:rPr>
          <w:rFonts w:asciiTheme="minorHAnsi" w:hAnsiTheme="minorHAnsi"/>
          <w:color w:val="000000" w:themeColor="text1"/>
          <w:sz w:val="24"/>
          <w:szCs w:val="24"/>
        </w:rPr>
      </w:pPr>
    </w:p>
    <w:p w14:paraId="4E187B2B" w14:textId="77777777" w:rsidR="00D07D91" w:rsidRPr="00DD585A" w:rsidRDefault="00D07D91" w:rsidP="004F1310">
      <w:pPr>
        <w:pStyle w:val="p1"/>
        <w:rPr>
          <w:rFonts w:asciiTheme="minorHAnsi" w:hAnsiTheme="minorHAnsi"/>
          <w:color w:val="000000" w:themeColor="text1"/>
          <w:sz w:val="24"/>
          <w:szCs w:val="24"/>
        </w:rPr>
      </w:pPr>
      <w:r w:rsidRPr="00DD585A">
        <w:rPr>
          <w:rStyle w:val="s1"/>
          <w:rFonts w:asciiTheme="minorHAnsi" w:hAnsiTheme="minorHAnsi"/>
          <w:color w:val="000000" w:themeColor="text1"/>
          <w:sz w:val="24"/>
          <w:szCs w:val="24"/>
        </w:rPr>
        <w:t xml:space="preserve">At an international level, the </w:t>
      </w:r>
      <w:r w:rsidRPr="00726E2B">
        <w:rPr>
          <w:rStyle w:val="s2"/>
          <w:rFonts w:asciiTheme="minorHAnsi" w:hAnsiTheme="minorHAnsi"/>
          <w:b w:val="0"/>
          <w:bCs w:val="0"/>
          <w:color w:val="000000" w:themeColor="text1"/>
          <w:sz w:val="24"/>
          <w:szCs w:val="24"/>
        </w:rPr>
        <w:t>United Nations Convention on the Rights of the Child (UNCRC)</w:t>
      </w:r>
      <w:r w:rsidRPr="00726E2B">
        <w:rPr>
          <w:rStyle w:val="s1"/>
          <w:rFonts w:asciiTheme="minorHAnsi" w:hAnsiTheme="minorHAnsi"/>
          <w:b/>
          <w:bCs/>
          <w:color w:val="000000" w:themeColor="text1"/>
          <w:sz w:val="24"/>
          <w:szCs w:val="24"/>
        </w:rPr>
        <w:t xml:space="preserve"> </w:t>
      </w:r>
      <w:r w:rsidRPr="00DD585A">
        <w:rPr>
          <w:rStyle w:val="s1"/>
          <w:rFonts w:asciiTheme="minorHAnsi" w:hAnsiTheme="minorHAnsi"/>
          <w:color w:val="000000" w:themeColor="text1"/>
          <w:sz w:val="24"/>
          <w:szCs w:val="24"/>
        </w:rPr>
        <w:t>reinforces the rights of all young people to access services, express their views, and live free from discrimination. This supports a rights</w:t>
      </w:r>
      <w:r>
        <w:rPr>
          <w:rStyle w:val="s1"/>
          <w:rFonts w:asciiTheme="minorHAnsi" w:hAnsiTheme="minorHAnsi"/>
          <w:color w:val="000000" w:themeColor="text1"/>
          <w:sz w:val="24"/>
          <w:szCs w:val="24"/>
        </w:rPr>
        <w:t xml:space="preserve"> </w:t>
      </w:r>
      <w:r w:rsidRPr="00DD585A">
        <w:rPr>
          <w:rStyle w:val="s1"/>
          <w:rFonts w:asciiTheme="minorHAnsi" w:hAnsiTheme="minorHAnsi"/>
          <w:color w:val="000000" w:themeColor="text1"/>
          <w:sz w:val="24"/>
          <w:szCs w:val="24"/>
        </w:rPr>
        <w:t>based approach to youth work by recognising autistic young people as active citizens whose voices and experiences should be respected (UNICEF, 1989).</w:t>
      </w:r>
    </w:p>
    <w:p w14:paraId="1C39F6F1" w14:textId="77777777" w:rsidR="00D07D91" w:rsidRPr="00DD585A" w:rsidRDefault="00D07D91" w:rsidP="004F1310">
      <w:pPr>
        <w:pStyle w:val="p2"/>
        <w:rPr>
          <w:rFonts w:asciiTheme="minorHAnsi" w:hAnsiTheme="minorHAnsi"/>
          <w:color w:val="000000" w:themeColor="text1"/>
          <w:sz w:val="24"/>
          <w:szCs w:val="24"/>
        </w:rPr>
      </w:pPr>
    </w:p>
    <w:p w14:paraId="76C3389D" w14:textId="77777777" w:rsidR="00D07D91" w:rsidRPr="00DD585A" w:rsidRDefault="00D07D91" w:rsidP="004F1310">
      <w:pPr>
        <w:pStyle w:val="p1"/>
        <w:rPr>
          <w:rFonts w:asciiTheme="minorHAnsi" w:hAnsiTheme="minorHAnsi"/>
          <w:color w:val="000000" w:themeColor="text1"/>
          <w:sz w:val="24"/>
          <w:szCs w:val="24"/>
        </w:rPr>
      </w:pPr>
      <w:r w:rsidRPr="00DD585A">
        <w:rPr>
          <w:rStyle w:val="s1"/>
          <w:rFonts w:asciiTheme="minorHAnsi" w:hAnsiTheme="minorHAnsi"/>
          <w:color w:val="000000" w:themeColor="text1"/>
          <w:sz w:val="24"/>
          <w:szCs w:val="24"/>
        </w:rPr>
        <w:t xml:space="preserve">Professional guidance such as </w:t>
      </w:r>
      <w:r w:rsidRPr="00726E2B">
        <w:rPr>
          <w:rStyle w:val="s1"/>
          <w:rFonts w:asciiTheme="minorHAnsi" w:hAnsiTheme="minorHAnsi"/>
          <w:color w:val="000000" w:themeColor="text1"/>
          <w:sz w:val="24"/>
          <w:szCs w:val="24"/>
        </w:rPr>
        <w:t>the</w:t>
      </w:r>
      <w:r w:rsidRPr="00726E2B">
        <w:rPr>
          <w:rStyle w:val="s1"/>
          <w:rFonts w:asciiTheme="minorHAnsi" w:hAnsiTheme="minorHAnsi"/>
          <w:b/>
          <w:bCs/>
          <w:color w:val="000000" w:themeColor="text1"/>
          <w:sz w:val="24"/>
          <w:szCs w:val="24"/>
        </w:rPr>
        <w:t xml:space="preserve"> </w:t>
      </w:r>
      <w:r w:rsidRPr="00726E2B">
        <w:rPr>
          <w:rStyle w:val="s2"/>
          <w:rFonts w:asciiTheme="minorHAnsi" w:hAnsiTheme="minorHAnsi"/>
          <w:b w:val="0"/>
          <w:bCs w:val="0"/>
          <w:color w:val="000000" w:themeColor="text1"/>
          <w:sz w:val="24"/>
          <w:szCs w:val="24"/>
        </w:rPr>
        <w:t>National Occupational Standards for Youth Work</w:t>
      </w:r>
      <w:r w:rsidRPr="00726E2B">
        <w:rPr>
          <w:rStyle w:val="s1"/>
          <w:rFonts w:asciiTheme="minorHAnsi" w:hAnsiTheme="minorHAnsi"/>
          <w:b/>
          <w:bCs/>
          <w:color w:val="000000" w:themeColor="text1"/>
          <w:sz w:val="24"/>
          <w:szCs w:val="24"/>
        </w:rPr>
        <w:t xml:space="preserve"> </w:t>
      </w:r>
      <w:r w:rsidRPr="00726E2B">
        <w:rPr>
          <w:rStyle w:val="s1"/>
          <w:rFonts w:asciiTheme="minorHAnsi" w:hAnsiTheme="minorHAnsi"/>
          <w:color w:val="000000" w:themeColor="text1"/>
          <w:sz w:val="24"/>
          <w:szCs w:val="24"/>
        </w:rPr>
        <w:t>and</w:t>
      </w:r>
      <w:r w:rsidRPr="00726E2B">
        <w:rPr>
          <w:rStyle w:val="s1"/>
          <w:rFonts w:asciiTheme="minorHAnsi" w:hAnsiTheme="minorHAnsi"/>
          <w:b/>
          <w:bCs/>
          <w:color w:val="000000" w:themeColor="text1"/>
          <w:sz w:val="24"/>
          <w:szCs w:val="24"/>
        </w:rPr>
        <w:t xml:space="preserve"> </w:t>
      </w:r>
      <w:r w:rsidRPr="00726E2B">
        <w:rPr>
          <w:rStyle w:val="s2"/>
          <w:rFonts w:asciiTheme="minorHAnsi" w:hAnsiTheme="minorHAnsi"/>
          <w:b w:val="0"/>
          <w:bCs w:val="0"/>
          <w:color w:val="000000" w:themeColor="text1"/>
          <w:sz w:val="24"/>
          <w:szCs w:val="24"/>
        </w:rPr>
        <w:t>Youth Work Principles and Purposes (2022)</w:t>
      </w:r>
      <w:r w:rsidRPr="00726E2B">
        <w:rPr>
          <w:rStyle w:val="s1"/>
          <w:rFonts w:asciiTheme="minorHAnsi" w:hAnsiTheme="minorHAnsi"/>
          <w:color w:val="000000" w:themeColor="text1"/>
          <w:sz w:val="24"/>
          <w:szCs w:val="24"/>
        </w:rPr>
        <w:t xml:space="preserve"> also emphasise inclusion, participation, respect, and the promotion of youn</w:t>
      </w:r>
      <w:r w:rsidRPr="00DD585A">
        <w:rPr>
          <w:rStyle w:val="s1"/>
          <w:rFonts w:asciiTheme="minorHAnsi" w:hAnsiTheme="minorHAnsi"/>
          <w:color w:val="000000" w:themeColor="text1"/>
          <w:sz w:val="24"/>
          <w:szCs w:val="24"/>
        </w:rPr>
        <w:t>g people’s voice. These values are central to open access youth work, where engagement is voluntary and relationships are built on trust and respect. Principles and purposes (2022) outlines that youth work is a universal right for all young people aged 11-25, so there needs to be adaptations to support every young person no matter their age, gender, disability or race.</w:t>
      </w:r>
      <w:r w:rsidRPr="00DD585A">
        <w:rPr>
          <w:rStyle w:val="apple-converted-space"/>
          <w:rFonts w:asciiTheme="minorHAnsi" w:hAnsiTheme="minorHAnsi"/>
          <w:color w:val="000000" w:themeColor="text1"/>
          <w:sz w:val="24"/>
          <w:szCs w:val="24"/>
        </w:rPr>
        <w:t> </w:t>
      </w:r>
    </w:p>
    <w:p w14:paraId="3A5FE0A9" w14:textId="77777777" w:rsidR="00D07D91" w:rsidRPr="00DD585A" w:rsidRDefault="00D07D91" w:rsidP="004F1310">
      <w:pPr>
        <w:pStyle w:val="p2"/>
        <w:rPr>
          <w:rFonts w:asciiTheme="minorHAnsi" w:hAnsiTheme="minorHAnsi"/>
          <w:color w:val="000000" w:themeColor="text1"/>
          <w:sz w:val="24"/>
          <w:szCs w:val="24"/>
        </w:rPr>
      </w:pPr>
    </w:p>
    <w:p w14:paraId="0B3A9661" w14:textId="77777777" w:rsidR="00D07D91" w:rsidRPr="00DD585A" w:rsidRDefault="00D07D91" w:rsidP="004F1310">
      <w:pPr>
        <w:pStyle w:val="p1"/>
        <w:rPr>
          <w:rFonts w:asciiTheme="minorHAnsi" w:hAnsiTheme="minorHAnsi"/>
          <w:color w:val="000000" w:themeColor="text1"/>
          <w:sz w:val="24"/>
          <w:szCs w:val="24"/>
        </w:rPr>
      </w:pPr>
      <w:r w:rsidRPr="00DD585A">
        <w:rPr>
          <w:rStyle w:val="s1"/>
          <w:rFonts w:asciiTheme="minorHAnsi" w:hAnsiTheme="minorHAnsi"/>
          <w:color w:val="000000" w:themeColor="text1"/>
          <w:sz w:val="24"/>
          <w:szCs w:val="24"/>
        </w:rPr>
        <w:t xml:space="preserve">The </w:t>
      </w:r>
      <w:r w:rsidRPr="00726E2B">
        <w:rPr>
          <w:rStyle w:val="s2"/>
          <w:rFonts w:asciiTheme="minorHAnsi" w:hAnsiTheme="minorHAnsi"/>
          <w:b w:val="0"/>
          <w:bCs w:val="0"/>
          <w:color w:val="000000" w:themeColor="text1"/>
          <w:sz w:val="24"/>
          <w:szCs w:val="24"/>
        </w:rPr>
        <w:t>social model of disability</w:t>
      </w:r>
      <w:r w:rsidRPr="00726E2B">
        <w:rPr>
          <w:rStyle w:val="s1"/>
          <w:rFonts w:asciiTheme="minorHAnsi" w:hAnsiTheme="minorHAnsi"/>
          <w:b/>
          <w:bCs/>
          <w:color w:val="000000" w:themeColor="text1"/>
          <w:sz w:val="24"/>
          <w:szCs w:val="24"/>
        </w:rPr>
        <w:t xml:space="preserve"> </w:t>
      </w:r>
      <w:r w:rsidRPr="00DD585A">
        <w:rPr>
          <w:rStyle w:val="s1"/>
          <w:rFonts w:asciiTheme="minorHAnsi" w:hAnsiTheme="minorHAnsi"/>
          <w:color w:val="000000" w:themeColor="text1"/>
          <w:sz w:val="24"/>
          <w:szCs w:val="24"/>
        </w:rPr>
        <w:t>is useful in understanding inclusion within youth provision. This model argues that disability is often created by barriers in society rather than solely by an individual’s condition or impairment. In relation to autism, exclusion may arise from inflexible systems, sensory environments, communication expectations, or negative attitudes rather than autism itself. This perspective supports the view that services should examine how their structures and practices may unintentionally exclude young people (Oliver, 1990).</w:t>
      </w:r>
    </w:p>
    <w:p w14:paraId="61A7B8B0" w14:textId="77777777" w:rsidR="00D07D91" w:rsidRPr="00DD585A" w:rsidRDefault="00D07D91" w:rsidP="004F1310">
      <w:pPr>
        <w:pStyle w:val="p2"/>
        <w:rPr>
          <w:rFonts w:asciiTheme="minorHAnsi" w:hAnsiTheme="minorHAnsi"/>
          <w:color w:val="000000" w:themeColor="text1"/>
          <w:sz w:val="24"/>
          <w:szCs w:val="24"/>
        </w:rPr>
      </w:pPr>
    </w:p>
    <w:p w14:paraId="7A6533A4" w14:textId="77777777" w:rsidR="00D07D91" w:rsidRDefault="00D07D91" w:rsidP="004F1310">
      <w:pPr>
        <w:pStyle w:val="p1"/>
        <w:rPr>
          <w:rStyle w:val="s1"/>
          <w:rFonts w:asciiTheme="minorHAnsi" w:hAnsiTheme="minorHAnsi"/>
          <w:color w:val="000000" w:themeColor="text1"/>
          <w:sz w:val="24"/>
          <w:szCs w:val="24"/>
        </w:rPr>
      </w:pPr>
      <w:r w:rsidRPr="00DD585A">
        <w:rPr>
          <w:rStyle w:val="s1"/>
          <w:rFonts w:asciiTheme="minorHAnsi" w:hAnsiTheme="minorHAnsi"/>
          <w:color w:val="000000" w:themeColor="text1"/>
          <w:sz w:val="24"/>
          <w:szCs w:val="24"/>
        </w:rPr>
        <w:t xml:space="preserve">From an </w:t>
      </w:r>
      <w:r w:rsidRPr="00726E2B">
        <w:rPr>
          <w:rStyle w:val="s2"/>
          <w:rFonts w:asciiTheme="minorHAnsi" w:hAnsiTheme="minorHAnsi"/>
          <w:b w:val="0"/>
          <w:bCs w:val="0"/>
          <w:color w:val="000000" w:themeColor="text1"/>
          <w:sz w:val="24"/>
          <w:szCs w:val="24"/>
        </w:rPr>
        <w:t>anti-oppressive practice</w:t>
      </w:r>
      <w:r w:rsidRPr="00DD585A">
        <w:rPr>
          <w:rStyle w:val="s1"/>
          <w:rFonts w:asciiTheme="minorHAnsi" w:hAnsiTheme="minorHAnsi"/>
          <w:color w:val="000000" w:themeColor="text1"/>
          <w:sz w:val="24"/>
          <w:szCs w:val="24"/>
        </w:rPr>
        <w:t xml:space="preserve"> perspective, these legal frameworks are important because they challenge unequal power relationships and discrimination experienced by marginalised groups (Dalrymple and Burke, 2006). Anti-oppressive practice recognises that exclusion can occur at personal, cultural, and structural levels (Thompson, 2006). In the context of autism, this may include stereotypes, lack of understanding, or systems that fail to recognise diverse needs. Youth workers therefore have a responsibility to challenge oppression, promote equality, and support participation for all young people (Dalrymple and Burke, 2006).</w:t>
      </w:r>
    </w:p>
    <w:p w14:paraId="177B1683" w14:textId="77777777" w:rsidR="00D07D91" w:rsidRDefault="00D07D91" w:rsidP="004F1310">
      <w:pPr>
        <w:pStyle w:val="p1"/>
        <w:rPr>
          <w:rStyle w:val="s1"/>
          <w:rFonts w:asciiTheme="minorHAnsi" w:hAnsiTheme="minorHAnsi"/>
          <w:color w:val="000000" w:themeColor="text1"/>
          <w:sz w:val="24"/>
          <w:szCs w:val="24"/>
        </w:rPr>
      </w:pPr>
    </w:p>
    <w:p w14:paraId="681B63B3" w14:textId="77777777" w:rsidR="00D07D91" w:rsidRDefault="00D07D91" w:rsidP="004F1310">
      <w:pPr>
        <w:pStyle w:val="p1"/>
        <w:rPr>
          <w:rStyle w:val="s1"/>
          <w:rFonts w:asciiTheme="minorHAnsi" w:hAnsiTheme="minorHAnsi"/>
          <w:color w:val="000000" w:themeColor="text1"/>
          <w:sz w:val="24"/>
          <w:szCs w:val="24"/>
        </w:rPr>
      </w:pPr>
    </w:p>
    <w:p w14:paraId="7DCCA822" w14:textId="77777777" w:rsidR="00D07D91" w:rsidRDefault="00D07D91" w:rsidP="004F1310">
      <w:pPr>
        <w:pStyle w:val="p1"/>
        <w:rPr>
          <w:rStyle w:val="s1"/>
          <w:rFonts w:asciiTheme="minorHAnsi" w:hAnsiTheme="minorHAnsi"/>
          <w:color w:val="000000" w:themeColor="text1"/>
          <w:sz w:val="24"/>
          <w:szCs w:val="24"/>
        </w:rPr>
      </w:pPr>
    </w:p>
    <w:p w14:paraId="2F5B25F3" w14:textId="77777777" w:rsidR="00D07D91" w:rsidRDefault="00D07D91" w:rsidP="004F1310">
      <w:pPr>
        <w:pStyle w:val="p1"/>
        <w:rPr>
          <w:rStyle w:val="s1"/>
          <w:rFonts w:asciiTheme="minorHAnsi" w:hAnsiTheme="minorHAnsi"/>
          <w:color w:val="000000" w:themeColor="text1"/>
          <w:sz w:val="24"/>
          <w:szCs w:val="24"/>
        </w:rPr>
      </w:pPr>
    </w:p>
    <w:p w14:paraId="56CBB005" w14:textId="77777777" w:rsidR="00D07D91" w:rsidRDefault="00D07D91" w:rsidP="004F1310">
      <w:pPr>
        <w:pStyle w:val="p1"/>
        <w:rPr>
          <w:rStyle w:val="s1"/>
          <w:rFonts w:asciiTheme="minorHAnsi" w:hAnsiTheme="minorHAnsi"/>
          <w:color w:val="000000" w:themeColor="text1"/>
          <w:sz w:val="24"/>
          <w:szCs w:val="24"/>
        </w:rPr>
      </w:pPr>
    </w:p>
    <w:p w14:paraId="5F2C9A5D" w14:textId="77777777" w:rsidR="00D07D91" w:rsidRDefault="00D07D91" w:rsidP="004F1310">
      <w:pPr>
        <w:pStyle w:val="p1"/>
        <w:rPr>
          <w:rStyle w:val="s1"/>
          <w:rFonts w:asciiTheme="minorHAnsi" w:hAnsiTheme="minorHAnsi"/>
          <w:color w:val="000000" w:themeColor="text1"/>
          <w:sz w:val="24"/>
          <w:szCs w:val="24"/>
        </w:rPr>
      </w:pPr>
    </w:p>
    <w:p w14:paraId="4D2AC6DD" w14:textId="77777777" w:rsidR="00D07D91" w:rsidRDefault="00D07D91" w:rsidP="004F1310">
      <w:pPr>
        <w:pStyle w:val="p1"/>
        <w:rPr>
          <w:rStyle w:val="s1"/>
          <w:rFonts w:asciiTheme="minorHAnsi" w:hAnsiTheme="minorHAnsi"/>
          <w:color w:val="000000" w:themeColor="text1"/>
          <w:sz w:val="24"/>
          <w:szCs w:val="24"/>
        </w:rPr>
      </w:pPr>
    </w:p>
    <w:p w14:paraId="7D1BE765" w14:textId="77777777" w:rsidR="00D07D91" w:rsidRDefault="00D07D91" w:rsidP="004F1310">
      <w:pPr>
        <w:pStyle w:val="p1"/>
        <w:rPr>
          <w:rStyle w:val="s1"/>
          <w:rFonts w:asciiTheme="minorHAnsi" w:hAnsiTheme="minorHAnsi"/>
          <w:color w:val="000000" w:themeColor="text1"/>
          <w:sz w:val="24"/>
          <w:szCs w:val="24"/>
        </w:rPr>
      </w:pPr>
    </w:p>
    <w:p w14:paraId="32890919" w14:textId="77777777" w:rsidR="00D07D91" w:rsidRDefault="00D07D91" w:rsidP="004F1310">
      <w:pPr>
        <w:pStyle w:val="p1"/>
        <w:rPr>
          <w:rStyle w:val="s1"/>
          <w:rFonts w:asciiTheme="minorHAnsi" w:hAnsiTheme="minorHAnsi"/>
          <w:color w:val="000000" w:themeColor="text1"/>
          <w:sz w:val="24"/>
          <w:szCs w:val="24"/>
        </w:rPr>
      </w:pPr>
    </w:p>
    <w:p w14:paraId="4E2EE437" w14:textId="77777777" w:rsidR="00D07D91" w:rsidRPr="00A83C1F" w:rsidRDefault="00D07D91" w:rsidP="004F1310">
      <w:pPr>
        <w:pStyle w:val="p1"/>
        <w:rPr>
          <w:rStyle w:val="s1"/>
          <w:rFonts w:asciiTheme="minorHAnsi" w:hAnsiTheme="minorHAnsi"/>
          <w:b/>
          <w:bCs/>
          <w:color w:val="000000" w:themeColor="text1"/>
        </w:rPr>
      </w:pPr>
      <w:r w:rsidRPr="00A83C1F">
        <w:rPr>
          <w:rStyle w:val="s1"/>
          <w:rFonts w:asciiTheme="minorHAnsi" w:hAnsiTheme="minorHAnsi"/>
          <w:b/>
          <w:bCs/>
          <w:color w:val="000000" w:themeColor="text1"/>
        </w:rPr>
        <w:lastRenderedPageBreak/>
        <w:t>Case study 1</w:t>
      </w:r>
    </w:p>
    <w:p w14:paraId="77F5ED8A" w14:textId="77777777" w:rsidR="00D07D91" w:rsidRPr="006D5162" w:rsidRDefault="00D07D91" w:rsidP="004F1310">
      <w:pPr>
        <w:pStyle w:val="NormalWeb"/>
        <w:rPr>
          <w:rFonts w:asciiTheme="minorHAnsi" w:hAnsiTheme="minorHAnsi"/>
          <w:color w:val="000000" w:themeColor="text1"/>
        </w:rPr>
      </w:pPr>
      <w:r w:rsidRPr="006D5162">
        <w:rPr>
          <w:rFonts w:asciiTheme="minorHAnsi" w:hAnsiTheme="minorHAnsi"/>
          <w:color w:val="000000" w:themeColor="text1"/>
        </w:rPr>
        <w:t>Tom initially found it very difficult to settle into the youth centre environment. He presented as highly anxious and his behaviour was at times challenging for staff to manage. This included incidents such as hitting other young people, throwing objects, and speaking aggressively towards staff. He was often perceived as intimidating by peers due to his assertive style of interaction during activities. Tom found it particularly difficult to manage turn-taking, sharing, and waiting, and he would frequently run away from situations when he became overwhelmed. He was also highly sensitive to noise and movement within the environment. In addition, Tom was very self-critical and often blamed himself when things went wrong. Poor sleep further affected his ability to regulate his emotions and cope with daily demands. This can be understood as a response to sensory and emotional overload rather than intentional behaviour. From an autism perspective, heightened sensitivity to noise and movement can quickly lead to overwhelm, triggering fight-or-flight responses such as aggression or avoidance. Difficulties with social rules such as turn-taking and sharing are also linked to differences in social communication and flexibility of thinking, which can increase anxiety in fast-paced group environments.</w:t>
      </w:r>
    </w:p>
    <w:p w14:paraId="30A6C5FD" w14:textId="77777777" w:rsidR="00D07D91" w:rsidRPr="006D5162" w:rsidRDefault="00D07D91" w:rsidP="004F1310">
      <w:pPr>
        <w:pStyle w:val="NormalWeb"/>
        <w:rPr>
          <w:rFonts w:asciiTheme="minorHAnsi" w:hAnsiTheme="minorHAnsi"/>
          <w:color w:val="000000" w:themeColor="text1"/>
        </w:rPr>
      </w:pPr>
      <w:r w:rsidRPr="006D5162">
        <w:rPr>
          <w:rFonts w:asciiTheme="minorHAnsi" w:hAnsiTheme="minorHAnsi"/>
          <w:color w:val="000000" w:themeColor="text1"/>
        </w:rPr>
        <w:t>With support from a local authority autism adviser, staff explored the possible causes of Tom’s anxiety and identified ways to reduce it within the youth centre setting. A range of consistent strategies were introduced across the team, which led to a noticeable reduction in Tom’s anxiety over time. As his emotional regulation improved, Tom became more independent in managing routines such as signing himself in, storing his belongings, and engaging more confidently in activities. He also began to form more positive relationships with peers, who increasingly approached him to join in activities. Over time, Tom became recognised for his humour, creativity, and intelligence, and his social opportunities expanded both within and outside the centre. This improvement highlights how consistent, structured and autism-informed support can significantly change outcomes. When environments are adapted to reduce uncertainty and sensory stress, young people are more able to access their strengths and participate positively.</w:t>
      </w:r>
    </w:p>
    <w:p w14:paraId="09064252" w14:textId="77777777" w:rsidR="00D07D91" w:rsidRPr="006D5162" w:rsidRDefault="00D07D91" w:rsidP="004F1310">
      <w:pPr>
        <w:pStyle w:val="NormalWeb"/>
        <w:rPr>
          <w:rFonts w:asciiTheme="minorHAnsi" w:hAnsiTheme="minorHAnsi"/>
          <w:color w:val="000000" w:themeColor="text1"/>
        </w:rPr>
      </w:pPr>
      <w:r w:rsidRPr="006D5162">
        <w:rPr>
          <w:rFonts w:asciiTheme="minorHAnsi" w:hAnsiTheme="minorHAnsi"/>
          <w:color w:val="000000" w:themeColor="text1"/>
        </w:rPr>
        <w:t>An assessment of Tom’s sensory needs was completed and informed the development of a personalised support plan. Strategies were put in place to help regulate his sensory system, including opportunities for frequent movement such as running, climbing, and active play. Deep pressure activities, such as firm squeezes or weighted lap items (used with consent), were also introduced. In addition, Tom accessed structured sensory sessions incorporating alerting, organising, and calming activities. Simple sensory tools, such as fidget items, were used to support his focus and reduce anxiety during activities. These approaches are based on sensory processing differences commonly associated with autism, where the nervous system may become overwhelmed or under-stimulated. Providing appropriate sensory input helps regulate arousal levels, reducing distress and supporting attention and engagement.</w:t>
      </w:r>
    </w:p>
    <w:p w14:paraId="502AFB3C" w14:textId="77777777" w:rsidR="00D07D91" w:rsidRPr="006D5162" w:rsidRDefault="00D07D91" w:rsidP="004F1310">
      <w:pPr>
        <w:pStyle w:val="NormalWeb"/>
        <w:rPr>
          <w:rFonts w:asciiTheme="minorHAnsi" w:hAnsiTheme="minorHAnsi"/>
          <w:color w:val="000000" w:themeColor="text1"/>
        </w:rPr>
      </w:pPr>
      <w:r w:rsidRPr="006D5162">
        <w:rPr>
          <w:rFonts w:asciiTheme="minorHAnsi" w:hAnsiTheme="minorHAnsi"/>
          <w:color w:val="000000" w:themeColor="text1"/>
        </w:rPr>
        <w:t xml:space="preserve">Calming and regulating activities were incorporated into Tom’s daily experience at the centre. These included quiet time, listening to music, handwashing routines, and engaging in preferred calming interactions such as stories or singing. Staff also </w:t>
      </w:r>
      <w:r w:rsidRPr="006D5162">
        <w:rPr>
          <w:rFonts w:asciiTheme="minorHAnsi" w:hAnsiTheme="minorHAnsi"/>
          <w:color w:val="000000" w:themeColor="text1"/>
        </w:rPr>
        <w:lastRenderedPageBreak/>
        <w:t>developed an anxiety scale linked to Tom’s interests to help him recognise and communicate his emotional state, supporting the gradual development of self-regulation skills. A “now and next” visual system was used consistently to provide clarity and predictability around activities and transitions. These strategies reduce cognitive overload by making expectations clear and supporting emotional awareness, which is particularly important for autistic young people who may struggle to identify or communicate internal emotional states.</w:t>
      </w:r>
    </w:p>
    <w:p w14:paraId="1BF51686" w14:textId="77777777" w:rsidR="00D07D91" w:rsidRPr="006D5162" w:rsidRDefault="00D07D91" w:rsidP="004F1310">
      <w:pPr>
        <w:pStyle w:val="NormalWeb"/>
        <w:rPr>
          <w:rFonts w:asciiTheme="minorHAnsi" w:hAnsiTheme="minorHAnsi"/>
          <w:color w:val="000000" w:themeColor="text1"/>
        </w:rPr>
      </w:pPr>
      <w:r w:rsidRPr="006D5162">
        <w:rPr>
          <w:rFonts w:asciiTheme="minorHAnsi" w:hAnsiTheme="minorHAnsi"/>
          <w:color w:val="000000" w:themeColor="text1"/>
        </w:rPr>
        <w:t>The environment was adapted to reduce sensory overload, with access to quieter spaces and regular planned breaks throughout the day. These breaks allowed Tom to step away from busy environments and engage in activities such as walking outdoors, drawing, playing football, or using digital devices. Technology was also used positively to support engagement and reduce anxiety, often acting as a bridge between less preferred activities. Tom’s strengths and interests were actively used to support engagement, particularly his enjoyment of making things, which was incorporated into group activities such as cooking, gardening, and creative projects. These opportunities also supported his relationship-building with peers. This strengths-based approach helps shift focus away from difficulties and towards abilities, increasing motivation, confidence, and inclusion within the group.</w:t>
      </w:r>
    </w:p>
    <w:p w14:paraId="246DD179" w14:textId="77777777" w:rsidR="00D07D91" w:rsidRPr="006D5162" w:rsidRDefault="00D07D91" w:rsidP="004F1310">
      <w:pPr>
        <w:pStyle w:val="NormalWeb"/>
        <w:rPr>
          <w:rFonts w:asciiTheme="minorHAnsi" w:hAnsiTheme="minorHAnsi"/>
          <w:color w:val="000000" w:themeColor="text1"/>
        </w:rPr>
      </w:pPr>
      <w:r w:rsidRPr="006D5162">
        <w:rPr>
          <w:rFonts w:asciiTheme="minorHAnsi" w:hAnsiTheme="minorHAnsi"/>
          <w:color w:val="000000" w:themeColor="text1"/>
        </w:rPr>
        <w:t>Tom’s voice and preferences were actively promoted through consistent use of choice-making language and a structured approach to decision-making. Staff ensured that choices were limited to two options to avoid overwhelming him, while still enabling a sense of control. He was also supported to choose peers to spend time with during structured social opportunities, which helped him engage more comfortably in group settings. Limiting choices in this way reduces cognitive load while still promoting autonomy, which is important for emotional regulation and self-determination.</w:t>
      </w:r>
    </w:p>
    <w:p w14:paraId="2409CAAD" w14:textId="77777777" w:rsidR="00D07D91" w:rsidRPr="006D5162" w:rsidRDefault="00D07D91" w:rsidP="004F1310">
      <w:pPr>
        <w:pStyle w:val="NormalWeb"/>
        <w:rPr>
          <w:rFonts w:asciiTheme="minorHAnsi" w:hAnsiTheme="minorHAnsi"/>
          <w:color w:val="000000" w:themeColor="text1"/>
        </w:rPr>
      </w:pPr>
      <w:r w:rsidRPr="006D5162">
        <w:rPr>
          <w:rFonts w:asciiTheme="minorHAnsi" w:hAnsiTheme="minorHAnsi"/>
          <w:color w:val="000000" w:themeColor="text1"/>
        </w:rPr>
        <w:t>A strong partnership was developed with Tom’s parents and carers, with regular communication through meetings, phone calls, and written updates. This collaboration ensured consistency between home and the youth centre, particularly in relation to sensory regulation strategies and sleep support. Parents also contributed ideas and reinforced strategies at home, which helped strengthen their effectiveness. Consistency across environments is key for autistic young people, as conflicting expectations or approaches can increase anxiety and reduce the effectiveness of support strategies.</w:t>
      </w:r>
    </w:p>
    <w:p w14:paraId="26B11FC6" w14:textId="77777777" w:rsidR="00D07D91" w:rsidRPr="006D5162" w:rsidRDefault="00D07D91" w:rsidP="004F1310">
      <w:pPr>
        <w:pStyle w:val="NormalWeb"/>
        <w:rPr>
          <w:rFonts w:asciiTheme="minorHAnsi" w:hAnsiTheme="minorHAnsi"/>
          <w:color w:val="000000" w:themeColor="text1"/>
        </w:rPr>
      </w:pPr>
      <w:r w:rsidRPr="006D5162">
        <w:rPr>
          <w:rFonts w:asciiTheme="minorHAnsi" w:hAnsiTheme="minorHAnsi"/>
          <w:color w:val="000000" w:themeColor="text1"/>
        </w:rPr>
        <w:t>Staff adopted a consistent, low arousal approach when working with Tom, using calm communication and avoiding direct demands wherever possible. Instead, language was framed as suggestions or invitations, supporting reduced anxiety and increasing engagement. A shared understanding across the team ensured that approaches were consistent and predictable for Tom, which was essential in supporting his emotional regulation. A low arousal approach reduces the likelihood of escalation by avoiding confrontational interactions, which can be experienced as threatening or overwhelming.</w:t>
      </w:r>
    </w:p>
    <w:p w14:paraId="741CA8FF" w14:textId="77777777" w:rsidR="00D07D91" w:rsidRPr="006D5162" w:rsidRDefault="00D07D91" w:rsidP="004F1310">
      <w:pPr>
        <w:pStyle w:val="NormalWeb"/>
        <w:rPr>
          <w:rFonts w:asciiTheme="minorHAnsi" w:hAnsiTheme="minorHAnsi"/>
          <w:color w:val="000000" w:themeColor="text1"/>
        </w:rPr>
      </w:pPr>
      <w:r w:rsidRPr="006D5162">
        <w:rPr>
          <w:rFonts w:asciiTheme="minorHAnsi" w:hAnsiTheme="minorHAnsi"/>
          <w:color w:val="000000" w:themeColor="text1"/>
        </w:rPr>
        <w:lastRenderedPageBreak/>
        <w:t>Transitions between activities were carefully planned and supported, with advance preparation and the use of visual supports such as timetables and social stories. Gradual introduction to change, combined with reassurance and familiar routines, helped Tom manage transitions more successfully. Staff also used sensory strategies during transitions, such as movement breaks or calming input, to support regulation. Transitions are often a key trigger for anxiety in autistic individuals due to unpredictability, so structured preparation helps reduce stress and improve cooperation.</w:t>
      </w:r>
    </w:p>
    <w:p w14:paraId="0A8C3613" w14:textId="77777777" w:rsidR="00D07D91" w:rsidRPr="006D5162" w:rsidRDefault="00D07D91" w:rsidP="004F1310">
      <w:pPr>
        <w:pStyle w:val="NormalWeb"/>
        <w:rPr>
          <w:rFonts w:asciiTheme="minorHAnsi" w:hAnsiTheme="minorHAnsi"/>
          <w:color w:val="000000" w:themeColor="text1"/>
        </w:rPr>
      </w:pPr>
      <w:r w:rsidRPr="006D5162">
        <w:rPr>
          <w:rFonts w:asciiTheme="minorHAnsi" w:hAnsiTheme="minorHAnsi"/>
          <w:color w:val="000000" w:themeColor="text1"/>
        </w:rPr>
        <w:t>A safe, low stimulation space was made available within the youth centre where Tom could go when feeling overwhelmed. This space was personalised to his interests and included calming resources to support regulation. When needed, Tom was supported to use this space with staff supervision from a distance, allowing him time to calm without pressure. Once regulated, he was gently supported to re-engage in activities through preferred options. Outdoor spaces were also used as additional calming environments, providing further opportunities for regulation and recovery. This approach supports emotional recovery without exclusion, allowing Tom to regulate at his own pace while maintaining a sense of belonging within the setting.</w:t>
      </w:r>
    </w:p>
    <w:p w14:paraId="40033EE9" w14:textId="77777777" w:rsidR="00D07D91" w:rsidRPr="006D5162" w:rsidRDefault="00D07D91" w:rsidP="004F1310">
      <w:pPr>
        <w:pStyle w:val="NormalWeb"/>
        <w:rPr>
          <w:rFonts w:asciiTheme="minorHAnsi" w:hAnsiTheme="minorHAnsi"/>
          <w:color w:val="000000" w:themeColor="text1"/>
        </w:rPr>
      </w:pPr>
    </w:p>
    <w:p w14:paraId="57913979" w14:textId="77777777" w:rsidR="00D07D91" w:rsidRPr="00A83C1F" w:rsidRDefault="00D07D91" w:rsidP="004F1310">
      <w:pPr>
        <w:pStyle w:val="NormalWeb"/>
        <w:rPr>
          <w:rFonts w:asciiTheme="minorHAnsi" w:hAnsiTheme="minorHAnsi"/>
          <w:b/>
          <w:bCs/>
          <w:sz w:val="28"/>
          <w:szCs w:val="28"/>
        </w:rPr>
      </w:pPr>
      <w:r w:rsidRPr="00A83C1F">
        <w:rPr>
          <w:rFonts w:asciiTheme="minorHAnsi" w:hAnsiTheme="minorHAnsi"/>
          <w:b/>
          <w:bCs/>
          <w:sz w:val="28"/>
          <w:szCs w:val="28"/>
        </w:rPr>
        <w:t>Case study 2</w:t>
      </w:r>
    </w:p>
    <w:p w14:paraId="7956C613" w14:textId="77777777" w:rsidR="00D07D91" w:rsidRPr="002653E0" w:rsidRDefault="00D07D91" w:rsidP="004F1310">
      <w:pPr>
        <w:pStyle w:val="NormalWeb"/>
        <w:rPr>
          <w:rFonts w:asciiTheme="minorHAnsi" w:hAnsiTheme="minorHAnsi"/>
          <w:color w:val="000000" w:themeColor="text1"/>
        </w:rPr>
      </w:pPr>
      <w:r>
        <w:rPr>
          <w:rFonts w:asciiTheme="minorHAnsi" w:hAnsiTheme="minorHAnsi"/>
          <w:color w:val="000000" w:themeColor="text1"/>
        </w:rPr>
        <w:t>A</w:t>
      </w:r>
      <w:r w:rsidRPr="002653E0">
        <w:rPr>
          <w:rFonts w:asciiTheme="minorHAnsi" w:hAnsiTheme="minorHAnsi"/>
          <w:color w:val="000000" w:themeColor="text1"/>
        </w:rPr>
        <w:t xml:space="preserve"> youth centre ran regular evening sessions and occasional residential trips, which were a key part of its programme and were promoted as opportunities for young people to build independence, develop friendships, and take part in new experiences.</w:t>
      </w:r>
    </w:p>
    <w:p w14:paraId="10F9AF0E" w14:textId="77777777" w:rsidR="00D07D91" w:rsidRPr="002653E0" w:rsidRDefault="00D07D91" w:rsidP="004F1310">
      <w:pPr>
        <w:pStyle w:val="NormalWeb"/>
        <w:rPr>
          <w:rFonts w:asciiTheme="minorHAnsi" w:hAnsiTheme="minorHAnsi"/>
          <w:color w:val="000000" w:themeColor="text1"/>
        </w:rPr>
      </w:pPr>
      <w:r w:rsidRPr="002653E0">
        <w:rPr>
          <w:rFonts w:asciiTheme="minorHAnsi" w:hAnsiTheme="minorHAnsi"/>
          <w:color w:val="000000" w:themeColor="text1"/>
        </w:rPr>
        <w:t>The young person was initially invited to attend an upcoming residential trip and was excited about the opportunity. A leaflet was issued and staff confirmed the invitation verbally, and the parent/guardian understood that appropriate support would be provided, as the young person had generally been engaging well in youth centre sessions. However, shortly after this, the parent/guardian was informed that the young person was now considered unsuitable to attend the trip following an internal discussion and informal risk assessment carried out by staff. This decision appeared to be based primarily on the young person’s diagnosis rather than on an assessment of how participation could be supported.</w:t>
      </w:r>
    </w:p>
    <w:p w14:paraId="55BD71FE" w14:textId="77777777" w:rsidR="00D07D91" w:rsidRPr="002653E0" w:rsidRDefault="00D07D91" w:rsidP="004F1310">
      <w:pPr>
        <w:pStyle w:val="NormalWeb"/>
        <w:rPr>
          <w:rFonts w:asciiTheme="minorHAnsi" w:hAnsiTheme="minorHAnsi"/>
          <w:color w:val="000000" w:themeColor="text1"/>
        </w:rPr>
      </w:pPr>
      <w:r w:rsidRPr="002653E0">
        <w:rPr>
          <w:rFonts w:asciiTheme="minorHAnsi" w:hAnsiTheme="minorHAnsi"/>
          <w:color w:val="000000" w:themeColor="text1"/>
        </w:rPr>
        <w:t>This change in position caused confusion and distress for both the young person and their parent/guardian, particularly as there had been no prior indication that attendance would be in doubt. The young person was aware that peers would be attending the trip, and exclusion led to increased anxiety, feelings of isolation, and uncertainty about their role within the youth centre. The parent/guardian attempted to engage with staff to explore ways in which the young person could still participate, suggesting reasonable adjustments such as structured routines, advance preparation, a designated quiet space, and additional staff support during challenging parts of the trip. However, these suggestions were not meaningfully developed into a clear support plan.</w:t>
      </w:r>
    </w:p>
    <w:p w14:paraId="5FCB092B" w14:textId="77777777" w:rsidR="00D07D91" w:rsidRPr="002653E0" w:rsidRDefault="00D07D91" w:rsidP="004F1310">
      <w:pPr>
        <w:pStyle w:val="NormalWeb"/>
        <w:rPr>
          <w:rFonts w:asciiTheme="minorHAnsi" w:hAnsiTheme="minorHAnsi"/>
          <w:color w:val="000000" w:themeColor="text1"/>
        </w:rPr>
      </w:pPr>
      <w:r w:rsidRPr="002653E0">
        <w:rPr>
          <w:rFonts w:asciiTheme="minorHAnsi" w:hAnsiTheme="minorHAnsi"/>
          <w:color w:val="000000" w:themeColor="text1"/>
        </w:rPr>
        <w:lastRenderedPageBreak/>
        <w:t>Following the exclusion decision, the young person’s presentation within the youth centre changed, with increased anxiety and distress observed during sessions. This included difficulties managing transitions, becoming overwhelmed in busy environments, and occasionally leaving activities abruptly when feeling overstimulated. The parent/guardian argued that these behaviours were directly related to the young person’s ASD and the lack of effective coping strategies or consistent support being implemented by staff. Despite this, responses from the youth centre were inconsistent, and in some instances the young person was directed to use a separate “quiet area,” which was not always delivered in a way that preserved dignity or inclusion.</w:t>
      </w:r>
    </w:p>
    <w:p w14:paraId="0B2BA60B" w14:textId="77777777" w:rsidR="00D07D91" w:rsidRPr="002653E0" w:rsidRDefault="00D07D91" w:rsidP="004F1310">
      <w:pPr>
        <w:pStyle w:val="NormalWeb"/>
        <w:rPr>
          <w:rFonts w:asciiTheme="minorHAnsi" w:hAnsiTheme="minorHAnsi"/>
          <w:color w:val="000000" w:themeColor="text1"/>
        </w:rPr>
      </w:pPr>
      <w:r w:rsidRPr="002653E0">
        <w:rPr>
          <w:rFonts w:asciiTheme="minorHAnsi" w:hAnsiTheme="minorHAnsi"/>
          <w:color w:val="000000" w:themeColor="text1"/>
        </w:rPr>
        <w:t>The young person was later suspended from attending the youth centre on two occasions following incidents of distressed behaviour. These incidents were recorded as behavioural misconduct without sufficient consideration of the underlying disability-related factors contributing to the behaviour. The parent/guardian maintained that the youth centre had failed to implement previously suggested strategies and had not made adequate reasonable adjustments to support the young person’s participation and emotional regulation.</w:t>
      </w:r>
    </w:p>
    <w:p w14:paraId="248DAB4C" w14:textId="77777777" w:rsidR="00D07D91" w:rsidRPr="00100319" w:rsidRDefault="00D07D91" w:rsidP="004F1310">
      <w:pPr>
        <w:pStyle w:val="NormalWeb"/>
        <w:rPr>
          <w:rFonts w:asciiTheme="minorHAnsi" w:hAnsiTheme="minorHAnsi"/>
          <w:color w:val="000000" w:themeColor="text1"/>
        </w:rPr>
      </w:pPr>
      <w:r w:rsidRPr="002653E0">
        <w:rPr>
          <w:rFonts w:asciiTheme="minorHAnsi" w:hAnsiTheme="minorHAnsi"/>
          <w:color w:val="000000" w:themeColor="text1"/>
        </w:rPr>
        <w:t xml:space="preserve">The case brought forward argued that the youth centre had unlawfully discriminated against the young person on the grounds of disability. It was contended that exclusion from the residential trip amounted to less favourable treatment, that the youth centre had failed in its duty to make reasonable adjustments, and that behaviour arising from unmet support needs had been incorrectly treated as disciplinary issues. It was also argued that the youth centre had failed to anticipate foreseeable difficulties linked to </w:t>
      </w:r>
      <w:r w:rsidRPr="00100319">
        <w:rPr>
          <w:rFonts w:asciiTheme="minorHAnsi" w:hAnsiTheme="minorHAnsi"/>
          <w:color w:val="000000" w:themeColor="text1"/>
        </w:rPr>
        <w:t>the young person’s ASD and had not put in place appropriate preventative strategies.</w:t>
      </w:r>
    </w:p>
    <w:p w14:paraId="69F13808" w14:textId="77777777" w:rsidR="00D07D91" w:rsidRDefault="00D07D91" w:rsidP="004F1310">
      <w:pPr>
        <w:pStyle w:val="NormalWeb"/>
        <w:rPr>
          <w:rFonts w:asciiTheme="minorHAnsi" w:eastAsia="Times New Roman" w:hAnsiTheme="minorHAnsi"/>
          <w:color w:val="000000" w:themeColor="text1"/>
        </w:rPr>
      </w:pPr>
      <w:r>
        <w:rPr>
          <w:rFonts w:asciiTheme="minorHAnsi" w:eastAsia="Times New Roman" w:hAnsiTheme="minorHAnsi"/>
          <w:color w:val="000000" w:themeColor="text1"/>
        </w:rPr>
        <w:t>T</w:t>
      </w:r>
      <w:r w:rsidRPr="00100319">
        <w:rPr>
          <w:rFonts w:asciiTheme="minorHAnsi" w:eastAsia="Times New Roman" w:hAnsiTheme="minorHAnsi"/>
          <w:color w:val="000000" w:themeColor="text1"/>
        </w:rPr>
        <w:t>he exclusion f</w:t>
      </w:r>
      <w:r>
        <w:rPr>
          <w:rFonts w:asciiTheme="minorHAnsi" w:eastAsia="Times New Roman" w:hAnsiTheme="minorHAnsi"/>
          <w:color w:val="000000" w:themeColor="text1"/>
        </w:rPr>
        <w:t>r</w:t>
      </w:r>
      <w:r w:rsidRPr="00100319">
        <w:rPr>
          <w:rFonts w:asciiTheme="minorHAnsi" w:eastAsia="Times New Roman" w:hAnsiTheme="minorHAnsi"/>
          <w:color w:val="000000" w:themeColor="text1"/>
        </w:rPr>
        <w:t>om t</w:t>
      </w:r>
      <w:r>
        <w:rPr>
          <w:rFonts w:asciiTheme="minorHAnsi" w:eastAsia="Times New Roman" w:hAnsiTheme="minorHAnsi"/>
          <w:color w:val="000000" w:themeColor="text1"/>
        </w:rPr>
        <w:t>h</w:t>
      </w:r>
      <w:r w:rsidRPr="00100319">
        <w:rPr>
          <w:rFonts w:asciiTheme="minorHAnsi" w:eastAsia="Times New Roman" w:hAnsiTheme="minorHAnsi"/>
          <w:color w:val="000000" w:themeColor="text1"/>
        </w:rPr>
        <w:t>e residential trip was not properly justified and that insufficient consideration had been given to reasonable adjustments that could have enabled participation. It further found that the youth centre had failed to anticipate and plan for the young person’s needs, and that behavioural incidents were closely linked to unmet support requirements rather than wilful misconduct.</w:t>
      </w:r>
      <w:r w:rsidRPr="00100319">
        <w:rPr>
          <w:rStyle w:val="apple-converted-space"/>
          <w:rFonts w:asciiTheme="minorHAnsi" w:eastAsia="Times New Roman" w:hAnsiTheme="minorHAnsi"/>
          <w:color w:val="000000" w:themeColor="text1"/>
        </w:rPr>
        <w:t> </w:t>
      </w:r>
      <w:r w:rsidRPr="00100319">
        <w:rPr>
          <w:rFonts w:asciiTheme="minorHAnsi" w:eastAsia="Times New Roman" w:hAnsiTheme="minorHAnsi"/>
          <w:color w:val="000000" w:themeColor="text1"/>
        </w:rPr>
        <w:t>organisations working with young people have a duty to plan inclusively, anticipate support needs, and ensure that disability-related behaviour is not treated in isolation</w:t>
      </w:r>
      <w:r>
        <w:rPr>
          <w:rFonts w:asciiTheme="minorHAnsi" w:eastAsia="Times New Roman" w:hAnsiTheme="minorHAnsi"/>
          <w:color w:val="000000" w:themeColor="text1"/>
        </w:rPr>
        <w:t xml:space="preserve">. </w:t>
      </w:r>
    </w:p>
    <w:p w14:paraId="65FF784D" w14:textId="77777777" w:rsidR="00D07D91" w:rsidRDefault="00D07D91" w:rsidP="004F1310">
      <w:pPr>
        <w:pStyle w:val="NormalWeb"/>
        <w:rPr>
          <w:rFonts w:asciiTheme="minorHAnsi" w:eastAsia="Times New Roman" w:hAnsiTheme="minorHAnsi"/>
          <w:color w:val="000000" w:themeColor="text1"/>
        </w:rPr>
      </w:pPr>
    </w:p>
    <w:p w14:paraId="14B7034F" w14:textId="77777777" w:rsidR="00D07D91" w:rsidRDefault="00D07D91" w:rsidP="004F1310">
      <w:pPr>
        <w:pStyle w:val="NormalWeb"/>
        <w:rPr>
          <w:rFonts w:asciiTheme="minorHAnsi" w:eastAsia="Times New Roman" w:hAnsiTheme="minorHAnsi"/>
          <w:color w:val="000000" w:themeColor="text1"/>
        </w:rPr>
      </w:pPr>
    </w:p>
    <w:p w14:paraId="4C069F4D" w14:textId="77777777" w:rsidR="00D07D91" w:rsidRDefault="00D07D91" w:rsidP="004F1310">
      <w:pPr>
        <w:pStyle w:val="NormalWeb"/>
        <w:rPr>
          <w:rFonts w:asciiTheme="minorHAnsi" w:eastAsia="Times New Roman" w:hAnsiTheme="minorHAnsi"/>
          <w:color w:val="000000" w:themeColor="text1"/>
        </w:rPr>
      </w:pPr>
      <w:r>
        <w:rPr>
          <w:rFonts w:asciiTheme="minorHAnsi" w:eastAsia="Times New Roman" w:hAnsiTheme="minorHAnsi"/>
          <w:color w:val="000000" w:themeColor="text1"/>
        </w:rPr>
        <w:t xml:space="preserve"> </w:t>
      </w:r>
    </w:p>
    <w:p w14:paraId="351A3041" w14:textId="77777777" w:rsidR="00D07D91" w:rsidRDefault="00D07D91" w:rsidP="004F1310">
      <w:pPr>
        <w:pStyle w:val="NormalWeb"/>
        <w:rPr>
          <w:rFonts w:asciiTheme="minorHAnsi" w:eastAsia="Times New Roman" w:hAnsiTheme="minorHAnsi"/>
          <w:color w:val="000000" w:themeColor="text1"/>
        </w:rPr>
      </w:pPr>
    </w:p>
    <w:p w14:paraId="48B9FAF0" w14:textId="77777777" w:rsidR="00D07D91" w:rsidRDefault="00D07D91" w:rsidP="004F1310">
      <w:pPr>
        <w:pStyle w:val="NormalWeb"/>
        <w:rPr>
          <w:rFonts w:asciiTheme="minorHAnsi" w:eastAsia="Times New Roman" w:hAnsiTheme="minorHAnsi"/>
          <w:color w:val="000000" w:themeColor="text1"/>
        </w:rPr>
      </w:pPr>
    </w:p>
    <w:p w14:paraId="21DCB469" w14:textId="77777777" w:rsidR="00D07D91" w:rsidRDefault="00D07D91" w:rsidP="004F1310">
      <w:pPr>
        <w:pStyle w:val="NormalWeb"/>
        <w:rPr>
          <w:rFonts w:asciiTheme="minorHAnsi" w:eastAsia="Times New Roman" w:hAnsiTheme="minorHAnsi"/>
          <w:color w:val="000000" w:themeColor="text1"/>
        </w:rPr>
      </w:pPr>
    </w:p>
    <w:p w14:paraId="2B01F736" w14:textId="77777777" w:rsidR="00D07D91" w:rsidRDefault="00D07D91" w:rsidP="004F1310">
      <w:pPr>
        <w:pStyle w:val="NormalWeb"/>
        <w:rPr>
          <w:rFonts w:asciiTheme="minorHAnsi" w:eastAsia="Times New Roman" w:hAnsiTheme="minorHAnsi"/>
          <w:color w:val="000000" w:themeColor="text1"/>
        </w:rPr>
      </w:pPr>
    </w:p>
    <w:p w14:paraId="0575AF02" w14:textId="77777777" w:rsidR="00D07D91" w:rsidRPr="00A83C1F" w:rsidRDefault="00D07D91" w:rsidP="004F1310">
      <w:pPr>
        <w:pStyle w:val="NormalWeb"/>
        <w:rPr>
          <w:rFonts w:asciiTheme="minorHAnsi" w:eastAsia="Times New Roman" w:hAnsiTheme="minorHAnsi"/>
          <w:b/>
          <w:bCs/>
          <w:color w:val="000000" w:themeColor="text1"/>
          <w:sz w:val="28"/>
          <w:szCs w:val="28"/>
        </w:rPr>
      </w:pPr>
      <w:r w:rsidRPr="00A83C1F">
        <w:rPr>
          <w:rFonts w:asciiTheme="minorHAnsi" w:eastAsia="Times New Roman" w:hAnsiTheme="minorHAnsi"/>
          <w:b/>
          <w:bCs/>
          <w:color w:val="000000" w:themeColor="text1"/>
          <w:sz w:val="28"/>
          <w:szCs w:val="28"/>
        </w:rPr>
        <w:lastRenderedPageBreak/>
        <w:t xml:space="preserve">Practice guidelines </w:t>
      </w:r>
    </w:p>
    <w:p w14:paraId="0EC791C8" w14:textId="77777777" w:rsidR="00D07D91" w:rsidRPr="00353E15" w:rsidRDefault="00D07D91" w:rsidP="004F1310">
      <w:pPr>
        <w:pStyle w:val="NormalWeb"/>
        <w:rPr>
          <w:rFonts w:asciiTheme="minorHAnsi" w:hAnsiTheme="minorHAnsi"/>
          <w:color w:val="000000" w:themeColor="text1"/>
        </w:rPr>
      </w:pPr>
      <w:r w:rsidRPr="00353E15">
        <w:rPr>
          <w:rFonts w:asciiTheme="minorHAnsi" w:hAnsiTheme="minorHAnsi"/>
          <w:color w:val="000000" w:themeColor="text1"/>
        </w:rPr>
        <w:t>Creating an inclusive youth work environment for autistic young people requires a flexible, person-centred approach that aligns with the values outlined in</w:t>
      </w:r>
      <w:r w:rsidRPr="00353E15">
        <w:rPr>
          <w:rStyle w:val="apple-converted-space"/>
          <w:rFonts w:asciiTheme="minorHAnsi" w:hAnsiTheme="minorHAnsi"/>
          <w:color w:val="000000" w:themeColor="text1"/>
        </w:rPr>
        <w:t> </w:t>
      </w:r>
      <w:r w:rsidRPr="00353E15">
        <w:rPr>
          <w:rStyle w:val="Emphasis"/>
          <w:rFonts w:asciiTheme="minorHAnsi" w:hAnsiTheme="minorHAnsi"/>
          <w:color w:val="000000" w:themeColor="text1"/>
        </w:rPr>
        <w:t>Youth Work in Wales: Principles and Purposes (2022)</w:t>
      </w:r>
      <w:r w:rsidRPr="00353E15">
        <w:rPr>
          <w:rStyle w:val="apple-converted-space"/>
          <w:rFonts w:asciiTheme="minorHAnsi" w:hAnsiTheme="minorHAnsi"/>
          <w:color w:val="000000" w:themeColor="text1"/>
        </w:rPr>
        <w:t> </w:t>
      </w:r>
      <w:r w:rsidRPr="00353E15">
        <w:rPr>
          <w:rFonts w:asciiTheme="minorHAnsi" w:hAnsiTheme="minorHAnsi"/>
          <w:color w:val="000000" w:themeColor="text1"/>
        </w:rPr>
        <w:t>and evidence</w:t>
      </w:r>
      <w:r>
        <w:rPr>
          <w:rFonts w:asciiTheme="minorHAnsi" w:hAnsiTheme="minorHAnsi"/>
          <w:color w:val="000000" w:themeColor="text1"/>
        </w:rPr>
        <w:t xml:space="preserve"> </w:t>
      </w:r>
      <w:r w:rsidRPr="00353E15">
        <w:rPr>
          <w:rFonts w:asciiTheme="minorHAnsi" w:hAnsiTheme="minorHAnsi"/>
          <w:color w:val="000000" w:themeColor="text1"/>
        </w:rPr>
        <w:t>based strategies identified by the Welsh Government. Youth work in Wales is underpinned by voluntary participation, empowerment, and the development of young people through informal education, with a strong emphasis on accessibility, inclusion, and responding to individual needs (Principles and Purposes, 2022). These principles are further supported by the five pillars of youth work:</w:t>
      </w:r>
      <w:r w:rsidRPr="00353E15">
        <w:rPr>
          <w:rStyle w:val="apple-converted-space"/>
          <w:rFonts w:asciiTheme="minorHAnsi" w:hAnsiTheme="minorHAnsi"/>
          <w:color w:val="000000" w:themeColor="text1"/>
        </w:rPr>
        <w:t> </w:t>
      </w:r>
      <w:r w:rsidRPr="00EA6E42">
        <w:rPr>
          <w:rStyle w:val="Strong"/>
          <w:rFonts w:asciiTheme="minorHAnsi" w:hAnsiTheme="minorHAnsi"/>
          <w:b w:val="0"/>
          <w:bCs w:val="0"/>
          <w:color w:val="000000" w:themeColor="text1"/>
        </w:rPr>
        <w:t>educative, expressive, participative, empowering, and inclusive</w:t>
      </w:r>
      <w:r w:rsidRPr="00EA6E42">
        <w:rPr>
          <w:rFonts w:asciiTheme="minorHAnsi" w:hAnsiTheme="minorHAnsi"/>
          <w:b/>
          <w:bCs/>
          <w:color w:val="000000" w:themeColor="text1"/>
        </w:rPr>
        <w:t>,</w:t>
      </w:r>
      <w:r w:rsidRPr="00353E15">
        <w:rPr>
          <w:rFonts w:asciiTheme="minorHAnsi" w:hAnsiTheme="minorHAnsi"/>
          <w:color w:val="000000" w:themeColor="text1"/>
        </w:rPr>
        <w:t xml:space="preserve"> which provide a framework for ensuring all young people can engage meaningfully. This provides a clear structure for practitioners to adapt their practice to support autistic young people effectively.</w:t>
      </w:r>
    </w:p>
    <w:p w14:paraId="19306606" w14:textId="77777777" w:rsidR="00D07D91" w:rsidRPr="00353E15" w:rsidRDefault="00D07D91" w:rsidP="004F1310">
      <w:pPr>
        <w:pStyle w:val="NormalWeb"/>
        <w:rPr>
          <w:rFonts w:asciiTheme="minorHAnsi" w:hAnsiTheme="minorHAnsi"/>
          <w:color w:val="000000" w:themeColor="text1"/>
        </w:rPr>
      </w:pPr>
      <w:r w:rsidRPr="00353E15">
        <w:rPr>
          <w:rFonts w:asciiTheme="minorHAnsi" w:hAnsiTheme="minorHAnsi"/>
          <w:color w:val="000000" w:themeColor="text1"/>
        </w:rPr>
        <w:t xml:space="preserve">A key practical strategy is ensuring that provision is shaped by the needs and voices of young people. </w:t>
      </w:r>
      <w:r>
        <w:rPr>
          <w:rFonts w:asciiTheme="minorHAnsi" w:hAnsiTheme="minorHAnsi"/>
          <w:color w:val="000000" w:themeColor="text1"/>
        </w:rPr>
        <w:t xml:space="preserve">Principles and purposes (2022) </w:t>
      </w:r>
      <w:r w:rsidRPr="00353E15">
        <w:rPr>
          <w:rFonts w:asciiTheme="minorHAnsi" w:hAnsiTheme="minorHAnsi"/>
          <w:color w:val="000000" w:themeColor="text1"/>
        </w:rPr>
        <w:t>highlight that services should be developed through engagement with young people and tailored to what they say they need or want</w:t>
      </w:r>
      <w:r>
        <w:rPr>
          <w:rFonts w:asciiTheme="minorHAnsi" w:hAnsiTheme="minorHAnsi"/>
          <w:color w:val="000000" w:themeColor="text1"/>
        </w:rPr>
        <w:t xml:space="preserve">. </w:t>
      </w:r>
      <w:r w:rsidRPr="00353E15">
        <w:rPr>
          <w:rFonts w:asciiTheme="minorHAnsi" w:hAnsiTheme="minorHAnsi"/>
          <w:color w:val="000000" w:themeColor="text1"/>
        </w:rPr>
        <w:t>This reflects the</w:t>
      </w:r>
      <w:r w:rsidRPr="00353E15">
        <w:rPr>
          <w:rStyle w:val="apple-converted-space"/>
          <w:rFonts w:asciiTheme="minorHAnsi" w:hAnsiTheme="minorHAnsi"/>
          <w:color w:val="000000" w:themeColor="text1"/>
        </w:rPr>
        <w:t> </w:t>
      </w:r>
      <w:r w:rsidRPr="00EA6E42">
        <w:rPr>
          <w:rStyle w:val="Strong"/>
          <w:rFonts w:asciiTheme="minorHAnsi" w:hAnsiTheme="minorHAnsi"/>
          <w:b w:val="0"/>
          <w:bCs w:val="0"/>
          <w:color w:val="000000" w:themeColor="text1"/>
        </w:rPr>
        <w:t>participative and empowering pillars</w:t>
      </w:r>
      <w:r>
        <w:rPr>
          <w:rFonts w:asciiTheme="minorHAnsi" w:hAnsiTheme="minorHAnsi"/>
          <w:b/>
          <w:bCs/>
          <w:color w:val="000000" w:themeColor="text1"/>
        </w:rPr>
        <w:t xml:space="preserve">, </w:t>
      </w:r>
      <w:r w:rsidRPr="00353E15">
        <w:rPr>
          <w:rFonts w:asciiTheme="minorHAnsi" w:hAnsiTheme="minorHAnsi"/>
          <w:color w:val="000000" w:themeColor="text1"/>
        </w:rPr>
        <w:t>as young people are actively involved in decision</w:t>
      </w:r>
      <w:r>
        <w:rPr>
          <w:rFonts w:asciiTheme="minorHAnsi" w:hAnsiTheme="minorHAnsi"/>
          <w:color w:val="000000" w:themeColor="text1"/>
        </w:rPr>
        <w:t xml:space="preserve"> </w:t>
      </w:r>
      <w:r w:rsidRPr="00353E15">
        <w:rPr>
          <w:rFonts w:asciiTheme="minorHAnsi" w:hAnsiTheme="minorHAnsi"/>
          <w:color w:val="000000" w:themeColor="text1"/>
        </w:rPr>
        <w:t>making about their experiences. In practice, this could involve using structured choice-making, visual communication tools, or one-to-one discussions to support autistic young people to express their preferences. This approach promotes inclusion by recognising that autistic young people may communicate differently, but still have the right to influence the activities they participate in. However, while this strategy is effective in promoting empowerment, it may be limited if staff lack training in alternative communication methods, which could prevent meaningful participation.</w:t>
      </w:r>
    </w:p>
    <w:p w14:paraId="70C6A8C7" w14:textId="77777777" w:rsidR="00D07D91" w:rsidRPr="00353E15" w:rsidRDefault="00D07D91" w:rsidP="004F1310">
      <w:pPr>
        <w:pStyle w:val="NormalWeb"/>
        <w:rPr>
          <w:rFonts w:asciiTheme="minorHAnsi" w:hAnsiTheme="minorHAnsi"/>
          <w:color w:val="000000" w:themeColor="text1"/>
        </w:rPr>
      </w:pPr>
      <w:r w:rsidRPr="00353E15">
        <w:rPr>
          <w:rFonts w:asciiTheme="minorHAnsi" w:hAnsiTheme="minorHAnsi"/>
          <w:color w:val="000000" w:themeColor="text1"/>
        </w:rPr>
        <w:t>Another important strategy is adapting the environment to reduce sensory overload. The Welsh Government</w:t>
      </w:r>
      <w:r>
        <w:rPr>
          <w:rFonts w:asciiTheme="minorHAnsi" w:hAnsiTheme="minorHAnsi"/>
          <w:color w:val="000000" w:themeColor="text1"/>
        </w:rPr>
        <w:t xml:space="preserve"> (2025)</w:t>
      </w:r>
      <w:r w:rsidRPr="00353E15">
        <w:rPr>
          <w:rFonts w:asciiTheme="minorHAnsi" w:hAnsiTheme="minorHAnsi"/>
          <w:color w:val="000000" w:themeColor="text1"/>
        </w:rPr>
        <w:t xml:space="preserve"> guidance on supporting autistic learners highlights the importance of understanding individual needs and implementing approaches that improve outcomes. In a youth centre, this can include creating quiet spaces, offering sensory breaks, reducing noise levels, and allowing flexible participation in activities. These adjustments align closely with the</w:t>
      </w:r>
      <w:r w:rsidRPr="00353E15">
        <w:rPr>
          <w:rStyle w:val="apple-converted-space"/>
          <w:rFonts w:asciiTheme="minorHAnsi" w:hAnsiTheme="minorHAnsi"/>
          <w:color w:val="000000" w:themeColor="text1"/>
        </w:rPr>
        <w:t> </w:t>
      </w:r>
      <w:r w:rsidRPr="00187A54">
        <w:rPr>
          <w:rStyle w:val="Strong"/>
          <w:rFonts w:asciiTheme="minorHAnsi" w:hAnsiTheme="minorHAnsi"/>
          <w:b w:val="0"/>
          <w:bCs w:val="0"/>
          <w:color w:val="000000" w:themeColor="text1"/>
        </w:rPr>
        <w:t>inclusive pillar</w:t>
      </w:r>
      <w:r w:rsidRPr="00353E15">
        <w:rPr>
          <w:rFonts w:asciiTheme="minorHAnsi" w:hAnsiTheme="minorHAnsi"/>
          <w:color w:val="000000" w:themeColor="text1"/>
        </w:rPr>
        <w:t>, ensuring that barriers to participation are reduced and all young people can access provision. Despite this, there can be practical barriers such as limited space, staffing constraints, or a lack of resources, which may restrict how effectively environments can be adapted.</w:t>
      </w:r>
    </w:p>
    <w:p w14:paraId="1045C7C4" w14:textId="77777777" w:rsidR="00D07D91" w:rsidRPr="00353E15" w:rsidRDefault="00D07D91" w:rsidP="004F1310">
      <w:pPr>
        <w:pStyle w:val="NormalWeb"/>
        <w:rPr>
          <w:rFonts w:asciiTheme="minorHAnsi" w:hAnsiTheme="minorHAnsi"/>
          <w:color w:val="000000" w:themeColor="text1"/>
        </w:rPr>
      </w:pPr>
      <w:r w:rsidRPr="00353E15">
        <w:rPr>
          <w:rFonts w:asciiTheme="minorHAnsi" w:hAnsiTheme="minorHAnsi"/>
          <w:color w:val="000000" w:themeColor="text1"/>
        </w:rPr>
        <w:t>Providing structure and predictability is also a key strategy. Youth work should support young people’s emotional and mental wellbeing and be delivered in ways that are accessible and consistent (Principles and Purposes, 2022). For autistic young people, this can involve using visual timetables, clear routines, and advance preparation for transitions. These approaches reduce anxiety and support engagement, linking to the</w:t>
      </w:r>
      <w:r w:rsidRPr="00353E15">
        <w:rPr>
          <w:rStyle w:val="apple-converted-space"/>
          <w:rFonts w:asciiTheme="minorHAnsi" w:hAnsiTheme="minorHAnsi"/>
          <w:color w:val="000000" w:themeColor="text1"/>
        </w:rPr>
        <w:t> </w:t>
      </w:r>
      <w:r w:rsidRPr="00187A54">
        <w:rPr>
          <w:rStyle w:val="Strong"/>
          <w:rFonts w:asciiTheme="minorHAnsi" w:hAnsiTheme="minorHAnsi"/>
          <w:b w:val="0"/>
          <w:bCs w:val="0"/>
          <w:color w:val="000000" w:themeColor="text1"/>
        </w:rPr>
        <w:t>educative pillar</w:t>
      </w:r>
      <w:r w:rsidRPr="00353E15">
        <w:rPr>
          <w:rFonts w:asciiTheme="minorHAnsi" w:hAnsiTheme="minorHAnsi"/>
          <w:color w:val="000000" w:themeColor="text1"/>
        </w:rPr>
        <w:t>, as they enable young people to develop skills in understanding routines and managing change. However, a critical consideration is that too much structure may conflict with the informal and flexible nature of youth work. Practitioners must therefore balance structure with choice, ensuring that support does not become overly rigid or restrictive.</w:t>
      </w:r>
    </w:p>
    <w:p w14:paraId="600D6C37" w14:textId="77777777" w:rsidR="00D07D91" w:rsidRPr="00353E15" w:rsidRDefault="00D07D91" w:rsidP="004F1310">
      <w:pPr>
        <w:pStyle w:val="NormalWeb"/>
        <w:rPr>
          <w:rFonts w:asciiTheme="minorHAnsi" w:hAnsiTheme="minorHAnsi"/>
          <w:color w:val="000000" w:themeColor="text1"/>
        </w:rPr>
      </w:pPr>
      <w:r w:rsidRPr="00353E15">
        <w:rPr>
          <w:rFonts w:asciiTheme="minorHAnsi" w:hAnsiTheme="minorHAnsi"/>
          <w:color w:val="000000" w:themeColor="text1"/>
        </w:rPr>
        <w:lastRenderedPageBreak/>
        <w:t>Building positive relationships is central to inclusive practice. Youth work in Wales emphasises the importance of trusted relationships and informal education in supporting young people’s confidence and resilience (Principles and Purposes, 2022). For autistic young people, consistent staff approaches, clear communication, and a low</w:t>
      </w:r>
      <w:r>
        <w:rPr>
          <w:rFonts w:asciiTheme="minorHAnsi" w:hAnsiTheme="minorHAnsi"/>
          <w:color w:val="000000" w:themeColor="text1"/>
        </w:rPr>
        <w:t xml:space="preserve"> </w:t>
      </w:r>
      <w:r w:rsidRPr="00353E15">
        <w:rPr>
          <w:rFonts w:asciiTheme="minorHAnsi" w:hAnsiTheme="minorHAnsi"/>
          <w:color w:val="000000" w:themeColor="text1"/>
        </w:rPr>
        <w:t>arousal interaction style can help reduce anxiety and build trust. This reflects both the</w:t>
      </w:r>
      <w:r w:rsidRPr="00353E15">
        <w:rPr>
          <w:rStyle w:val="apple-converted-space"/>
          <w:rFonts w:asciiTheme="minorHAnsi" w:hAnsiTheme="minorHAnsi"/>
          <w:color w:val="000000" w:themeColor="text1"/>
        </w:rPr>
        <w:t> </w:t>
      </w:r>
      <w:r w:rsidRPr="00187A54">
        <w:rPr>
          <w:rStyle w:val="Strong"/>
          <w:rFonts w:asciiTheme="minorHAnsi" w:hAnsiTheme="minorHAnsi"/>
          <w:b w:val="0"/>
          <w:bCs w:val="0"/>
          <w:color w:val="000000" w:themeColor="text1"/>
        </w:rPr>
        <w:t>expressive and empowering pillars</w:t>
      </w:r>
      <w:r w:rsidRPr="00353E15">
        <w:rPr>
          <w:rFonts w:asciiTheme="minorHAnsi" w:hAnsiTheme="minorHAnsi"/>
          <w:color w:val="000000" w:themeColor="text1"/>
        </w:rPr>
        <w:t>, as young people are supported to feel safe expressing themselves and developing confidence. This relational approach is highly effective, but it relies heavily on staff consistency. High staff turnover or inconsistent practice across teams can undermine this, creating confusion and increasing anxiety for the young person.</w:t>
      </w:r>
    </w:p>
    <w:p w14:paraId="7DFD54CA" w14:textId="77777777" w:rsidR="00D07D91" w:rsidRPr="00353E15" w:rsidRDefault="00D07D91" w:rsidP="004F1310">
      <w:pPr>
        <w:pStyle w:val="NormalWeb"/>
        <w:rPr>
          <w:rFonts w:asciiTheme="minorHAnsi" w:hAnsiTheme="minorHAnsi"/>
          <w:color w:val="000000" w:themeColor="text1"/>
        </w:rPr>
      </w:pPr>
      <w:r w:rsidRPr="00353E15">
        <w:rPr>
          <w:rFonts w:asciiTheme="minorHAnsi" w:hAnsiTheme="minorHAnsi"/>
          <w:color w:val="000000" w:themeColor="text1"/>
        </w:rPr>
        <w:t>A strengths</w:t>
      </w:r>
      <w:r>
        <w:rPr>
          <w:rFonts w:asciiTheme="minorHAnsi" w:hAnsiTheme="minorHAnsi"/>
          <w:color w:val="000000" w:themeColor="text1"/>
        </w:rPr>
        <w:t xml:space="preserve"> </w:t>
      </w:r>
      <w:r w:rsidRPr="00353E15">
        <w:rPr>
          <w:rFonts w:asciiTheme="minorHAnsi" w:hAnsiTheme="minorHAnsi"/>
          <w:color w:val="000000" w:themeColor="text1"/>
        </w:rPr>
        <w:t>based approach is also essential. Youth work aims to support young people to develop holistically and recognise their abilities, rather than focusing solely on deficits (Principles and Purposes, 2022). Practitioners can use a young person’s interests to engage them in activities, support social interaction, and build confidence. This links strongly to the</w:t>
      </w:r>
      <w:r w:rsidRPr="00353E15">
        <w:rPr>
          <w:rStyle w:val="apple-converted-space"/>
          <w:rFonts w:asciiTheme="minorHAnsi" w:hAnsiTheme="minorHAnsi"/>
          <w:color w:val="000000" w:themeColor="text1"/>
        </w:rPr>
        <w:t> </w:t>
      </w:r>
      <w:r w:rsidRPr="00187A54">
        <w:rPr>
          <w:rStyle w:val="Strong"/>
          <w:rFonts w:asciiTheme="minorHAnsi" w:hAnsiTheme="minorHAnsi"/>
          <w:b w:val="0"/>
          <w:bCs w:val="0"/>
          <w:color w:val="000000" w:themeColor="text1"/>
        </w:rPr>
        <w:t>expressive pillar</w:t>
      </w:r>
      <w:r w:rsidRPr="00353E15">
        <w:rPr>
          <w:rFonts w:asciiTheme="minorHAnsi" w:hAnsiTheme="minorHAnsi"/>
          <w:color w:val="000000" w:themeColor="text1"/>
        </w:rPr>
        <w:t>, as it enables young people to explore identity and creativity in ways that are meaningful to them. While this approach is widely recognised as good practice, it may be challenging in group settings where activities are designed for a broader audience, requiring staff to adapt sessions creatively to include diverse interests.</w:t>
      </w:r>
    </w:p>
    <w:p w14:paraId="7AAACF47" w14:textId="77777777" w:rsidR="00D07D91" w:rsidRPr="00353E15" w:rsidRDefault="00D07D91" w:rsidP="004F1310">
      <w:pPr>
        <w:pStyle w:val="NormalWeb"/>
        <w:rPr>
          <w:rFonts w:asciiTheme="minorHAnsi" w:hAnsiTheme="minorHAnsi"/>
          <w:color w:val="000000" w:themeColor="text1"/>
        </w:rPr>
      </w:pPr>
      <w:r w:rsidRPr="00353E15">
        <w:rPr>
          <w:rFonts w:asciiTheme="minorHAnsi" w:hAnsiTheme="minorHAnsi"/>
          <w:color w:val="000000" w:themeColor="text1"/>
        </w:rPr>
        <w:t>Despite the effectiveness of these strategies, there are broader barriers to inclusion. These include limited training in autism, lack of funding or resources, and organisational pressures that prioritise group management over individual needs. Additionally, the diversity within autism means that strategies effective for one young person may not work for another. This highlights the importance of a flexible, individualised approach rather than a one-size-fits-all model, as emphasised in Welsh Government guidance (Welsh Government, 2025), and reinforces the importance of maintaining the</w:t>
      </w:r>
      <w:r w:rsidRPr="00353E15">
        <w:rPr>
          <w:rStyle w:val="apple-converted-space"/>
          <w:rFonts w:asciiTheme="minorHAnsi" w:hAnsiTheme="minorHAnsi"/>
          <w:color w:val="000000" w:themeColor="text1"/>
        </w:rPr>
        <w:t> </w:t>
      </w:r>
      <w:r w:rsidRPr="00187A54">
        <w:rPr>
          <w:rStyle w:val="Strong"/>
          <w:rFonts w:asciiTheme="minorHAnsi" w:hAnsiTheme="minorHAnsi"/>
          <w:b w:val="0"/>
          <w:bCs w:val="0"/>
          <w:color w:val="000000" w:themeColor="text1"/>
        </w:rPr>
        <w:t>inclusive pillar</w:t>
      </w:r>
      <w:r w:rsidRPr="00353E15">
        <w:rPr>
          <w:rStyle w:val="apple-converted-space"/>
          <w:rFonts w:asciiTheme="minorHAnsi" w:hAnsiTheme="minorHAnsi"/>
          <w:color w:val="000000" w:themeColor="text1"/>
        </w:rPr>
        <w:t> </w:t>
      </w:r>
      <w:r w:rsidRPr="00353E15">
        <w:rPr>
          <w:rFonts w:asciiTheme="minorHAnsi" w:hAnsiTheme="minorHAnsi"/>
          <w:color w:val="000000" w:themeColor="text1"/>
        </w:rPr>
        <w:t>in practice</w:t>
      </w:r>
      <w:r>
        <w:rPr>
          <w:rFonts w:asciiTheme="minorHAnsi" w:hAnsiTheme="minorHAnsi"/>
          <w:color w:val="000000" w:themeColor="text1"/>
        </w:rPr>
        <w:t xml:space="preserve">. </w:t>
      </w:r>
    </w:p>
    <w:p w14:paraId="05DEC76A" w14:textId="77777777" w:rsidR="00D07D91" w:rsidRPr="00187A54" w:rsidRDefault="00D07D91" w:rsidP="004F1310">
      <w:pPr>
        <w:pStyle w:val="NormalWeb"/>
        <w:rPr>
          <w:rFonts w:asciiTheme="minorHAnsi" w:hAnsiTheme="minorHAnsi"/>
          <w:b/>
          <w:bCs/>
          <w:color w:val="000000" w:themeColor="text1"/>
        </w:rPr>
      </w:pPr>
      <w:r w:rsidRPr="00353E15">
        <w:rPr>
          <w:rFonts w:asciiTheme="minorHAnsi" w:hAnsiTheme="minorHAnsi"/>
          <w:color w:val="000000" w:themeColor="text1"/>
        </w:rPr>
        <w:t>To address these barriers, youth work settings should invest in ongoing staff training, ensure consistent team approaches, and involve external specialists where necessary. Embedding inclusive practice into organisational policy, rather than relying on individual staff knowledge, can also improve consistency. Furthermore, actively involving young people and their families in planning support can enhance effectiveness and ensure that strategies remain relevant, reinforcing the</w:t>
      </w:r>
      <w:r w:rsidRPr="00353E15">
        <w:rPr>
          <w:rStyle w:val="apple-converted-space"/>
          <w:rFonts w:asciiTheme="minorHAnsi" w:hAnsiTheme="minorHAnsi"/>
          <w:color w:val="000000" w:themeColor="text1"/>
        </w:rPr>
        <w:t> </w:t>
      </w:r>
      <w:r w:rsidRPr="00187A54">
        <w:rPr>
          <w:rStyle w:val="Strong"/>
          <w:rFonts w:asciiTheme="minorHAnsi" w:hAnsiTheme="minorHAnsi"/>
          <w:b w:val="0"/>
          <w:bCs w:val="0"/>
          <w:color w:val="000000" w:themeColor="text1"/>
        </w:rPr>
        <w:t>participative and empowering pillars</w:t>
      </w:r>
      <w:r>
        <w:rPr>
          <w:rFonts w:asciiTheme="minorHAnsi" w:hAnsiTheme="minorHAnsi"/>
          <w:b/>
          <w:bCs/>
          <w:color w:val="000000" w:themeColor="text1"/>
        </w:rPr>
        <w:t xml:space="preserve">. </w:t>
      </w:r>
    </w:p>
    <w:p w14:paraId="4E94E148" w14:textId="77777777" w:rsidR="00D07D91" w:rsidRPr="00353E15" w:rsidRDefault="00D07D91" w:rsidP="004F1310">
      <w:pPr>
        <w:pStyle w:val="NormalWeb"/>
        <w:rPr>
          <w:rFonts w:asciiTheme="minorHAnsi" w:hAnsiTheme="minorHAnsi"/>
          <w:color w:val="000000" w:themeColor="text1"/>
        </w:rPr>
      </w:pPr>
      <w:r w:rsidRPr="00353E15">
        <w:rPr>
          <w:rFonts w:asciiTheme="minorHAnsi" w:hAnsiTheme="minorHAnsi"/>
          <w:color w:val="000000" w:themeColor="text1"/>
        </w:rPr>
        <w:t>Overall, effective inclusion in youth work requires a balance between structure and flexibility, individual support and group participation, theory and practice. By applying the principles and five pillars of youth work in Wales alongside evidence-based strategies for supporting autistic young people, practitioners can create environments that are not only inclusive but also empowering to diverse needs.</w:t>
      </w:r>
    </w:p>
    <w:p w14:paraId="409374B4" w14:textId="77777777" w:rsidR="00D07D91" w:rsidRDefault="00D07D91" w:rsidP="004F1310">
      <w:pPr>
        <w:pStyle w:val="NormalWeb"/>
        <w:rPr>
          <w:rFonts w:asciiTheme="minorHAnsi" w:hAnsiTheme="minorHAnsi"/>
          <w:color w:val="000000" w:themeColor="text1"/>
        </w:rPr>
      </w:pPr>
    </w:p>
    <w:p w14:paraId="73F0E64B" w14:textId="77777777" w:rsidR="00D07D91" w:rsidRPr="00353E15" w:rsidRDefault="00D07D91" w:rsidP="004F1310">
      <w:pPr>
        <w:pStyle w:val="NormalWeb"/>
        <w:rPr>
          <w:rFonts w:asciiTheme="minorHAnsi" w:hAnsiTheme="minorHAnsi"/>
          <w:color w:val="000000" w:themeColor="text1"/>
        </w:rPr>
      </w:pPr>
    </w:p>
    <w:p w14:paraId="7BBFC154" w14:textId="77777777" w:rsidR="00D07D91" w:rsidRDefault="00D07D91" w:rsidP="004F1310">
      <w:pPr>
        <w:jc w:val="both"/>
        <w:rPr>
          <w:color w:val="000000" w:themeColor="text1"/>
        </w:rPr>
      </w:pPr>
      <w:r>
        <w:rPr>
          <w:noProof/>
        </w:rPr>
        <w:lastRenderedPageBreak/>
        <w:drawing>
          <wp:anchor distT="0" distB="0" distL="114300" distR="114300" simplePos="0" relativeHeight="251660288" behindDoc="1" locked="0" layoutInCell="1" allowOverlap="1" wp14:anchorId="3DFE04F7" wp14:editId="551141AF">
            <wp:simplePos x="0" y="0"/>
            <wp:positionH relativeFrom="column">
              <wp:posOffset>-13063</wp:posOffset>
            </wp:positionH>
            <wp:positionV relativeFrom="paragraph">
              <wp:posOffset>-561703</wp:posOffset>
            </wp:positionV>
            <wp:extent cx="5689600" cy="5422900"/>
            <wp:effectExtent l="0" t="0" r="0" b="0"/>
            <wp:wrapNone/>
            <wp:docPr id="714125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125675" name=""/>
                    <pic:cNvPicPr/>
                  </pic:nvPicPr>
                  <pic:blipFill>
                    <a:blip r:embed="rId7"/>
                    <a:stretch>
                      <a:fillRect/>
                    </a:stretch>
                  </pic:blipFill>
                  <pic:spPr>
                    <a:xfrm>
                      <a:off x="0" y="0"/>
                      <a:ext cx="5689600" cy="5422900"/>
                    </a:xfrm>
                    <a:prstGeom prst="rect">
                      <a:avLst/>
                    </a:prstGeom>
                  </pic:spPr>
                </pic:pic>
              </a:graphicData>
            </a:graphic>
          </wp:anchor>
        </w:drawing>
      </w:r>
    </w:p>
    <w:p w14:paraId="0668BDE9" w14:textId="77777777" w:rsidR="00D07D91" w:rsidRDefault="00D07D91" w:rsidP="004F1310">
      <w:pPr>
        <w:jc w:val="both"/>
        <w:rPr>
          <w:color w:val="000000" w:themeColor="text1"/>
        </w:rPr>
      </w:pPr>
    </w:p>
    <w:p w14:paraId="7B4A5A00" w14:textId="77777777" w:rsidR="00D07D91" w:rsidRDefault="00D07D91" w:rsidP="004F1310">
      <w:pPr>
        <w:jc w:val="both"/>
        <w:rPr>
          <w:color w:val="000000" w:themeColor="text1"/>
        </w:rPr>
      </w:pPr>
    </w:p>
    <w:p w14:paraId="6E6BA157" w14:textId="77777777" w:rsidR="00D07D91" w:rsidRDefault="00D07D91" w:rsidP="004F1310">
      <w:pPr>
        <w:jc w:val="both"/>
        <w:rPr>
          <w:color w:val="000000" w:themeColor="text1"/>
        </w:rPr>
      </w:pPr>
    </w:p>
    <w:p w14:paraId="321983A9" w14:textId="77777777" w:rsidR="00D07D91" w:rsidRDefault="00D07D91" w:rsidP="004F1310">
      <w:pPr>
        <w:jc w:val="both"/>
        <w:rPr>
          <w:color w:val="000000" w:themeColor="text1"/>
        </w:rPr>
      </w:pPr>
    </w:p>
    <w:p w14:paraId="17DCCA61" w14:textId="77777777" w:rsidR="00D07D91" w:rsidRDefault="00D07D91" w:rsidP="004F1310">
      <w:pPr>
        <w:jc w:val="both"/>
        <w:rPr>
          <w:color w:val="000000" w:themeColor="text1"/>
        </w:rPr>
      </w:pPr>
    </w:p>
    <w:p w14:paraId="0C4CB8DE" w14:textId="77777777" w:rsidR="00D07D91" w:rsidRDefault="00D07D91" w:rsidP="004F1310">
      <w:pPr>
        <w:jc w:val="both"/>
        <w:rPr>
          <w:color w:val="000000" w:themeColor="text1"/>
        </w:rPr>
      </w:pPr>
    </w:p>
    <w:p w14:paraId="765CD704" w14:textId="77777777" w:rsidR="00D07D91" w:rsidRDefault="00D07D91" w:rsidP="004F1310">
      <w:pPr>
        <w:jc w:val="both"/>
        <w:rPr>
          <w:color w:val="000000" w:themeColor="text1"/>
        </w:rPr>
      </w:pPr>
    </w:p>
    <w:p w14:paraId="62B1A166" w14:textId="77777777" w:rsidR="00D07D91" w:rsidRDefault="00D07D91" w:rsidP="004F1310">
      <w:pPr>
        <w:jc w:val="both"/>
        <w:rPr>
          <w:color w:val="000000" w:themeColor="text1"/>
        </w:rPr>
      </w:pPr>
    </w:p>
    <w:p w14:paraId="5389A3F0" w14:textId="77777777" w:rsidR="00D07D91" w:rsidRDefault="00D07D91" w:rsidP="004F1310">
      <w:pPr>
        <w:jc w:val="both"/>
        <w:rPr>
          <w:color w:val="000000" w:themeColor="text1"/>
        </w:rPr>
      </w:pPr>
    </w:p>
    <w:p w14:paraId="62631EE1" w14:textId="77777777" w:rsidR="00D07D91" w:rsidRDefault="00D07D91" w:rsidP="004F1310">
      <w:pPr>
        <w:jc w:val="both"/>
        <w:rPr>
          <w:color w:val="000000" w:themeColor="text1"/>
        </w:rPr>
      </w:pPr>
    </w:p>
    <w:p w14:paraId="0FA47EC6" w14:textId="77777777" w:rsidR="00D07D91" w:rsidRDefault="00D07D91" w:rsidP="004F1310">
      <w:pPr>
        <w:jc w:val="both"/>
        <w:rPr>
          <w:color w:val="000000" w:themeColor="text1"/>
        </w:rPr>
      </w:pPr>
    </w:p>
    <w:p w14:paraId="34A02E06" w14:textId="77777777" w:rsidR="00D07D91" w:rsidRDefault="00D07D91" w:rsidP="004F1310">
      <w:pPr>
        <w:jc w:val="both"/>
        <w:rPr>
          <w:color w:val="000000" w:themeColor="text1"/>
        </w:rPr>
      </w:pPr>
    </w:p>
    <w:p w14:paraId="00126996" w14:textId="77777777" w:rsidR="00D07D91" w:rsidRDefault="00D07D91" w:rsidP="004F1310">
      <w:pPr>
        <w:jc w:val="both"/>
        <w:rPr>
          <w:color w:val="000000" w:themeColor="text1"/>
        </w:rPr>
      </w:pPr>
    </w:p>
    <w:p w14:paraId="5D6944F4" w14:textId="77777777" w:rsidR="00D07D91" w:rsidRDefault="00D07D91" w:rsidP="004F1310">
      <w:pPr>
        <w:jc w:val="both"/>
        <w:rPr>
          <w:color w:val="000000" w:themeColor="text1"/>
        </w:rPr>
      </w:pPr>
    </w:p>
    <w:p w14:paraId="2A873DF4" w14:textId="77777777" w:rsidR="00D07D91" w:rsidRDefault="00D07D91" w:rsidP="004F1310">
      <w:pPr>
        <w:jc w:val="both"/>
        <w:rPr>
          <w:color w:val="000000" w:themeColor="text1"/>
        </w:rPr>
      </w:pPr>
    </w:p>
    <w:p w14:paraId="21607DAD" w14:textId="77777777" w:rsidR="00D07D91" w:rsidRDefault="00D07D91" w:rsidP="004F1310">
      <w:pPr>
        <w:jc w:val="both"/>
        <w:rPr>
          <w:color w:val="000000" w:themeColor="text1"/>
        </w:rPr>
      </w:pPr>
      <w:r>
        <w:rPr>
          <w:color w:val="000000" w:themeColor="text1"/>
        </w:rPr>
        <w:t>(Council of youth work, no date)</w:t>
      </w:r>
    </w:p>
    <w:p w14:paraId="0DC22CFE" w14:textId="77777777" w:rsidR="00D07D91" w:rsidRDefault="00D07D91" w:rsidP="004F1310">
      <w:pPr>
        <w:jc w:val="both"/>
        <w:rPr>
          <w:color w:val="000000" w:themeColor="text1"/>
        </w:rPr>
      </w:pPr>
    </w:p>
    <w:p w14:paraId="6D44C943" w14:textId="77777777" w:rsidR="00D07D91" w:rsidRDefault="00D07D91" w:rsidP="004F1310">
      <w:pPr>
        <w:jc w:val="both"/>
        <w:rPr>
          <w:color w:val="000000" w:themeColor="text1"/>
        </w:rPr>
      </w:pPr>
    </w:p>
    <w:p w14:paraId="02EA0A00" w14:textId="77777777" w:rsidR="00D07D91" w:rsidRDefault="00D07D91" w:rsidP="004F1310">
      <w:pPr>
        <w:jc w:val="both"/>
        <w:rPr>
          <w:color w:val="000000" w:themeColor="text1"/>
        </w:rPr>
      </w:pPr>
    </w:p>
    <w:p w14:paraId="678E62D0" w14:textId="77777777" w:rsidR="00D07D91" w:rsidRDefault="00D07D91" w:rsidP="004F1310">
      <w:pPr>
        <w:jc w:val="both"/>
        <w:rPr>
          <w:color w:val="000000" w:themeColor="text1"/>
        </w:rPr>
      </w:pPr>
    </w:p>
    <w:p w14:paraId="5C71A3F9" w14:textId="77777777" w:rsidR="00D07D91" w:rsidRDefault="00D07D91" w:rsidP="004F1310">
      <w:pPr>
        <w:jc w:val="both"/>
        <w:rPr>
          <w:color w:val="000000" w:themeColor="text1"/>
        </w:rPr>
      </w:pPr>
    </w:p>
    <w:p w14:paraId="0EAC7335" w14:textId="77777777" w:rsidR="00D07D91" w:rsidRDefault="00D07D91" w:rsidP="004F1310">
      <w:pPr>
        <w:jc w:val="both"/>
        <w:rPr>
          <w:color w:val="000000" w:themeColor="text1"/>
        </w:rPr>
      </w:pPr>
    </w:p>
    <w:p w14:paraId="08CC7360" w14:textId="77777777" w:rsidR="00D07D91" w:rsidRDefault="00D07D91" w:rsidP="004F1310">
      <w:pPr>
        <w:jc w:val="both"/>
        <w:rPr>
          <w:color w:val="000000" w:themeColor="text1"/>
        </w:rPr>
      </w:pPr>
    </w:p>
    <w:p w14:paraId="2672E96B" w14:textId="77777777" w:rsidR="00D07D91" w:rsidRDefault="00D07D91" w:rsidP="004F1310">
      <w:pPr>
        <w:jc w:val="both"/>
        <w:rPr>
          <w:color w:val="000000" w:themeColor="text1"/>
        </w:rPr>
      </w:pPr>
    </w:p>
    <w:p w14:paraId="2171628C" w14:textId="77777777" w:rsidR="00D07D91" w:rsidRDefault="00D07D91" w:rsidP="004F1310">
      <w:pPr>
        <w:jc w:val="both"/>
        <w:rPr>
          <w:color w:val="000000" w:themeColor="text1"/>
        </w:rPr>
      </w:pPr>
    </w:p>
    <w:p w14:paraId="15DE62F0" w14:textId="77777777" w:rsidR="00D07D91" w:rsidRDefault="00D07D91" w:rsidP="004F1310">
      <w:pPr>
        <w:jc w:val="both"/>
        <w:rPr>
          <w:color w:val="000000" w:themeColor="text1"/>
        </w:rPr>
      </w:pPr>
    </w:p>
    <w:p w14:paraId="0F864F02" w14:textId="77777777" w:rsidR="00D07D91" w:rsidRDefault="00D07D91" w:rsidP="004F1310">
      <w:pPr>
        <w:jc w:val="both"/>
        <w:rPr>
          <w:color w:val="000000" w:themeColor="text1"/>
        </w:rPr>
      </w:pPr>
    </w:p>
    <w:p w14:paraId="2E91AD96" w14:textId="77777777" w:rsidR="00D07D91" w:rsidRPr="00A83C1F" w:rsidRDefault="00D07D91" w:rsidP="004F1310">
      <w:pPr>
        <w:jc w:val="both"/>
        <w:rPr>
          <w:b/>
          <w:bCs/>
          <w:color w:val="000000" w:themeColor="text1"/>
          <w:sz w:val="28"/>
          <w:szCs w:val="28"/>
        </w:rPr>
      </w:pPr>
      <w:r w:rsidRPr="00A83C1F">
        <w:rPr>
          <w:b/>
          <w:bCs/>
          <w:color w:val="000000" w:themeColor="text1"/>
          <w:sz w:val="28"/>
          <w:szCs w:val="28"/>
        </w:rPr>
        <w:lastRenderedPageBreak/>
        <w:t>Reference list</w:t>
      </w:r>
    </w:p>
    <w:p w14:paraId="25BD0D44" w14:textId="77777777" w:rsidR="00D07D91" w:rsidRPr="00296C48" w:rsidRDefault="00D07D91" w:rsidP="004F1310">
      <w:pPr>
        <w:spacing w:before="100" w:beforeAutospacing="1" w:after="100" w:afterAutospacing="1" w:line="240" w:lineRule="auto"/>
        <w:rPr>
          <w:rFonts w:cs="Times New Roman"/>
          <w:color w:val="000000" w:themeColor="text1"/>
          <w:kern w:val="0"/>
          <w:sz w:val="20"/>
          <w:szCs w:val="20"/>
          <w14:ligatures w14:val="none"/>
        </w:rPr>
      </w:pPr>
      <w:proofErr w:type="spellStart"/>
      <w:r w:rsidRPr="00296C48">
        <w:rPr>
          <w:rFonts w:cs="Times New Roman"/>
          <w:color w:val="000000" w:themeColor="text1"/>
          <w:kern w:val="0"/>
          <w:sz w:val="20"/>
          <w:szCs w:val="20"/>
          <w14:ligatures w14:val="none"/>
        </w:rPr>
        <w:t>Briscombe</w:t>
      </w:r>
      <w:proofErr w:type="spellEnd"/>
      <w:r w:rsidRPr="00296C48">
        <w:rPr>
          <w:rFonts w:cs="Times New Roman"/>
          <w:color w:val="000000" w:themeColor="text1"/>
          <w:kern w:val="0"/>
          <w:sz w:val="20"/>
          <w:szCs w:val="20"/>
          <w14:ligatures w14:val="none"/>
        </w:rPr>
        <w:t>, J. and Phillips, C. (n.d.) </w:t>
      </w:r>
      <w:r>
        <w:rPr>
          <w:rFonts w:cs="Times New Roman"/>
          <w:color w:val="000000" w:themeColor="text1"/>
          <w:kern w:val="0"/>
          <w:sz w:val="20"/>
          <w:szCs w:val="20"/>
          <w14:ligatures w14:val="none"/>
        </w:rPr>
        <w:t>‘</w:t>
      </w:r>
      <w:r w:rsidRPr="00296C48">
        <w:rPr>
          <w:rFonts w:cs="Times New Roman"/>
          <w:color w:val="000000" w:themeColor="text1"/>
          <w:kern w:val="0"/>
          <w:sz w:val="20"/>
          <w:szCs w:val="20"/>
          <w14:ligatures w14:val="none"/>
        </w:rPr>
        <w:t>Good autism practice report: Case studies</w:t>
      </w:r>
      <w:r>
        <w:rPr>
          <w:rFonts w:cs="Times New Roman"/>
          <w:color w:val="000000" w:themeColor="text1"/>
          <w:kern w:val="0"/>
          <w:sz w:val="20"/>
          <w:szCs w:val="20"/>
          <w14:ligatures w14:val="none"/>
        </w:rPr>
        <w:t>’</w:t>
      </w:r>
      <w:r w:rsidRPr="00296C48">
        <w:rPr>
          <w:rFonts w:cs="Times New Roman"/>
          <w:color w:val="000000" w:themeColor="text1"/>
          <w:kern w:val="0"/>
          <w:sz w:val="20"/>
          <w:szCs w:val="20"/>
          <w14:ligatures w14:val="none"/>
        </w:rPr>
        <w:t xml:space="preserve">. </w:t>
      </w:r>
      <w:r w:rsidRPr="00296C48">
        <w:rPr>
          <w:rFonts w:cs="Times New Roman"/>
          <w:i/>
          <w:iCs/>
          <w:color w:val="000000" w:themeColor="text1"/>
          <w:kern w:val="0"/>
          <w:sz w:val="20"/>
          <w:szCs w:val="20"/>
          <w14:ligatures w14:val="none"/>
        </w:rPr>
        <w:t>Autism Education Trust</w:t>
      </w:r>
      <w:r w:rsidRPr="00296C48">
        <w:rPr>
          <w:rFonts w:cs="Times New Roman"/>
          <w:color w:val="000000" w:themeColor="text1"/>
          <w:kern w:val="0"/>
          <w:sz w:val="20"/>
          <w:szCs w:val="20"/>
          <w14:ligatures w14:val="none"/>
        </w:rPr>
        <w:t>. Available at: </w:t>
      </w:r>
      <w:hyperlink r:id="rId8" w:tgtFrame="_new" w:history="1">
        <w:r w:rsidRPr="00296C48">
          <w:rPr>
            <w:rFonts w:cs="Times New Roman"/>
            <w:color w:val="000000" w:themeColor="text1"/>
            <w:kern w:val="0"/>
            <w:sz w:val="20"/>
            <w:szCs w:val="20"/>
            <w:u w:val="single"/>
            <w14:ligatures w14:val="none"/>
          </w:rPr>
          <w:t>https://www.nen.org.uk/sites/default/files/2021-09/gap-report-case-studies_i-s.pdf</w:t>
        </w:r>
      </w:hyperlink>
      <w:r w:rsidRPr="00296C48">
        <w:rPr>
          <w:rFonts w:cs="Times New Roman"/>
          <w:color w:val="000000" w:themeColor="text1"/>
          <w:kern w:val="0"/>
          <w:sz w:val="20"/>
          <w:szCs w:val="20"/>
          <w14:ligatures w14:val="none"/>
        </w:rPr>
        <w:t> (Accessed: 18 April 2026).</w:t>
      </w:r>
    </w:p>
    <w:p w14:paraId="60B29EE7" w14:textId="77777777" w:rsidR="00D07D91" w:rsidRDefault="00D07D91" w:rsidP="004F1310">
      <w:pPr>
        <w:spacing w:before="100" w:beforeAutospacing="1" w:after="100" w:afterAutospacing="1" w:line="240" w:lineRule="auto"/>
        <w:rPr>
          <w:rFonts w:cs="Times New Roman"/>
          <w:color w:val="000000" w:themeColor="text1"/>
          <w:kern w:val="0"/>
          <w:sz w:val="20"/>
          <w:szCs w:val="20"/>
          <w14:ligatures w14:val="none"/>
        </w:rPr>
      </w:pPr>
      <w:r w:rsidRPr="00296C48">
        <w:rPr>
          <w:rFonts w:cs="Times New Roman"/>
          <w:color w:val="000000" w:themeColor="text1"/>
          <w:kern w:val="0"/>
          <w:sz w:val="20"/>
          <w:szCs w:val="20"/>
          <w14:ligatures w14:val="none"/>
        </w:rPr>
        <w:t>Cassidy, S. (2017) </w:t>
      </w:r>
      <w:r>
        <w:rPr>
          <w:rFonts w:cs="Times New Roman"/>
          <w:color w:val="000000" w:themeColor="text1"/>
          <w:kern w:val="0"/>
          <w:sz w:val="20"/>
          <w:szCs w:val="20"/>
          <w14:ligatures w14:val="none"/>
        </w:rPr>
        <w:t>‘</w:t>
      </w:r>
      <w:r w:rsidRPr="00296C48">
        <w:rPr>
          <w:rFonts w:cs="Times New Roman"/>
          <w:color w:val="000000" w:themeColor="text1"/>
          <w:kern w:val="0"/>
          <w:sz w:val="20"/>
          <w:szCs w:val="20"/>
          <w14:ligatures w14:val="none"/>
        </w:rPr>
        <w:t>Understanding suicide in autism</w:t>
      </w:r>
      <w:r>
        <w:rPr>
          <w:rFonts w:cs="Times New Roman"/>
          <w:color w:val="000000" w:themeColor="text1"/>
          <w:kern w:val="0"/>
          <w:sz w:val="20"/>
          <w:szCs w:val="20"/>
          <w14:ligatures w14:val="none"/>
        </w:rPr>
        <w:t>’</w:t>
      </w:r>
      <w:r w:rsidRPr="00296C48">
        <w:rPr>
          <w:rFonts w:cs="Times New Roman"/>
          <w:color w:val="000000" w:themeColor="text1"/>
          <w:kern w:val="0"/>
          <w:sz w:val="20"/>
          <w:szCs w:val="20"/>
          <w14:ligatures w14:val="none"/>
        </w:rPr>
        <w:t xml:space="preserve">. </w:t>
      </w:r>
      <w:proofErr w:type="spellStart"/>
      <w:r w:rsidRPr="00296C48">
        <w:rPr>
          <w:rFonts w:cs="Times New Roman"/>
          <w:i/>
          <w:iCs/>
          <w:color w:val="000000" w:themeColor="text1"/>
          <w:kern w:val="0"/>
          <w:sz w:val="20"/>
          <w:szCs w:val="20"/>
          <w14:ligatures w14:val="none"/>
        </w:rPr>
        <w:t>Autistica</w:t>
      </w:r>
      <w:proofErr w:type="spellEnd"/>
      <w:r w:rsidRPr="00296C48">
        <w:rPr>
          <w:rFonts w:cs="Times New Roman"/>
          <w:color w:val="000000" w:themeColor="text1"/>
          <w:kern w:val="0"/>
          <w:sz w:val="20"/>
          <w:szCs w:val="20"/>
          <w14:ligatures w14:val="none"/>
        </w:rPr>
        <w:t>. Available at: </w:t>
      </w:r>
      <w:hyperlink r:id="rId9" w:tgtFrame="_new" w:history="1">
        <w:r w:rsidRPr="00296C48">
          <w:rPr>
            <w:rFonts w:cs="Times New Roman"/>
            <w:color w:val="000000" w:themeColor="text1"/>
            <w:kern w:val="0"/>
            <w:sz w:val="20"/>
            <w:szCs w:val="20"/>
            <w:u w:val="single"/>
            <w14:ligatures w14:val="none"/>
          </w:rPr>
          <w:t>https://www.autistica.org.uk/our-research/research-projects/understanding-suicide-in-autism</w:t>
        </w:r>
      </w:hyperlink>
      <w:r w:rsidRPr="00296C48">
        <w:rPr>
          <w:rFonts w:cs="Times New Roman"/>
          <w:color w:val="000000" w:themeColor="text1"/>
          <w:kern w:val="0"/>
          <w:sz w:val="20"/>
          <w:szCs w:val="20"/>
          <w14:ligatures w14:val="none"/>
        </w:rPr>
        <w:t> (Accessed: 17 April 2026).</w:t>
      </w:r>
    </w:p>
    <w:p w14:paraId="3F86DC69" w14:textId="77777777" w:rsidR="00D07D91" w:rsidRPr="00296C48" w:rsidRDefault="00D07D91" w:rsidP="004F1310">
      <w:pPr>
        <w:spacing w:before="100" w:beforeAutospacing="1" w:after="100" w:afterAutospacing="1" w:line="240" w:lineRule="auto"/>
        <w:rPr>
          <w:rFonts w:cs="Times New Roman"/>
          <w:color w:val="000000" w:themeColor="text1"/>
          <w:kern w:val="0"/>
          <w:sz w:val="20"/>
          <w:szCs w:val="20"/>
          <w14:ligatures w14:val="none"/>
        </w:rPr>
      </w:pPr>
      <w:r>
        <w:rPr>
          <w:rFonts w:cs="Times New Roman"/>
          <w:color w:val="000000" w:themeColor="text1"/>
          <w:kern w:val="0"/>
          <w:sz w:val="20"/>
          <w:szCs w:val="20"/>
          <w14:ligatures w14:val="none"/>
        </w:rPr>
        <w:t>Council of Europe (no date). ‘Youth work essentials’. [Image]. Available at:</w:t>
      </w:r>
      <w:r w:rsidRPr="005A142D">
        <w:rPr>
          <w:rFonts w:cs="Times New Roman"/>
          <w:color w:val="000000" w:themeColor="text1"/>
          <w:kern w:val="0"/>
          <w:sz w:val="20"/>
          <w:szCs w:val="20"/>
          <w14:ligatures w14:val="none"/>
        </w:rPr>
        <w:t xml:space="preserve"> </w:t>
      </w:r>
      <w:hyperlink r:id="rId10" w:history="1">
        <w:r w:rsidRPr="002B0ABC">
          <w:rPr>
            <w:rStyle w:val="Hyperlink"/>
            <w:rFonts w:cs="Times New Roman"/>
            <w:kern w:val="0"/>
            <w:sz w:val="20"/>
            <w:szCs w:val="20"/>
            <w14:ligatures w14:val="none"/>
          </w:rPr>
          <w:t>https://www.coe.int/en/web/youth-portfolio/youth-work-essentials</w:t>
        </w:r>
      </w:hyperlink>
      <w:r>
        <w:rPr>
          <w:rFonts w:cs="Times New Roman"/>
          <w:color w:val="000000" w:themeColor="text1"/>
          <w:kern w:val="0"/>
          <w:sz w:val="20"/>
          <w:szCs w:val="20"/>
          <w14:ligatures w14:val="none"/>
        </w:rPr>
        <w:t xml:space="preserve"> (accessed on: April 20 2026)</w:t>
      </w:r>
    </w:p>
    <w:p w14:paraId="33C26F7A" w14:textId="77777777" w:rsidR="00D07D91" w:rsidRPr="00296C48" w:rsidRDefault="00D07D91" w:rsidP="004F1310">
      <w:pPr>
        <w:spacing w:before="100" w:beforeAutospacing="1" w:after="100" w:afterAutospacing="1" w:line="240" w:lineRule="auto"/>
        <w:rPr>
          <w:rFonts w:cs="Times New Roman"/>
          <w:color w:val="000000" w:themeColor="text1"/>
          <w:kern w:val="0"/>
          <w:sz w:val="20"/>
          <w:szCs w:val="20"/>
          <w14:ligatures w14:val="none"/>
        </w:rPr>
      </w:pPr>
      <w:r w:rsidRPr="00296C48">
        <w:rPr>
          <w:rFonts w:cs="Times New Roman"/>
          <w:color w:val="000000" w:themeColor="text1"/>
          <w:kern w:val="0"/>
          <w:sz w:val="20"/>
          <w:szCs w:val="20"/>
          <w14:ligatures w14:val="none"/>
        </w:rPr>
        <w:t>Dalrymple, J. and Burke, B. (2006) </w:t>
      </w:r>
      <w:r>
        <w:rPr>
          <w:rFonts w:cs="Times New Roman"/>
          <w:color w:val="000000" w:themeColor="text1"/>
          <w:kern w:val="0"/>
          <w:sz w:val="20"/>
          <w:szCs w:val="20"/>
          <w14:ligatures w14:val="none"/>
        </w:rPr>
        <w:t>‘</w:t>
      </w:r>
      <w:r w:rsidRPr="00296C48">
        <w:rPr>
          <w:rFonts w:cs="Times New Roman"/>
          <w:color w:val="000000" w:themeColor="text1"/>
          <w:kern w:val="0"/>
          <w:sz w:val="20"/>
          <w:szCs w:val="20"/>
          <w14:ligatures w14:val="none"/>
        </w:rPr>
        <w:t>Anti-oppressive practice: Social care and the law</w:t>
      </w:r>
      <w:r>
        <w:rPr>
          <w:rFonts w:cs="Times New Roman"/>
          <w:color w:val="000000" w:themeColor="text1"/>
          <w:kern w:val="0"/>
          <w:sz w:val="20"/>
          <w:szCs w:val="20"/>
          <w14:ligatures w14:val="none"/>
        </w:rPr>
        <w:t>’</w:t>
      </w:r>
      <w:r w:rsidRPr="00296C48">
        <w:rPr>
          <w:rFonts w:cs="Times New Roman"/>
          <w:color w:val="000000" w:themeColor="text1"/>
          <w:kern w:val="0"/>
          <w:sz w:val="20"/>
          <w:szCs w:val="20"/>
          <w14:ligatures w14:val="none"/>
        </w:rPr>
        <w:t xml:space="preserve">. </w:t>
      </w:r>
      <w:r w:rsidRPr="00296C48">
        <w:rPr>
          <w:rFonts w:cs="Times New Roman"/>
          <w:i/>
          <w:iCs/>
          <w:color w:val="000000" w:themeColor="text1"/>
          <w:kern w:val="0"/>
          <w:sz w:val="20"/>
          <w:szCs w:val="20"/>
          <w14:ligatures w14:val="none"/>
        </w:rPr>
        <w:t>Milton Keynes</w:t>
      </w:r>
      <w:r w:rsidRPr="00296C48">
        <w:rPr>
          <w:rFonts w:cs="Times New Roman"/>
          <w:color w:val="000000" w:themeColor="text1"/>
          <w:kern w:val="0"/>
          <w:sz w:val="20"/>
          <w:szCs w:val="20"/>
          <w14:ligatures w14:val="none"/>
        </w:rPr>
        <w:t>: Open University Press.</w:t>
      </w:r>
    </w:p>
    <w:p w14:paraId="453B722A" w14:textId="77777777" w:rsidR="00D07D91" w:rsidRPr="00296C48" w:rsidRDefault="00D07D91" w:rsidP="004F1310">
      <w:pPr>
        <w:spacing w:before="100" w:beforeAutospacing="1" w:after="100" w:afterAutospacing="1" w:line="240" w:lineRule="auto"/>
        <w:rPr>
          <w:rFonts w:cs="Times New Roman"/>
          <w:color w:val="000000" w:themeColor="text1"/>
          <w:kern w:val="0"/>
          <w:sz w:val="20"/>
          <w:szCs w:val="20"/>
          <w14:ligatures w14:val="none"/>
        </w:rPr>
      </w:pPr>
      <w:r w:rsidRPr="00296C48">
        <w:rPr>
          <w:rFonts w:cs="Times New Roman"/>
          <w:color w:val="000000" w:themeColor="text1"/>
          <w:kern w:val="0"/>
          <w:sz w:val="20"/>
          <w:szCs w:val="20"/>
          <w14:ligatures w14:val="none"/>
        </w:rPr>
        <w:t>Legislation.gov.uk (1989) </w:t>
      </w:r>
      <w:r>
        <w:rPr>
          <w:rFonts w:cs="Times New Roman"/>
          <w:color w:val="000000" w:themeColor="text1"/>
          <w:kern w:val="0"/>
          <w:sz w:val="20"/>
          <w:szCs w:val="20"/>
          <w14:ligatures w14:val="none"/>
        </w:rPr>
        <w:t>‘</w:t>
      </w:r>
      <w:r w:rsidRPr="00296C48">
        <w:rPr>
          <w:rFonts w:cs="Times New Roman"/>
          <w:i/>
          <w:iCs/>
          <w:color w:val="000000" w:themeColor="text1"/>
          <w:kern w:val="0"/>
          <w:sz w:val="20"/>
          <w:szCs w:val="20"/>
          <w14:ligatures w14:val="none"/>
        </w:rPr>
        <w:t>Children Act 1989’</w:t>
      </w:r>
      <w:r w:rsidRPr="00296C48">
        <w:rPr>
          <w:rFonts w:cs="Times New Roman"/>
          <w:color w:val="000000" w:themeColor="text1"/>
          <w:kern w:val="0"/>
          <w:sz w:val="20"/>
          <w:szCs w:val="20"/>
          <w14:ligatures w14:val="none"/>
        </w:rPr>
        <w:t>. Available at: </w:t>
      </w:r>
      <w:hyperlink r:id="rId11" w:tgtFrame="_new" w:history="1">
        <w:r w:rsidRPr="00296C48">
          <w:rPr>
            <w:rFonts w:cs="Times New Roman"/>
            <w:color w:val="000000" w:themeColor="text1"/>
            <w:kern w:val="0"/>
            <w:sz w:val="20"/>
            <w:szCs w:val="20"/>
            <w:u w:val="single"/>
            <w14:ligatures w14:val="none"/>
          </w:rPr>
          <w:t>https://www.legislation.gov.uk/ukpga/1989/41/introduction</w:t>
        </w:r>
      </w:hyperlink>
      <w:r w:rsidRPr="00296C48">
        <w:rPr>
          <w:rFonts w:cs="Times New Roman"/>
          <w:color w:val="000000" w:themeColor="text1"/>
          <w:kern w:val="0"/>
          <w:sz w:val="20"/>
          <w:szCs w:val="20"/>
          <w14:ligatures w14:val="none"/>
        </w:rPr>
        <w:t>(Accessed: 12 April 2026).</w:t>
      </w:r>
    </w:p>
    <w:p w14:paraId="14977CBE" w14:textId="77777777" w:rsidR="00D07D91" w:rsidRPr="00296C48" w:rsidRDefault="00D07D91" w:rsidP="004F1310">
      <w:pPr>
        <w:spacing w:before="100" w:beforeAutospacing="1" w:after="100" w:afterAutospacing="1" w:line="240" w:lineRule="auto"/>
        <w:rPr>
          <w:rFonts w:cs="Times New Roman"/>
          <w:color w:val="000000" w:themeColor="text1"/>
          <w:kern w:val="0"/>
          <w:sz w:val="20"/>
          <w:szCs w:val="20"/>
          <w14:ligatures w14:val="none"/>
        </w:rPr>
      </w:pPr>
      <w:r w:rsidRPr="00296C48">
        <w:rPr>
          <w:rFonts w:cs="Times New Roman"/>
          <w:color w:val="000000" w:themeColor="text1"/>
          <w:kern w:val="0"/>
          <w:sz w:val="20"/>
          <w:szCs w:val="20"/>
          <w14:ligatures w14:val="none"/>
        </w:rPr>
        <w:t>Legislation.gov.uk (2010) </w:t>
      </w:r>
      <w:r>
        <w:rPr>
          <w:rFonts w:cs="Times New Roman"/>
          <w:color w:val="000000" w:themeColor="text1"/>
          <w:kern w:val="0"/>
          <w:sz w:val="20"/>
          <w:szCs w:val="20"/>
          <w14:ligatures w14:val="none"/>
        </w:rPr>
        <w:t>‘</w:t>
      </w:r>
      <w:r w:rsidRPr="00296C48">
        <w:rPr>
          <w:rFonts w:cs="Times New Roman"/>
          <w:i/>
          <w:iCs/>
          <w:color w:val="000000" w:themeColor="text1"/>
          <w:kern w:val="0"/>
          <w:sz w:val="20"/>
          <w:szCs w:val="20"/>
          <w14:ligatures w14:val="none"/>
        </w:rPr>
        <w:t>Equality Act 2010</w:t>
      </w:r>
      <w:r>
        <w:rPr>
          <w:rFonts w:cs="Times New Roman"/>
          <w:i/>
          <w:iCs/>
          <w:color w:val="000000" w:themeColor="text1"/>
          <w:kern w:val="0"/>
          <w:sz w:val="20"/>
          <w:szCs w:val="20"/>
          <w14:ligatures w14:val="none"/>
        </w:rPr>
        <w:t>’</w:t>
      </w:r>
      <w:r w:rsidRPr="00296C48">
        <w:rPr>
          <w:rFonts w:cs="Times New Roman"/>
          <w:color w:val="000000" w:themeColor="text1"/>
          <w:kern w:val="0"/>
          <w:sz w:val="20"/>
          <w:szCs w:val="20"/>
          <w14:ligatures w14:val="none"/>
        </w:rPr>
        <w:t>. Available at: </w:t>
      </w:r>
      <w:hyperlink r:id="rId12" w:tgtFrame="_new" w:history="1">
        <w:r w:rsidRPr="00296C48">
          <w:rPr>
            <w:rFonts w:cs="Times New Roman"/>
            <w:color w:val="000000" w:themeColor="text1"/>
            <w:kern w:val="0"/>
            <w:sz w:val="20"/>
            <w:szCs w:val="20"/>
            <w:u w:val="single"/>
            <w14:ligatures w14:val="none"/>
          </w:rPr>
          <w:t>https://www.legislation.gov.uk/ukpga/2010/15/contents</w:t>
        </w:r>
      </w:hyperlink>
      <w:r w:rsidRPr="00296C48">
        <w:rPr>
          <w:rFonts w:cs="Times New Roman"/>
          <w:color w:val="000000" w:themeColor="text1"/>
          <w:kern w:val="0"/>
          <w:sz w:val="20"/>
          <w:szCs w:val="20"/>
          <w14:ligatures w14:val="none"/>
        </w:rPr>
        <w:t>(Accessed: 11 April 2026).</w:t>
      </w:r>
    </w:p>
    <w:p w14:paraId="12994371" w14:textId="77777777" w:rsidR="00D07D91" w:rsidRPr="00296C48" w:rsidRDefault="00D07D91" w:rsidP="004F1310">
      <w:pPr>
        <w:spacing w:before="100" w:beforeAutospacing="1" w:after="100" w:afterAutospacing="1" w:line="240" w:lineRule="auto"/>
        <w:rPr>
          <w:rFonts w:cs="Times New Roman"/>
          <w:color w:val="000000" w:themeColor="text1"/>
          <w:kern w:val="0"/>
          <w:sz w:val="20"/>
          <w:szCs w:val="20"/>
          <w14:ligatures w14:val="none"/>
        </w:rPr>
      </w:pPr>
      <w:r w:rsidRPr="00296C48">
        <w:rPr>
          <w:rFonts w:cs="Times New Roman"/>
          <w:color w:val="000000" w:themeColor="text1"/>
          <w:kern w:val="0"/>
          <w:sz w:val="20"/>
          <w:szCs w:val="20"/>
          <w14:ligatures w14:val="none"/>
        </w:rPr>
        <w:t>Legislation.gov.uk (2014) </w:t>
      </w:r>
      <w:r>
        <w:rPr>
          <w:rFonts w:cs="Times New Roman"/>
          <w:color w:val="000000" w:themeColor="text1"/>
          <w:kern w:val="0"/>
          <w:sz w:val="20"/>
          <w:szCs w:val="20"/>
          <w14:ligatures w14:val="none"/>
        </w:rPr>
        <w:t>‘</w:t>
      </w:r>
      <w:r w:rsidRPr="00296C48">
        <w:rPr>
          <w:rFonts w:cs="Times New Roman"/>
          <w:i/>
          <w:iCs/>
          <w:color w:val="000000" w:themeColor="text1"/>
          <w:kern w:val="0"/>
          <w:sz w:val="20"/>
          <w:szCs w:val="20"/>
          <w14:ligatures w14:val="none"/>
        </w:rPr>
        <w:t>Children and Families Act 2014’</w:t>
      </w:r>
      <w:r w:rsidRPr="00296C48">
        <w:rPr>
          <w:rFonts w:cs="Times New Roman"/>
          <w:color w:val="000000" w:themeColor="text1"/>
          <w:kern w:val="0"/>
          <w:sz w:val="20"/>
          <w:szCs w:val="20"/>
          <w14:ligatures w14:val="none"/>
        </w:rPr>
        <w:t>. Available at: </w:t>
      </w:r>
      <w:hyperlink r:id="rId13" w:tgtFrame="_new" w:history="1">
        <w:r w:rsidRPr="00296C48">
          <w:rPr>
            <w:rFonts w:cs="Times New Roman"/>
            <w:color w:val="000000" w:themeColor="text1"/>
            <w:kern w:val="0"/>
            <w:sz w:val="20"/>
            <w:szCs w:val="20"/>
            <w:u w:val="single"/>
            <w14:ligatures w14:val="none"/>
          </w:rPr>
          <w:t>https://www.legislation.gov.uk/ukpga/2014/6/contents</w:t>
        </w:r>
      </w:hyperlink>
      <w:r w:rsidRPr="00296C48">
        <w:rPr>
          <w:rFonts w:cs="Times New Roman"/>
          <w:color w:val="000000" w:themeColor="text1"/>
          <w:kern w:val="0"/>
          <w:sz w:val="20"/>
          <w:szCs w:val="20"/>
          <w14:ligatures w14:val="none"/>
        </w:rPr>
        <w:t> (Accessed: 13 April 2026).</w:t>
      </w:r>
    </w:p>
    <w:p w14:paraId="1CBD054B" w14:textId="77777777" w:rsidR="00D07D91" w:rsidRPr="00296C48" w:rsidRDefault="00D07D91" w:rsidP="004F1310">
      <w:pPr>
        <w:spacing w:before="100" w:beforeAutospacing="1" w:after="100" w:afterAutospacing="1" w:line="240" w:lineRule="auto"/>
        <w:rPr>
          <w:rFonts w:cs="Times New Roman"/>
          <w:color w:val="000000" w:themeColor="text1"/>
          <w:kern w:val="0"/>
          <w:sz w:val="20"/>
          <w:szCs w:val="20"/>
          <w14:ligatures w14:val="none"/>
        </w:rPr>
      </w:pPr>
      <w:r w:rsidRPr="00296C48">
        <w:rPr>
          <w:rFonts w:cs="Times New Roman"/>
          <w:color w:val="000000" w:themeColor="text1"/>
          <w:kern w:val="0"/>
          <w:sz w:val="20"/>
          <w:szCs w:val="20"/>
          <w14:ligatures w14:val="none"/>
        </w:rPr>
        <w:t>National Autistic Society (n.d.) </w:t>
      </w:r>
      <w:r>
        <w:rPr>
          <w:rFonts w:cs="Times New Roman"/>
          <w:color w:val="000000" w:themeColor="text1"/>
          <w:kern w:val="0"/>
          <w:sz w:val="20"/>
          <w:szCs w:val="20"/>
          <w14:ligatures w14:val="none"/>
        </w:rPr>
        <w:t>‘</w:t>
      </w:r>
      <w:r w:rsidRPr="00296C48">
        <w:rPr>
          <w:rFonts w:cs="Times New Roman"/>
          <w:i/>
          <w:iCs/>
          <w:color w:val="000000" w:themeColor="text1"/>
          <w:kern w:val="0"/>
          <w:sz w:val="20"/>
          <w:szCs w:val="20"/>
          <w14:ligatures w14:val="none"/>
        </w:rPr>
        <w:t>Masking’</w:t>
      </w:r>
      <w:r w:rsidRPr="00296C48">
        <w:rPr>
          <w:rFonts w:cs="Times New Roman"/>
          <w:color w:val="000000" w:themeColor="text1"/>
          <w:kern w:val="0"/>
          <w:sz w:val="20"/>
          <w:szCs w:val="20"/>
          <w14:ligatures w14:val="none"/>
        </w:rPr>
        <w:t>. Available at: </w:t>
      </w:r>
      <w:hyperlink r:id="rId14" w:tgtFrame="_new" w:history="1">
        <w:r w:rsidRPr="00296C48">
          <w:rPr>
            <w:rFonts w:cs="Times New Roman"/>
            <w:color w:val="000000" w:themeColor="text1"/>
            <w:kern w:val="0"/>
            <w:sz w:val="20"/>
            <w:szCs w:val="20"/>
            <w:u w:val="single"/>
            <w14:ligatures w14:val="none"/>
          </w:rPr>
          <w:t>https://www.autism.org.uk/advice-and-guidance/behaviour/masking</w:t>
        </w:r>
      </w:hyperlink>
      <w:r w:rsidRPr="00296C48">
        <w:rPr>
          <w:rFonts w:cs="Times New Roman"/>
          <w:color w:val="000000" w:themeColor="text1"/>
          <w:kern w:val="0"/>
          <w:sz w:val="20"/>
          <w:szCs w:val="20"/>
          <w14:ligatures w14:val="none"/>
        </w:rPr>
        <w:t> (Accessed: 8 April 2026).</w:t>
      </w:r>
    </w:p>
    <w:p w14:paraId="1A80CD6A" w14:textId="77777777" w:rsidR="00D07D91" w:rsidRPr="00296C48" w:rsidRDefault="00D07D91" w:rsidP="004F1310">
      <w:pPr>
        <w:spacing w:before="100" w:beforeAutospacing="1" w:after="100" w:afterAutospacing="1" w:line="240" w:lineRule="auto"/>
        <w:rPr>
          <w:rFonts w:cs="Times New Roman"/>
          <w:color w:val="000000" w:themeColor="text1"/>
          <w:kern w:val="0"/>
          <w:sz w:val="20"/>
          <w:szCs w:val="20"/>
          <w14:ligatures w14:val="none"/>
        </w:rPr>
      </w:pPr>
      <w:r w:rsidRPr="00296C48">
        <w:rPr>
          <w:rFonts w:cs="Times New Roman"/>
          <w:color w:val="000000" w:themeColor="text1"/>
          <w:kern w:val="0"/>
          <w:sz w:val="20"/>
          <w:szCs w:val="20"/>
          <w14:ligatures w14:val="none"/>
        </w:rPr>
        <w:t>National Autistic Society (n.d.) </w:t>
      </w:r>
      <w:r>
        <w:rPr>
          <w:rFonts w:cs="Times New Roman"/>
          <w:color w:val="000000" w:themeColor="text1"/>
          <w:kern w:val="0"/>
          <w:sz w:val="20"/>
          <w:szCs w:val="20"/>
          <w14:ligatures w14:val="none"/>
        </w:rPr>
        <w:t>‘</w:t>
      </w:r>
      <w:r w:rsidRPr="00296C48">
        <w:rPr>
          <w:rFonts w:cs="Times New Roman"/>
          <w:i/>
          <w:iCs/>
          <w:color w:val="000000" w:themeColor="text1"/>
          <w:kern w:val="0"/>
          <w:sz w:val="20"/>
          <w:szCs w:val="20"/>
          <w14:ligatures w14:val="none"/>
        </w:rPr>
        <w:t>What is autism</w:t>
      </w:r>
      <w:r w:rsidRPr="00296C48">
        <w:rPr>
          <w:rFonts w:cs="Times New Roman"/>
          <w:color w:val="000000" w:themeColor="text1"/>
          <w:kern w:val="0"/>
          <w:sz w:val="20"/>
          <w:szCs w:val="20"/>
          <w14:ligatures w14:val="none"/>
        </w:rPr>
        <w:t>?</w:t>
      </w:r>
      <w:r>
        <w:rPr>
          <w:rFonts w:cs="Times New Roman"/>
          <w:color w:val="000000" w:themeColor="text1"/>
          <w:kern w:val="0"/>
          <w:sz w:val="20"/>
          <w:szCs w:val="20"/>
          <w14:ligatures w14:val="none"/>
        </w:rPr>
        <w:t>’</w:t>
      </w:r>
      <w:r w:rsidRPr="00296C48">
        <w:rPr>
          <w:rFonts w:cs="Times New Roman"/>
          <w:color w:val="000000" w:themeColor="text1"/>
          <w:kern w:val="0"/>
          <w:sz w:val="20"/>
          <w:szCs w:val="20"/>
          <w14:ligatures w14:val="none"/>
        </w:rPr>
        <w:t>. Available at: </w:t>
      </w:r>
      <w:hyperlink r:id="rId15" w:tgtFrame="_new" w:history="1">
        <w:r w:rsidRPr="00296C48">
          <w:rPr>
            <w:rFonts w:cs="Times New Roman"/>
            <w:color w:val="000000" w:themeColor="text1"/>
            <w:kern w:val="0"/>
            <w:sz w:val="20"/>
            <w:szCs w:val="20"/>
            <w:u w:val="single"/>
            <w14:ligatures w14:val="none"/>
          </w:rPr>
          <w:t>https://www.autism.org.uk/advice-and-guidance/what-is-autism</w:t>
        </w:r>
      </w:hyperlink>
      <w:r w:rsidRPr="00296C48">
        <w:rPr>
          <w:rFonts w:cs="Times New Roman"/>
          <w:color w:val="000000" w:themeColor="text1"/>
          <w:kern w:val="0"/>
          <w:sz w:val="20"/>
          <w:szCs w:val="20"/>
          <w14:ligatures w14:val="none"/>
        </w:rPr>
        <w:t> (Accessed: 7 April 2026).</w:t>
      </w:r>
    </w:p>
    <w:p w14:paraId="5A5513B4" w14:textId="77777777" w:rsidR="00D07D91" w:rsidRPr="00296C48" w:rsidRDefault="00D07D91" w:rsidP="004F1310">
      <w:pPr>
        <w:spacing w:before="100" w:beforeAutospacing="1" w:after="100" w:afterAutospacing="1" w:line="240" w:lineRule="auto"/>
        <w:rPr>
          <w:rFonts w:cs="Times New Roman"/>
          <w:color w:val="000000" w:themeColor="text1"/>
          <w:kern w:val="0"/>
          <w:sz w:val="20"/>
          <w:szCs w:val="20"/>
          <w14:ligatures w14:val="none"/>
        </w:rPr>
      </w:pPr>
      <w:r w:rsidRPr="00296C48">
        <w:rPr>
          <w:rFonts w:cs="Times New Roman"/>
          <w:color w:val="000000" w:themeColor="text1"/>
          <w:kern w:val="0"/>
          <w:sz w:val="20"/>
          <w:szCs w:val="20"/>
          <w14:ligatures w14:val="none"/>
        </w:rPr>
        <w:t>Oliver, M. (1990) </w:t>
      </w:r>
      <w:r>
        <w:rPr>
          <w:rFonts w:cs="Times New Roman"/>
          <w:color w:val="000000" w:themeColor="text1"/>
          <w:kern w:val="0"/>
          <w:sz w:val="20"/>
          <w:szCs w:val="20"/>
          <w14:ligatures w14:val="none"/>
        </w:rPr>
        <w:t>‘</w:t>
      </w:r>
      <w:r w:rsidRPr="00296C48">
        <w:rPr>
          <w:rFonts w:cs="Times New Roman"/>
          <w:color w:val="000000" w:themeColor="text1"/>
          <w:kern w:val="0"/>
          <w:sz w:val="20"/>
          <w:szCs w:val="20"/>
          <w14:ligatures w14:val="none"/>
        </w:rPr>
        <w:t>The politics of disablement</w:t>
      </w:r>
      <w:r>
        <w:rPr>
          <w:rFonts w:cs="Times New Roman"/>
          <w:color w:val="000000" w:themeColor="text1"/>
          <w:kern w:val="0"/>
          <w:sz w:val="20"/>
          <w:szCs w:val="20"/>
          <w14:ligatures w14:val="none"/>
        </w:rPr>
        <w:t>’</w:t>
      </w:r>
      <w:r w:rsidRPr="00296C48">
        <w:rPr>
          <w:rFonts w:cs="Times New Roman"/>
          <w:color w:val="000000" w:themeColor="text1"/>
          <w:kern w:val="0"/>
          <w:sz w:val="20"/>
          <w:szCs w:val="20"/>
          <w14:ligatures w14:val="none"/>
        </w:rPr>
        <w:t>. London: Macmillan.</w:t>
      </w:r>
    </w:p>
    <w:p w14:paraId="0CE1C313" w14:textId="77777777" w:rsidR="00D07D91" w:rsidRPr="00296C48" w:rsidRDefault="00D07D91" w:rsidP="004F1310">
      <w:pPr>
        <w:spacing w:before="100" w:beforeAutospacing="1" w:after="100" w:afterAutospacing="1" w:line="240" w:lineRule="auto"/>
        <w:rPr>
          <w:rFonts w:cs="Times New Roman"/>
          <w:color w:val="000000" w:themeColor="text1"/>
          <w:kern w:val="0"/>
          <w:sz w:val="20"/>
          <w:szCs w:val="20"/>
          <w14:ligatures w14:val="none"/>
        </w:rPr>
      </w:pPr>
      <w:r w:rsidRPr="00296C48">
        <w:rPr>
          <w:rFonts w:cs="Times New Roman"/>
          <w:color w:val="000000" w:themeColor="text1"/>
          <w:kern w:val="0"/>
          <w:sz w:val="20"/>
          <w:szCs w:val="20"/>
          <w14:ligatures w14:val="none"/>
        </w:rPr>
        <w:t>Third Eye Animation (2021) </w:t>
      </w:r>
      <w:r>
        <w:rPr>
          <w:rFonts w:cs="Times New Roman"/>
          <w:color w:val="000000" w:themeColor="text1"/>
          <w:kern w:val="0"/>
          <w:sz w:val="20"/>
          <w:szCs w:val="20"/>
          <w14:ligatures w14:val="none"/>
        </w:rPr>
        <w:t>‘</w:t>
      </w:r>
      <w:r w:rsidRPr="00296C48">
        <w:rPr>
          <w:rFonts w:cs="Times New Roman"/>
          <w:color w:val="000000" w:themeColor="text1"/>
          <w:kern w:val="0"/>
          <w:sz w:val="20"/>
          <w:szCs w:val="20"/>
          <w14:ligatures w14:val="none"/>
        </w:rPr>
        <w:t>Maria – autistic masking</w:t>
      </w:r>
      <w:r>
        <w:rPr>
          <w:rFonts w:cs="Times New Roman"/>
          <w:color w:val="000000" w:themeColor="text1"/>
          <w:kern w:val="0"/>
          <w:sz w:val="20"/>
          <w:szCs w:val="20"/>
          <w14:ligatures w14:val="none"/>
        </w:rPr>
        <w:t>’</w:t>
      </w:r>
      <w:r w:rsidRPr="00296C48">
        <w:rPr>
          <w:rFonts w:cs="Times New Roman"/>
          <w:color w:val="000000" w:themeColor="text1"/>
          <w:kern w:val="0"/>
          <w:sz w:val="20"/>
          <w:szCs w:val="20"/>
          <w14:ligatures w14:val="none"/>
        </w:rPr>
        <w:t xml:space="preserve">. [Video] </w:t>
      </w:r>
      <w:r w:rsidRPr="00296C48">
        <w:rPr>
          <w:rFonts w:cs="Times New Roman"/>
          <w:i/>
          <w:iCs/>
          <w:color w:val="000000" w:themeColor="text1"/>
          <w:kern w:val="0"/>
          <w:sz w:val="20"/>
          <w:szCs w:val="20"/>
          <w14:ligatures w14:val="none"/>
        </w:rPr>
        <w:t>YouTube</w:t>
      </w:r>
      <w:r w:rsidRPr="00296C48">
        <w:rPr>
          <w:rFonts w:cs="Times New Roman"/>
          <w:color w:val="000000" w:themeColor="text1"/>
          <w:kern w:val="0"/>
          <w:sz w:val="20"/>
          <w:szCs w:val="20"/>
          <w14:ligatures w14:val="none"/>
        </w:rPr>
        <w:t>. Available at: https://</w:t>
      </w:r>
      <w:proofErr w:type="spellStart"/>
      <w:r w:rsidRPr="00296C48">
        <w:rPr>
          <w:rFonts w:cs="Times New Roman"/>
          <w:color w:val="000000" w:themeColor="text1"/>
          <w:kern w:val="0"/>
          <w:sz w:val="20"/>
          <w:szCs w:val="20"/>
          <w14:ligatures w14:val="none"/>
        </w:rPr>
        <w:t>youtu.be</w:t>
      </w:r>
      <w:proofErr w:type="spellEnd"/>
      <w:r w:rsidRPr="00296C48">
        <w:rPr>
          <w:rFonts w:cs="Times New Roman"/>
          <w:color w:val="000000" w:themeColor="text1"/>
          <w:kern w:val="0"/>
          <w:sz w:val="20"/>
          <w:szCs w:val="20"/>
          <w14:ligatures w14:val="none"/>
        </w:rPr>
        <w:t>/</w:t>
      </w:r>
      <w:proofErr w:type="spellStart"/>
      <w:r w:rsidRPr="00296C48">
        <w:rPr>
          <w:rFonts w:cs="Times New Roman"/>
          <w:color w:val="000000" w:themeColor="text1"/>
          <w:kern w:val="0"/>
          <w:sz w:val="20"/>
          <w:szCs w:val="20"/>
          <w14:ligatures w14:val="none"/>
        </w:rPr>
        <w:t>iCLvsSfid-Q</w:t>
      </w:r>
      <w:proofErr w:type="spellEnd"/>
      <w:r w:rsidRPr="00296C48">
        <w:rPr>
          <w:rFonts w:cs="Times New Roman"/>
          <w:color w:val="000000" w:themeColor="text1"/>
          <w:kern w:val="0"/>
          <w:sz w:val="20"/>
          <w:szCs w:val="20"/>
          <w14:ligatures w14:val="none"/>
        </w:rPr>
        <w:t xml:space="preserve">(Accessed: </w:t>
      </w:r>
      <w:r>
        <w:rPr>
          <w:rFonts w:cs="Times New Roman"/>
          <w:color w:val="000000" w:themeColor="text1"/>
          <w:kern w:val="0"/>
          <w:sz w:val="20"/>
          <w:szCs w:val="20"/>
          <w14:ligatures w14:val="none"/>
        </w:rPr>
        <w:t>20</w:t>
      </w:r>
      <w:r w:rsidRPr="00296C48">
        <w:rPr>
          <w:rFonts w:cs="Times New Roman"/>
          <w:color w:val="000000" w:themeColor="text1"/>
          <w:kern w:val="0"/>
          <w:sz w:val="20"/>
          <w:szCs w:val="20"/>
          <w14:ligatures w14:val="none"/>
        </w:rPr>
        <w:t xml:space="preserve"> April 2026).</w:t>
      </w:r>
    </w:p>
    <w:p w14:paraId="4C056BD8" w14:textId="77777777" w:rsidR="00D07D91" w:rsidRPr="00296C48" w:rsidRDefault="00D07D91" w:rsidP="004F1310">
      <w:pPr>
        <w:spacing w:before="100" w:beforeAutospacing="1" w:after="100" w:afterAutospacing="1" w:line="240" w:lineRule="auto"/>
        <w:rPr>
          <w:rFonts w:cs="Times New Roman"/>
          <w:color w:val="000000" w:themeColor="text1"/>
          <w:kern w:val="0"/>
          <w:sz w:val="20"/>
          <w:szCs w:val="20"/>
          <w14:ligatures w14:val="none"/>
        </w:rPr>
      </w:pPr>
      <w:r w:rsidRPr="00296C48">
        <w:rPr>
          <w:rFonts w:cs="Times New Roman"/>
          <w:color w:val="000000" w:themeColor="text1"/>
          <w:kern w:val="0"/>
          <w:sz w:val="20"/>
          <w:szCs w:val="20"/>
          <w14:ligatures w14:val="none"/>
        </w:rPr>
        <w:t xml:space="preserve">Thompson, N. (2006) Anti-discriminatory practice. Basingstoke: </w:t>
      </w:r>
      <w:proofErr w:type="spellStart"/>
      <w:r w:rsidRPr="00296C48">
        <w:rPr>
          <w:rFonts w:cs="Times New Roman"/>
          <w:color w:val="000000" w:themeColor="text1"/>
          <w:kern w:val="0"/>
          <w:sz w:val="20"/>
          <w:szCs w:val="20"/>
          <w14:ligatures w14:val="none"/>
        </w:rPr>
        <w:t>Palgrave</w:t>
      </w:r>
      <w:proofErr w:type="spellEnd"/>
      <w:r w:rsidRPr="00296C48">
        <w:rPr>
          <w:rFonts w:cs="Times New Roman"/>
          <w:color w:val="000000" w:themeColor="text1"/>
          <w:kern w:val="0"/>
          <w:sz w:val="20"/>
          <w:szCs w:val="20"/>
          <w14:ligatures w14:val="none"/>
        </w:rPr>
        <w:t xml:space="preserve"> Macmillan.</w:t>
      </w:r>
    </w:p>
    <w:p w14:paraId="0707234D" w14:textId="77777777" w:rsidR="00D07D91" w:rsidRDefault="00D07D91" w:rsidP="004F1310">
      <w:pPr>
        <w:spacing w:before="100" w:beforeAutospacing="1" w:after="100" w:afterAutospacing="1" w:line="240" w:lineRule="auto"/>
        <w:rPr>
          <w:rFonts w:cs="Times New Roman"/>
          <w:color w:val="000000" w:themeColor="text1"/>
          <w:kern w:val="0"/>
          <w:sz w:val="20"/>
          <w:szCs w:val="20"/>
          <w14:ligatures w14:val="none"/>
        </w:rPr>
      </w:pPr>
      <w:r w:rsidRPr="00296C48">
        <w:rPr>
          <w:rFonts w:cs="Times New Roman"/>
          <w:color w:val="000000" w:themeColor="text1"/>
          <w:kern w:val="0"/>
          <w:sz w:val="20"/>
          <w:szCs w:val="20"/>
          <w14:ligatures w14:val="none"/>
        </w:rPr>
        <w:t>UNICEF (1989) </w:t>
      </w:r>
      <w:r>
        <w:rPr>
          <w:rFonts w:cs="Times New Roman"/>
          <w:color w:val="000000" w:themeColor="text1"/>
          <w:kern w:val="0"/>
          <w:sz w:val="20"/>
          <w:szCs w:val="20"/>
          <w14:ligatures w14:val="none"/>
        </w:rPr>
        <w:t>‘</w:t>
      </w:r>
      <w:r w:rsidRPr="00296C48">
        <w:rPr>
          <w:rFonts w:cs="Times New Roman"/>
          <w:i/>
          <w:iCs/>
          <w:color w:val="000000" w:themeColor="text1"/>
          <w:kern w:val="0"/>
          <w:sz w:val="20"/>
          <w:szCs w:val="20"/>
          <w14:ligatures w14:val="none"/>
        </w:rPr>
        <w:t>United Nations Convention on the Rights of the Child</w:t>
      </w:r>
      <w:r>
        <w:rPr>
          <w:rFonts w:cs="Times New Roman"/>
          <w:color w:val="000000" w:themeColor="text1"/>
          <w:kern w:val="0"/>
          <w:sz w:val="20"/>
          <w:szCs w:val="20"/>
          <w14:ligatures w14:val="none"/>
        </w:rPr>
        <w:t>’</w:t>
      </w:r>
      <w:r w:rsidRPr="00296C48">
        <w:rPr>
          <w:rFonts w:cs="Times New Roman"/>
          <w:color w:val="000000" w:themeColor="text1"/>
          <w:kern w:val="0"/>
          <w:sz w:val="20"/>
          <w:szCs w:val="20"/>
          <w14:ligatures w14:val="none"/>
        </w:rPr>
        <w:t>. Available at: </w:t>
      </w:r>
      <w:hyperlink r:id="rId16" w:tgtFrame="_new" w:history="1">
        <w:r w:rsidRPr="00296C48">
          <w:rPr>
            <w:rFonts w:cs="Times New Roman"/>
            <w:color w:val="000000" w:themeColor="text1"/>
            <w:kern w:val="0"/>
            <w:sz w:val="20"/>
            <w:szCs w:val="20"/>
            <w:u w:val="single"/>
            <w14:ligatures w14:val="none"/>
          </w:rPr>
          <w:t>https://www.unicef.org/child-rights-convention</w:t>
        </w:r>
      </w:hyperlink>
      <w:r w:rsidRPr="00296C48">
        <w:rPr>
          <w:rFonts w:cs="Times New Roman"/>
          <w:color w:val="000000" w:themeColor="text1"/>
          <w:kern w:val="0"/>
          <w:sz w:val="20"/>
          <w:szCs w:val="20"/>
          <w14:ligatures w14:val="none"/>
        </w:rPr>
        <w:t> (Accessed: 10 April 2026).</w:t>
      </w:r>
    </w:p>
    <w:p w14:paraId="37E1EEAE" w14:textId="77777777" w:rsidR="00D07D91" w:rsidRPr="00181783" w:rsidRDefault="00D07D91" w:rsidP="004F1310">
      <w:pPr>
        <w:pStyle w:val="Heading1"/>
        <w:spacing w:before="0" w:after="375"/>
        <w:rPr>
          <w:rFonts w:asciiTheme="minorHAnsi" w:eastAsia="Times New Roman" w:hAnsiTheme="minorHAnsi" w:cs="Arial"/>
          <w:color w:val="000000" w:themeColor="text1"/>
          <w:kern w:val="36"/>
          <w:sz w:val="20"/>
          <w:szCs w:val="20"/>
          <w14:ligatures w14:val="none"/>
        </w:rPr>
      </w:pPr>
      <w:r>
        <w:rPr>
          <w:rFonts w:cs="Times New Roman"/>
          <w:color w:val="000000" w:themeColor="text1"/>
          <w:kern w:val="0"/>
          <w:sz w:val="20"/>
          <w:szCs w:val="20"/>
          <w14:ligatures w14:val="none"/>
        </w:rPr>
        <w:t>Welsh government (2025). ‘</w:t>
      </w:r>
      <w:r w:rsidRPr="004773B6">
        <w:rPr>
          <w:rFonts w:asciiTheme="minorHAnsi" w:eastAsia="Times New Roman" w:hAnsiTheme="minorHAnsi" w:cs="Arial"/>
          <w:color w:val="000000" w:themeColor="text1"/>
          <w:kern w:val="36"/>
          <w:sz w:val="20"/>
          <w:szCs w:val="20"/>
          <w14:ligatures w14:val="none"/>
        </w:rPr>
        <w:t>Support for children and young people with Autistic Spectrum Disorder (ASD) in educational settings</w:t>
      </w:r>
      <w:r>
        <w:rPr>
          <w:rFonts w:asciiTheme="minorHAnsi" w:eastAsia="Times New Roman" w:hAnsiTheme="minorHAnsi" w:cs="Arial"/>
          <w:color w:val="000000" w:themeColor="text1"/>
          <w:kern w:val="36"/>
          <w:sz w:val="20"/>
          <w:szCs w:val="20"/>
          <w14:ligatures w14:val="none"/>
        </w:rPr>
        <w:t>’ Available at:</w:t>
      </w:r>
      <w:r w:rsidRPr="00181783">
        <w:rPr>
          <w:rFonts w:asciiTheme="minorHAnsi" w:eastAsia="Times New Roman" w:hAnsiTheme="minorHAnsi" w:cs="Arial"/>
          <w:color w:val="000000" w:themeColor="text1"/>
          <w:kern w:val="36"/>
          <w:sz w:val="20"/>
          <w:szCs w:val="20"/>
          <w14:ligatures w14:val="none"/>
        </w:rPr>
        <w:t xml:space="preserve"> </w:t>
      </w:r>
      <w:hyperlink r:id="rId17" w:history="1">
        <w:r w:rsidRPr="002B0ABC">
          <w:rPr>
            <w:rStyle w:val="Hyperlink"/>
            <w:rFonts w:asciiTheme="minorHAnsi" w:eastAsia="Times New Roman" w:hAnsiTheme="minorHAnsi" w:cs="Arial"/>
            <w:kern w:val="36"/>
            <w:sz w:val="20"/>
            <w:szCs w:val="20"/>
            <w14:ligatures w14:val="none"/>
          </w:rPr>
          <w:t>https://www.gov.wales/support-children-and-young-people-autistic-spectrum-disorder-asd-educational-settings-html</w:t>
        </w:r>
      </w:hyperlink>
      <w:r>
        <w:rPr>
          <w:rFonts w:asciiTheme="minorHAnsi" w:eastAsia="Times New Roman" w:hAnsiTheme="minorHAnsi" w:cs="Arial"/>
          <w:color w:val="000000" w:themeColor="text1"/>
          <w:kern w:val="36"/>
          <w:sz w:val="20"/>
          <w:szCs w:val="20"/>
          <w14:ligatures w14:val="none"/>
        </w:rPr>
        <w:t xml:space="preserve"> </w:t>
      </w:r>
    </w:p>
    <w:p w14:paraId="718E5B68" w14:textId="77777777" w:rsidR="00D07D91" w:rsidRPr="00296C48" w:rsidRDefault="00D07D91" w:rsidP="004F1310">
      <w:pPr>
        <w:spacing w:before="100" w:beforeAutospacing="1" w:after="100" w:afterAutospacing="1" w:line="240" w:lineRule="auto"/>
        <w:rPr>
          <w:rFonts w:cs="Times New Roman"/>
          <w:color w:val="000000" w:themeColor="text1"/>
          <w:kern w:val="0"/>
          <w:sz w:val="20"/>
          <w:szCs w:val="20"/>
          <w14:ligatures w14:val="none"/>
        </w:rPr>
      </w:pPr>
      <w:r w:rsidRPr="00296C48">
        <w:rPr>
          <w:rFonts w:cs="Times New Roman"/>
          <w:color w:val="000000" w:themeColor="text1"/>
          <w:kern w:val="0"/>
          <w:sz w:val="20"/>
          <w:szCs w:val="20"/>
          <w14:ligatures w14:val="none"/>
        </w:rPr>
        <w:t>Worthington Solicitors (n.d.) </w:t>
      </w:r>
      <w:r>
        <w:rPr>
          <w:rFonts w:cs="Times New Roman"/>
          <w:color w:val="000000" w:themeColor="text1"/>
          <w:kern w:val="0"/>
          <w:sz w:val="20"/>
          <w:szCs w:val="20"/>
          <w14:ligatures w14:val="none"/>
        </w:rPr>
        <w:t>‘</w:t>
      </w:r>
      <w:r w:rsidRPr="00296C48">
        <w:rPr>
          <w:rFonts w:cs="Times New Roman"/>
          <w:i/>
          <w:iCs/>
          <w:color w:val="000000" w:themeColor="text1"/>
          <w:kern w:val="0"/>
          <w:sz w:val="20"/>
          <w:szCs w:val="20"/>
          <w14:ligatures w14:val="none"/>
        </w:rPr>
        <w:t>Primary school unlawfully discriminates against young school girl as a result of her disability (ASD)</w:t>
      </w:r>
      <w:r>
        <w:rPr>
          <w:rFonts w:cs="Times New Roman"/>
          <w:color w:val="000000" w:themeColor="text1"/>
          <w:kern w:val="0"/>
          <w:sz w:val="20"/>
          <w:szCs w:val="20"/>
          <w14:ligatures w14:val="none"/>
        </w:rPr>
        <w:t>’</w:t>
      </w:r>
      <w:r w:rsidRPr="00296C48">
        <w:rPr>
          <w:rFonts w:cs="Times New Roman"/>
          <w:color w:val="000000" w:themeColor="text1"/>
          <w:kern w:val="0"/>
          <w:sz w:val="20"/>
          <w:szCs w:val="20"/>
          <w14:ligatures w14:val="none"/>
        </w:rPr>
        <w:t>. Available at: </w:t>
      </w:r>
      <w:hyperlink r:id="rId18" w:tgtFrame="_new" w:history="1">
        <w:r w:rsidRPr="00296C48">
          <w:rPr>
            <w:rFonts w:cs="Times New Roman"/>
            <w:color w:val="000000" w:themeColor="text1"/>
            <w:kern w:val="0"/>
            <w:sz w:val="20"/>
            <w:szCs w:val="20"/>
            <w:u w:val="single"/>
            <w14:ligatures w14:val="none"/>
          </w:rPr>
          <w:t>https://www.worthingtonslaw.co.uk/primary-school-unlawfully-discriminates-against-young-school-girl-as-a-result-of-her-disability-asd/</w:t>
        </w:r>
      </w:hyperlink>
      <w:r w:rsidRPr="00296C48">
        <w:rPr>
          <w:rFonts w:cs="Times New Roman"/>
          <w:color w:val="000000" w:themeColor="text1"/>
          <w:kern w:val="0"/>
          <w:sz w:val="20"/>
          <w:szCs w:val="20"/>
          <w14:ligatures w14:val="none"/>
        </w:rPr>
        <w:t> (Accessed: 19 April 2026).</w:t>
      </w:r>
    </w:p>
    <w:p w14:paraId="6AA9E2C7" w14:textId="1211BB22" w:rsidR="00D07D91" w:rsidRPr="00D07D91" w:rsidRDefault="00D07D91" w:rsidP="00D07D91">
      <w:pPr>
        <w:spacing w:before="100" w:beforeAutospacing="1" w:after="100" w:afterAutospacing="1" w:line="240" w:lineRule="auto"/>
        <w:rPr>
          <w:rFonts w:cs="Times New Roman"/>
          <w:color w:val="000000" w:themeColor="text1"/>
          <w:kern w:val="0"/>
          <w:sz w:val="20"/>
          <w:szCs w:val="20"/>
          <w14:ligatures w14:val="none"/>
        </w:rPr>
      </w:pPr>
      <w:r w:rsidRPr="00296C48">
        <w:rPr>
          <w:rFonts w:cs="Times New Roman"/>
          <w:color w:val="000000" w:themeColor="text1"/>
          <w:kern w:val="0"/>
          <w:sz w:val="20"/>
          <w:szCs w:val="20"/>
          <w14:ligatures w14:val="none"/>
        </w:rPr>
        <w:t>Youth Work in Wales Review Group (2022) </w:t>
      </w:r>
      <w:r>
        <w:rPr>
          <w:rFonts w:cs="Times New Roman"/>
          <w:color w:val="000000" w:themeColor="text1"/>
          <w:kern w:val="0"/>
          <w:sz w:val="20"/>
          <w:szCs w:val="20"/>
          <w14:ligatures w14:val="none"/>
        </w:rPr>
        <w:t>‘</w:t>
      </w:r>
      <w:r w:rsidRPr="00296C48">
        <w:rPr>
          <w:rFonts w:cs="Times New Roman"/>
          <w:color w:val="000000" w:themeColor="text1"/>
          <w:kern w:val="0"/>
          <w:sz w:val="20"/>
          <w:szCs w:val="20"/>
          <w14:ligatures w14:val="none"/>
        </w:rPr>
        <w:t>Youth work in Wales: Principles and purposes</w:t>
      </w:r>
      <w:r>
        <w:rPr>
          <w:rFonts w:cs="Times New Roman"/>
          <w:color w:val="000000" w:themeColor="text1"/>
          <w:kern w:val="0"/>
          <w:sz w:val="20"/>
          <w:szCs w:val="20"/>
          <w14:ligatures w14:val="none"/>
        </w:rPr>
        <w:t>’</w:t>
      </w:r>
      <w:r w:rsidRPr="00296C48">
        <w:rPr>
          <w:rFonts w:cs="Times New Roman"/>
          <w:color w:val="000000" w:themeColor="text1"/>
          <w:kern w:val="0"/>
          <w:sz w:val="20"/>
          <w:szCs w:val="20"/>
          <w14:ligatures w14:val="none"/>
        </w:rPr>
        <w:t xml:space="preserve">. </w:t>
      </w:r>
      <w:r w:rsidRPr="00296C48">
        <w:rPr>
          <w:rFonts w:cs="Times New Roman"/>
          <w:i/>
          <w:iCs/>
          <w:color w:val="000000" w:themeColor="text1"/>
          <w:kern w:val="0"/>
          <w:sz w:val="20"/>
          <w:szCs w:val="20"/>
          <w14:ligatures w14:val="none"/>
        </w:rPr>
        <w:t>Cardiff: Youth Work in Wales Review Group.</w:t>
      </w:r>
      <w:r w:rsidRPr="00296C48">
        <w:rPr>
          <w:rFonts w:cs="Times New Roman"/>
          <w:color w:val="000000" w:themeColor="text1"/>
          <w:kern w:val="0"/>
          <w:sz w:val="20"/>
          <w:szCs w:val="20"/>
          <w14:ligatures w14:val="none"/>
        </w:rPr>
        <w:t xml:space="preserve"> Available at: </w:t>
      </w:r>
      <w:hyperlink r:id="rId19" w:tgtFrame="_new" w:history="1">
        <w:r w:rsidRPr="00296C48">
          <w:rPr>
            <w:rFonts w:cs="Times New Roman"/>
            <w:color w:val="000000" w:themeColor="text1"/>
            <w:kern w:val="0"/>
            <w:sz w:val="20"/>
            <w:szCs w:val="20"/>
            <w:u w:val="single"/>
            <w14:ligatures w14:val="none"/>
          </w:rPr>
          <w:t>https://www.cwvys.org.uk/wp-content/uploads/2022/10/YOUTH-WORK-IN-WALES-2022-ENGLISH.pdf</w:t>
        </w:r>
      </w:hyperlink>
      <w:r w:rsidRPr="00296C48">
        <w:rPr>
          <w:rFonts w:cs="Times New Roman"/>
          <w:color w:val="000000" w:themeColor="text1"/>
          <w:kern w:val="0"/>
          <w:sz w:val="20"/>
          <w:szCs w:val="20"/>
          <w14:ligatures w14:val="none"/>
        </w:rPr>
        <w:t> (Accessed: 14 April 2026)</w:t>
      </w:r>
    </w:p>
    <w:sectPr w:rsidR="00D07D91" w:rsidRPr="00D07D91" w:rsidSect="00D07D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D91"/>
    <w:rsid w:val="002B5D86"/>
    <w:rsid w:val="00441EDF"/>
    <w:rsid w:val="00573226"/>
    <w:rsid w:val="00D07D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DE86A7"/>
  <w15:chartTrackingRefBased/>
  <w15:docId w15:val="{72693A30-D0BB-7140-BA8E-519B90523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7D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7D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7D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7D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7D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7D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7D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7D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7D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7D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7D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7D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7D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7D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7D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7D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7D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7D91"/>
    <w:rPr>
      <w:rFonts w:eastAsiaTheme="majorEastAsia" w:cstheme="majorBidi"/>
      <w:color w:val="272727" w:themeColor="text1" w:themeTint="D8"/>
    </w:rPr>
  </w:style>
  <w:style w:type="paragraph" w:styleId="Title">
    <w:name w:val="Title"/>
    <w:basedOn w:val="Normal"/>
    <w:next w:val="Normal"/>
    <w:link w:val="TitleChar"/>
    <w:uiPriority w:val="10"/>
    <w:qFormat/>
    <w:rsid w:val="00D07D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7D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7D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7D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7D91"/>
    <w:pPr>
      <w:spacing w:before="160"/>
      <w:jc w:val="center"/>
    </w:pPr>
    <w:rPr>
      <w:i/>
      <w:iCs/>
      <w:color w:val="404040" w:themeColor="text1" w:themeTint="BF"/>
    </w:rPr>
  </w:style>
  <w:style w:type="character" w:customStyle="1" w:styleId="QuoteChar">
    <w:name w:val="Quote Char"/>
    <w:basedOn w:val="DefaultParagraphFont"/>
    <w:link w:val="Quote"/>
    <w:uiPriority w:val="29"/>
    <w:rsid w:val="00D07D91"/>
    <w:rPr>
      <w:i/>
      <w:iCs/>
      <w:color w:val="404040" w:themeColor="text1" w:themeTint="BF"/>
    </w:rPr>
  </w:style>
  <w:style w:type="paragraph" w:styleId="ListParagraph">
    <w:name w:val="List Paragraph"/>
    <w:basedOn w:val="Normal"/>
    <w:uiPriority w:val="34"/>
    <w:qFormat/>
    <w:rsid w:val="00D07D91"/>
    <w:pPr>
      <w:ind w:left="720"/>
      <w:contextualSpacing/>
    </w:pPr>
  </w:style>
  <w:style w:type="character" w:styleId="IntenseEmphasis">
    <w:name w:val="Intense Emphasis"/>
    <w:basedOn w:val="DefaultParagraphFont"/>
    <w:uiPriority w:val="21"/>
    <w:qFormat/>
    <w:rsid w:val="00D07D91"/>
    <w:rPr>
      <w:i/>
      <w:iCs/>
      <w:color w:val="0F4761" w:themeColor="accent1" w:themeShade="BF"/>
    </w:rPr>
  </w:style>
  <w:style w:type="paragraph" w:styleId="IntenseQuote">
    <w:name w:val="Intense Quote"/>
    <w:basedOn w:val="Normal"/>
    <w:next w:val="Normal"/>
    <w:link w:val="IntenseQuoteChar"/>
    <w:uiPriority w:val="30"/>
    <w:qFormat/>
    <w:rsid w:val="00D07D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7D91"/>
    <w:rPr>
      <w:i/>
      <w:iCs/>
      <w:color w:val="0F4761" w:themeColor="accent1" w:themeShade="BF"/>
    </w:rPr>
  </w:style>
  <w:style w:type="character" w:styleId="IntenseReference">
    <w:name w:val="Intense Reference"/>
    <w:basedOn w:val="DefaultParagraphFont"/>
    <w:uiPriority w:val="32"/>
    <w:qFormat/>
    <w:rsid w:val="00D07D91"/>
    <w:rPr>
      <w:b/>
      <w:bCs/>
      <w:smallCaps/>
      <w:color w:val="0F4761" w:themeColor="accent1" w:themeShade="BF"/>
      <w:spacing w:val="5"/>
    </w:rPr>
  </w:style>
  <w:style w:type="paragraph" w:styleId="NormalWeb">
    <w:name w:val="Normal (Web)"/>
    <w:basedOn w:val="Normal"/>
    <w:uiPriority w:val="99"/>
    <w:unhideWhenUsed/>
    <w:rsid w:val="00D07D91"/>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D07D91"/>
  </w:style>
  <w:style w:type="character" w:styleId="Hyperlink">
    <w:name w:val="Hyperlink"/>
    <w:basedOn w:val="DefaultParagraphFont"/>
    <w:uiPriority w:val="99"/>
    <w:unhideWhenUsed/>
    <w:rsid w:val="00D07D91"/>
    <w:rPr>
      <w:color w:val="0000FF"/>
      <w:u w:val="single"/>
    </w:rPr>
  </w:style>
  <w:style w:type="paragraph" w:customStyle="1" w:styleId="p1">
    <w:name w:val="p1"/>
    <w:basedOn w:val="Normal"/>
    <w:rsid w:val="00D07D91"/>
    <w:pPr>
      <w:spacing w:after="0" w:line="240" w:lineRule="auto"/>
    </w:pPr>
    <w:rPr>
      <w:rFonts w:ascii=".AppleSystemUIFont" w:hAnsi=".AppleSystemUIFont" w:cs="Times New Roman"/>
      <w:kern w:val="0"/>
      <w:sz w:val="27"/>
      <w:szCs w:val="27"/>
      <w14:ligatures w14:val="none"/>
    </w:rPr>
  </w:style>
  <w:style w:type="paragraph" w:customStyle="1" w:styleId="p2">
    <w:name w:val="p2"/>
    <w:basedOn w:val="Normal"/>
    <w:rsid w:val="00D07D91"/>
    <w:pPr>
      <w:spacing w:after="0" w:line="240" w:lineRule="auto"/>
    </w:pPr>
    <w:rPr>
      <w:rFonts w:ascii=".AppleSystemUIFont" w:hAnsi=".AppleSystemUIFont" w:cs="Times New Roman"/>
      <w:kern w:val="0"/>
      <w:sz w:val="27"/>
      <w:szCs w:val="27"/>
      <w14:ligatures w14:val="none"/>
    </w:rPr>
  </w:style>
  <w:style w:type="character" w:customStyle="1" w:styleId="s1">
    <w:name w:val="s1"/>
    <w:basedOn w:val="DefaultParagraphFont"/>
    <w:rsid w:val="00D07D91"/>
    <w:rPr>
      <w:rFonts w:ascii="UICTFontTextStyleBody" w:hAnsi="UICTFontTextStyleBody" w:hint="default"/>
      <w:b w:val="0"/>
      <w:bCs w:val="0"/>
      <w:i w:val="0"/>
      <w:iCs w:val="0"/>
      <w:sz w:val="28"/>
      <w:szCs w:val="28"/>
    </w:rPr>
  </w:style>
  <w:style w:type="character" w:customStyle="1" w:styleId="s2">
    <w:name w:val="s2"/>
    <w:basedOn w:val="DefaultParagraphFont"/>
    <w:rsid w:val="00D07D91"/>
    <w:rPr>
      <w:rFonts w:ascii="UICTFontTextStyleEmphasizedBody" w:hAnsi="UICTFontTextStyleEmphasizedBody" w:hint="default"/>
      <w:b/>
      <w:bCs/>
      <w:i w:val="0"/>
      <w:iCs w:val="0"/>
      <w:sz w:val="28"/>
      <w:szCs w:val="28"/>
    </w:rPr>
  </w:style>
  <w:style w:type="character" w:styleId="Emphasis">
    <w:name w:val="Emphasis"/>
    <w:basedOn w:val="DefaultParagraphFont"/>
    <w:uiPriority w:val="20"/>
    <w:qFormat/>
    <w:rsid w:val="00D07D91"/>
    <w:rPr>
      <w:i/>
      <w:iCs/>
    </w:rPr>
  </w:style>
  <w:style w:type="character" w:styleId="Strong">
    <w:name w:val="Strong"/>
    <w:basedOn w:val="DefaultParagraphFont"/>
    <w:uiPriority w:val="22"/>
    <w:qFormat/>
    <w:rsid w:val="00D07D9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n.org.uk/sites/default/files/2021-09/gap-report-case-studies_i-s.pdf" TargetMode="External"/><Relationship Id="rId13" Type="http://schemas.openxmlformats.org/officeDocument/2006/relationships/hyperlink" Target="https://www.legislation.gov.uk/ukpga/2014/6/contents" TargetMode="External"/><Relationship Id="rId18" Type="http://schemas.openxmlformats.org/officeDocument/2006/relationships/hyperlink" Target="https://www.worthingtonslaw.co.uk/primary-school-unlawfully-discriminates-against-young-school-girl-as-a-result-of-her-disability-asd/"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hyperlink" Target="https://www.legislation.gov.uk/ukpga/2010/15/contents" TargetMode="External"/><Relationship Id="rId17" Type="http://schemas.openxmlformats.org/officeDocument/2006/relationships/hyperlink" Target="https://www.gov.wales/support-children-and-young-people-autistic-spectrum-disorder-asd-educational-settings-html" TargetMode="External"/><Relationship Id="rId2" Type="http://schemas.openxmlformats.org/officeDocument/2006/relationships/settings" Target="settings.xml"/><Relationship Id="rId16" Type="http://schemas.openxmlformats.org/officeDocument/2006/relationships/hyperlink" Target="https://www.unicef.org/child-rights-convention"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hyperlink" Target="https://www.legislation.gov.uk/ukpga/1989/41/introduction" TargetMode="External"/><Relationship Id="rId5" Type="http://schemas.openxmlformats.org/officeDocument/2006/relationships/image" Target="media/image1.jpeg"/><Relationship Id="rId15" Type="http://schemas.openxmlformats.org/officeDocument/2006/relationships/hyperlink" Target="https://www.autism.org.uk/advice-and-guidance/what-is-autism" TargetMode="External"/><Relationship Id="rId10" Type="http://schemas.openxmlformats.org/officeDocument/2006/relationships/hyperlink" Target="https://www.coe.int/en/web/youth-portfolio/youth-work-essentials" TargetMode="External"/><Relationship Id="rId19" Type="http://schemas.openxmlformats.org/officeDocument/2006/relationships/hyperlink" Target="https://www.cwvys.org.uk/wp-content/uploads/2022/10/YOUTH-WORK-IN-WALES-2022-ENGLISH.pdf" TargetMode="External"/><Relationship Id="rId4" Type="http://schemas.openxmlformats.org/officeDocument/2006/relationships/hyperlink" Target="https://youtu.be/iCLvsSfid-Q?si=r6VN-Pi4beZBx3Hv" TargetMode="External"/><Relationship Id="rId9" Type="http://schemas.openxmlformats.org/officeDocument/2006/relationships/hyperlink" Target="https://www.autistica.org.uk/our-research/research-projects/understanding-suicide-in-autism?utm_source=chatgpt.com" TargetMode="External"/><Relationship Id="rId14" Type="http://schemas.openxmlformats.org/officeDocument/2006/relationships/hyperlink" Target="https://www.autism.org.uk/advice-and-guidance/behaviour/mas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4508</Words>
  <Characters>25702</Characters>
  <Application>Microsoft Office Word</Application>
  <DocSecurity>0</DocSecurity>
  <Lines>214</Lines>
  <Paragraphs>60</Paragraphs>
  <ScaleCrop>false</ScaleCrop>
  <Company/>
  <LinksUpToDate>false</LinksUpToDate>
  <CharactersWithSpaces>30150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Thomas (2502324)</dc:creator>
  <cp:keywords/>
  <dc:description/>
  <cp:lastModifiedBy>Jessica Thomas (2502324)</cp:lastModifiedBy>
  <cp:revision>2</cp:revision>
  <dcterms:created xsi:type="dcterms:W3CDTF">2026-04-22T19:13:00Z</dcterms:created>
  <dcterms:modified xsi:type="dcterms:W3CDTF">2026-04-22T19:13:00Z</dcterms:modified>
</cp:coreProperties>
</file>