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5A85C0" w14:textId="77777777" w:rsidR="007E380C" w:rsidRPr="006B6311" w:rsidRDefault="007E380C" w:rsidP="002142F7">
      <w:pPr>
        <w:spacing w:line="480" w:lineRule="auto"/>
        <w:ind w:firstLine="720"/>
        <w:rPr>
          <w:rFonts w:asciiTheme="majorHAnsi" w:hAnsiTheme="majorHAnsi" w:cstheme="majorHAnsi"/>
          <w:b/>
          <w:sz w:val="24"/>
          <w:szCs w:val="24"/>
          <w:lang w:val="en-GB"/>
        </w:rPr>
      </w:pPr>
      <w:bookmarkStart w:id="0" w:name="_Hlk213191746"/>
      <w:bookmarkEnd w:id="0"/>
      <w:r w:rsidRPr="006B6311">
        <w:rPr>
          <w:rFonts w:asciiTheme="majorHAnsi" w:hAnsiTheme="majorHAnsi" w:cstheme="majorHAnsi"/>
          <w:b/>
          <w:sz w:val="24"/>
          <w:szCs w:val="24"/>
          <w:lang w:val="en-GB"/>
        </w:rPr>
        <w:t>AI Acknowledgement Statement</w:t>
      </w:r>
    </w:p>
    <w:p w14:paraId="2DCA183A" w14:textId="1EFEE332" w:rsidR="007E380C" w:rsidRPr="006B6311" w:rsidRDefault="007E380C" w:rsidP="008C3545">
      <w:pPr>
        <w:spacing w:line="480" w:lineRule="auto"/>
        <w:ind w:firstLine="720"/>
        <w:jc w:val="both"/>
        <w:rPr>
          <w:rFonts w:asciiTheme="majorHAnsi" w:hAnsiTheme="majorHAnsi" w:cstheme="majorHAnsi"/>
          <w:bCs/>
          <w:sz w:val="24"/>
          <w:szCs w:val="24"/>
          <w:lang w:val="en-GB"/>
        </w:rPr>
      </w:pPr>
      <w:r w:rsidRPr="006B6311">
        <w:rPr>
          <w:rFonts w:asciiTheme="majorHAnsi" w:hAnsiTheme="majorHAnsi" w:cstheme="majorHAnsi"/>
          <w:bCs/>
          <w:sz w:val="24"/>
          <w:szCs w:val="24"/>
          <w:lang w:val="en-GB"/>
        </w:rPr>
        <w:t xml:space="preserve">I confirm that I used ChatGPT (https://chatgpt.com/) to support my </w:t>
      </w:r>
      <w:r w:rsidRPr="006B6311">
        <w:rPr>
          <w:rFonts w:asciiTheme="majorHAnsi" w:hAnsiTheme="majorHAnsi" w:cstheme="majorHAnsi"/>
          <w:bCs/>
          <w:sz w:val="24"/>
          <w:szCs w:val="24"/>
          <w:lang w:val="en-GB"/>
        </w:rPr>
        <w:t>Essay</w:t>
      </w:r>
      <w:r w:rsidRPr="006B6311">
        <w:rPr>
          <w:rFonts w:asciiTheme="majorHAnsi" w:hAnsiTheme="majorHAnsi" w:cstheme="majorHAnsi"/>
          <w:bCs/>
          <w:sz w:val="24"/>
          <w:szCs w:val="24"/>
          <w:lang w:val="en-GB"/>
        </w:rPr>
        <w:t>. This tool helped me structure my work, find relevant academic sources, and check the accuracy and clarity of my language. It also assisted me with translations, as I sometimes wrote in my native language, and with answering questions when I needed help understanding academic instructions or terminology. ChatGPT was used solely as a learning support tool — all final decisions regarding writing, analysis, and editing were made by me.</w:t>
      </w:r>
    </w:p>
    <w:p w14:paraId="02A6B6FD" w14:textId="77777777" w:rsidR="007E380C" w:rsidRPr="006B6311" w:rsidRDefault="007E380C" w:rsidP="008C3545">
      <w:pPr>
        <w:spacing w:line="480" w:lineRule="auto"/>
        <w:ind w:firstLine="720"/>
        <w:jc w:val="both"/>
        <w:rPr>
          <w:rFonts w:asciiTheme="majorHAnsi" w:hAnsiTheme="majorHAnsi" w:cstheme="majorHAnsi"/>
          <w:bCs/>
          <w:sz w:val="24"/>
          <w:szCs w:val="24"/>
          <w:lang w:val="en-GB"/>
        </w:rPr>
      </w:pPr>
      <w:r w:rsidRPr="006B6311">
        <w:rPr>
          <w:rFonts w:asciiTheme="majorHAnsi" w:hAnsiTheme="majorHAnsi" w:cstheme="majorHAnsi"/>
          <w:bCs/>
          <w:sz w:val="24"/>
          <w:szCs w:val="24"/>
          <w:lang w:val="en-GB"/>
        </w:rPr>
        <w:t>I confirm that I have not submitted any AI-generated text as my own work. I confirm that I have kept copies of all drafts, notes, and documents created before and after using AI tools and can provide them as evidence upon request.</w:t>
      </w:r>
    </w:p>
    <w:p w14:paraId="60121B67"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19AF7E43"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107A8D06"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0F74DBD9"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7D9E3ADE"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1263AC76"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52B9BE75"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50DF91B7"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305DFAD5"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7EEF8829"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433BDB8C"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5E0D1F60"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1CDFA5B5" w14:textId="77777777" w:rsidR="00195726" w:rsidRPr="006B6311" w:rsidRDefault="00195726" w:rsidP="00337954">
      <w:pPr>
        <w:spacing w:line="480" w:lineRule="auto"/>
        <w:jc w:val="both"/>
        <w:rPr>
          <w:rFonts w:asciiTheme="majorHAnsi" w:hAnsiTheme="majorHAnsi" w:cstheme="majorHAnsi"/>
          <w:bCs/>
          <w:sz w:val="24"/>
          <w:szCs w:val="24"/>
          <w:lang w:val="en-GB"/>
        </w:rPr>
      </w:pPr>
    </w:p>
    <w:p w14:paraId="45E6F5FE" w14:textId="77777777" w:rsidR="00195726" w:rsidRPr="006B6311" w:rsidRDefault="00195726" w:rsidP="008C3545">
      <w:pPr>
        <w:spacing w:line="480" w:lineRule="auto"/>
        <w:ind w:firstLine="720"/>
        <w:jc w:val="both"/>
        <w:rPr>
          <w:rFonts w:asciiTheme="majorHAnsi" w:hAnsiTheme="majorHAnsi" w:cstheme="majorHAnsi"/>
          <w:bCs/>
          <w:sz w:val="24"/>
          <w:szCs w:val="24"/>
          <w:lang w:val="en-GB"/>
        </w:rPr>
      </w:pPr>
    </w:p>
    <w:p w14:paraId="19167BB1" w14:textId="77777777" w:rsidR="00113D3B" w:rsidRDefault="00337954" w:rsidP="00113D3B">
      <w:pPr>
        <w:spacing w:line="480" w:lineRule="auto"/>
        <w:ind w:firstLine="720"/>
        <w:jc w:val="both"/>
        <w:rPr>
          <w:rFonts w:asciiTheme="majorHAnsi" w:hAnsiTheme="majorHAnsi" w:cstheme="majorHAnsi"/>
          <w:b/>
          <w:bCs/>
          <w:sz w:val="24"/>
          <w:szCs w:val="24"/>
          <w:lang w:val="en-GB"/>
        </w:rPr>
      </w:pPr>
      <w:r>
        <w:rPr>
          <w:rFonts w:asciiTheme="majorHAnsi" w:hAnsiTheme="majorHAnsi" w:cstheme="majorHAnsi"/>
          <w:b/>
          <w:bCs/>
          <w:sz w:val="24"/>
          <w:szCs w:val="24"/>
          <w:lang w:val="en-GB"/>
        </w:rPr>
        <w:lastRenderedPageBreak/>
        <w:t>Melan</w:t>
      </w:r>
      <w:r w:rsidR="00113D3B">
        <w:rPr>
          <w:rFonts w:asciiTheme="majorHAnsi" w:hAnsiTheme="majorHAnsi" w:cstheme="majorHAnsi"/>
          <w:b/>
          <w:bCs/>
          <w:sz w:val="24"/>
          <w:szCs w:val="24"/>
          <w:lang w:val="en-GB"/>
        </w:rPr>
        <w:t>c</w:t>
      </w:r>
      <w:r>
        <w:rPr>
          <w:rFonts w:asciiTheme="majorHAnsi" w:hAnsiTheme="majorHAnsi" w:cstheme="majorHAnsi"/>
          <w:b/>
          <w:bCs/>
          <w:sz w:val="24"/>
          <w:szCs w:val="24"/>
          <w:lang w:val="en-GB"/>
        </w:rPr>
        <w:t>holia:</w:t>
      </w:r>
      <w:r w:rsidR="00154A03">
        <w:rPr>
          <w:rFonts w:asciiTheme="majorHAnsi" w:hAnsiTheme="majorHAnsi" w:cstheme="majorHAnsi"/>
          <w:b/>
          <w:bCs/>
          <w:sz w:val="24"/>
          <w:szCs w:val="24"/>
          <w:lang w:val="en-GB"/>
        </w:rPr>
        <w:t xml:space="preserve"> H</w:t>
      </w:r>
      <w:r w:rsidR="00240D72" w:rsidRPr="00240D72">
        <w:rPr>
          <w:rFonts w:asciiTheme="majorHAnsi" w:hAnsiTheme="majorHAnsi" w:cstheme="majorHAnsi"/>
          <w:b/>
          <w:bCs/>
          <w:sz w:val="24"/>
          <w:szCs w:val="24"/>
          <w:lang w:val="en-GB"/>
        </w:rPr>
        <w:t xml:space="preserve">istorical </w:t>
      </w:r>
      <w:r w:rsidR="00154A03">
        <w:rPr>
          <w:rFonts w:asciiTheme="majorHAnsi" w:hAnsiTheme="majorHAnsi" w:cstheme="majorHAnsi"/>
          <w:b/>
          <w:bCs/>
          <w:sz w:val="24"/>
          <w:szCs w:val="24"/>
          <w:lang w:val="en-GB"/>
        </w:rPr>
        <w:t>D</w:t>
      </w:r>
      <w:r w:rsidR="00240D72" w:rsidRPr="00240D72">
        <w:rPr>
          <w:rFonts w:asciiTheme="majorHAnsi" w:hAnsiTheme="majorHAnsi" w:cstheme="majorHAnsi"/>
          <w:b/>
          <w:bCs/>
          <w:sz w:val="24"/>
          <w:szCs w:val="24"/>
          <w:lang w:val="en-GB"/>
        </w:rPr>
        <w:t xml:space="preserve">evelopment and </w:t>
      </w:r>
      <w:r w:rsidR="00BB5BEA">
        <w:rPr>
          <w:rFonts w:asciiTheme="majorHAnsi" w:hAnsiTheme="majorHAnsi" w:cstheme="majorHAnsi"/>
          <w:b/>
          <w:bCs/>
          <w:sz w:val="24"/>
          <w:szCs w:val="24"/>
          <w:lang w:val="en-GB"/>
        </w:rPr>
        <w:t>Changing A</w:t>
      </w:r>
      <w:r w:rsidR="00240D72" w:rsidRPr="00240D72">
        <w:rPr>
          <w:rFonts w:asciiTheme="majorHAnsi" w:hAnsiTheme="majorHAnsi" w:cstheme="majorHAnsi"/>
          <w:b/>
          <w:bCs/>
          <w:sz w:val="24"/>
          <w:szCs w:val="24"/>
          <w:lang w:val="en-GB"/>
        </w:rPr>
        <w:t xml:space="preserve">pproaches to </w:t>
      </w:r>
      <w:r w:rsidR="00BB5BEA">
        <w:rPr>
          <w:rFonts w:asciiTheme="majorHAnsi" w:hAnsiTheme="majorHAnsi" w:cstheme="majorHAnsi"/>
          <w:b/>
          <w:bCs/>
          <w:sz w:val="24"/>
          <w:szCs w:val="24"/>
          <w:lang w:val="en-GB"/>
        </w:rPr>
        <w:t>T</w:t>
      </w:r>
      <w:r w:rsidR="00240D72" w:rsidRPr="00240D72">
        <w:rPr>
          <w:rFonts w:asciiTheme="majorHAnsi" w:hAnsiTheme="majorHAnsi" w:cstheme="majorHAnsi"/>
          <w:b/>
          <w:bCs/>
          <w:sz w:val="24"/>
          <w:szCs w:val="24"/>
          <w:lang w:val="en-GB"/>
        </w:rPr>
        <w:t>reatmen</w:t>
      </w:r>
      <w:r w:rsidR="00240D72" w:rsidRPr="006B6311">
        <w:rPr>
          <w:rFonts w:asciiTheme="majorHAnsi" w:hAnsiTheme="majorHAnsi" w:cstheme="majorHAnsi"/>
          <w:b/>
          <w:bCs/>
          <w:sz w:val="24"/>
          <w:szCs w:val="24"/>
          <w:lang w:val="en-GB"/>
        </w:rPr>
        <w:t>t</w:t>
      </w:r>
    </w:p>
    <w:p w14:paraId="40FDA3C8" w14:textId="33568419" w:rsidR="00803A8F" w:rsidRPr="00113D3B" w:rsidRDefault="00A37A7F" w:rsidP="00113D3B">
      <w:pPr>
        <w:spacing w:line="480" w:lineRule="auto"/>
        <w:ind w:firstLine="720"/>
        <w:jc w:val="both"/>
        <w:rPr>
          <w:rFonts w:asciiTheme="majorHAnsi" w:hAnsiTheme="majorHAnsi" w:cstheme="majorHAnsi"/>
          <w:b/>
          <w:bCs/>
          <w:sz w:val="24"/>
          <w:szCs w:val="24"/>
          <w:lang w:val="en-GB"/>
        </w:rPr>
      </w:pPr>
      <w:r w:rsidRPr="006B6311">
        <w:rPr>
          <w:rFonts w:asciiTheme="majorHAnsi" w:hAnsiTheme="majorHAnsi" w:cstheme="majorHAnsi"/>
          <w:sz w:val="24"/>
          <w:szCs w:val="24"/>
          <w:lang w:val="en-GB"/>
        </w:rPr>
        <w:t>Throughout history, people have searched for ways to understand deep sadness, emotional heaviness and the sense of being overwhelmed — experiences that today might be described as depression. In earlier periods, however, these states were gathered under a broader and more fluid term: melancholia, a concept that carried medical, spiritual, cultural and even artistic meanings depending on the era and social worldview (Scull, 201</w:t>
      </w:r>
      <w:r w:rsidR="00FB7EC3">
        <w:rPr>
          <w:rFonts w:asciiTheme="majorHAnsi" w:hAnsiTheme="majorHAnsi" w:cstheme="majorHAnsi"/>
          <w:sz w:val="24"/>
          <w:szCs w:val="24"/>
          <w:lang w:val="en-GB"/>
        </w:rPr>
        <w:t>6</w:t>
      </w:r>
      <w:r w:rsidRPr="006B6311">
        <w:rPr>
          <w:rFonts w:asciiTheme="majorHAnsi" w:hAnsiTheme="majorHAnsi" w:cstheme="majorHAnsi"/>
          <w:sz w:val="24"/>
          <w:szCs w:val="24"/>
          <w:lang w:val="en-GB"/>
        </w:rPr>
        <w:t>). What becomes clear when looking back is how dramatically the interpretation of melancholia shifted across time. Each period explained it through its own lens: the humoral balance of antiquity, the religious morality of the Middle Ages, the aesthetic fascination of the Renaissance or the emerging scientific frameworks of the Enlightenment and early psychiatry (Tyson et al., 202</w:t>
      </w:r>
      <w:r w:rsidR="00912A03">
        <w:rPr>
          <w:rFonts w:asciiTheme="majorHAnsi" w:hAnsiTheme="majorHAnsi" w:cstheme="majorHAnsi"/>
          <w:sz w:val="24"/>
          <w:szCs w:val="24"/>
          <w:lang w:val="en-GB"/>
        </w:rPr>
        <w:t>0</w:t>
      </w:r>
      <w:r w:rsidRPr="006B6311">
        <w:rPr>
          <w:rFonts w:asciiTheme="majorHAnsi" w:hAnsiTheme="majorHAnsi" w:cstheme="majorHAnsi"/>
          <w:sz w:val="24"/>
          <w:szCs w:val="24"/>
          <w:lang w:val="en-GB"/>
        </w:rPr>
        <w:t>). As understandings changed, so too did responses and treatments. Some approaches were gentle and supportive, such as rest or exposure to nature, while others were harsh or frightening, reflecting beliefs about sin, demonic influence or bodily impurity (Midelfort, 1999). Over time, melancholia became not only a medical concern but also a cultural symbol, representing everything from creative insight to moral danger (Radden, 2000; Jackson, 1986). By tracing these historical developments, we can see how deeply concepts of mental distress are shaped by cultural belief systems and scientific progress (Berrios, 1988).</w:t>
      </w:r>
    </w:p>
    <w:p w14:paraId="40FDA3C9" w14:textId="1ACE7CAE" w:rsidR="00803A8F" w:rsidRPr="006B6311" w:rsidRDefault="00A37A7F" w:rsidP="008C3545">
      <w:pPr>
        <w:spacing w:before="240" w:after="240" w:line="480" w:lineRule="auto"/>
        <w:ind w:firstLine="720"/>
        <w:jc w:val="both"/>
        <w:rPr>
          <w:rFonts w:asciiTheme="majorHAnsi" w:hAnsiTheme="majorHAnsi" w:cstheme="majorHAnsi"/>
          <w:sz w:val="24"/>
          <w:szCs w:val="24"/>
          <w:lang w:val="en-GB"/>
        </w:rPr>
      </w:pPr>
      <w:r w:rsidRPr="006B6311">
        <w:rPr>
          <w:rFonts w:asciiTheme="majorHAnsi" w:hAnsiTheme="majorHAnsi" w:cstheme="majorHAnsi"/>
          <w:sz w:val="24"/>
          <w:szCs w:val="24"/>
          <w:lang w:val="en-GB"/>
        </w:rPr>
        <w:t>In the earliest medical traditions, melancholia was understood through humoral theory, a system that shaped approaches to illness for centuries. According to this model, the body contained four humours — black bile, yellow bile, blood and phlegm — each linked with qualities such as heat, coldness, dryness or moisture. Health depended on their balance; illness emerged from disruption (Tyson et al., 202</w:t>
      </w:r>
      <w:r w:rsidR="00912A03">
        <w:rPr>
          <w:rFonts w:asciiTheme="majorHAnsi" w:hAnsiTheme="majorHAnsi" w:cstheme="majorHAnsi"/>
          <w:sz w:val="24"/>
          <w:szCs w:val="24"/>
          <w:lang w:val="en-GB"/>
        </w:rPr>
        <w:t>0</w:t>
      </w:r>
      <w:r w:rsidRPr="006B6311">
        <w:rPr>
          <w:rFonts w:asciiTheme="majorHAnsi" w:hAnsiTheme="majorHAnsi" w:cstheme="majorHAnsi"/>
          <w:sz w:val="24"/>
          <w:szCs w:val="24"/>
          <w:lang w:val="en-GB"/>
        </w:rPr>
        <w:t xml:space="preserve">). Melancholia was specifically associated </w:t>
      </w:r>
      <w:r w:rsidRPr="006B6311">
        <w:rPr>
          <w:rFonts w:asciiTheme="majorHAnsi" w:hAnsiTheme="majorHAnsi" w:cstheme="majorHAnsi"/>
          <w:sz w:val="24"/>
          <w:szCs w:val="24"/>
          <w:lang w:val="en-GB"/>
        </w:rPr>
        <w:lastRenderedPageBreak/>
        <w:t>with an excess of black bile, which was believed to produce sadness, fearfulness, irritability and withdrawal (Scull, 201</w:t>
      </w:r>
      <w:r w:rsidR="009F0AEA">
        <w:rPr>
          <w:rFonts w:asciiTheme="majorHAnsi" w:hAnsiTheme="majorHAnsi" w:cstheme="majorHAnsi"/>
          <w:sz w:val="24"/>
          <w:szCs w:val="24"/>
          <w:lang w:val="en-GB"/>
        </w:rPr>
        <w:t>6</w:t>
      </w:r>
      <w:r w:rsidRPr="006B6311">
        <w:rPr>
          <w:rFonts w:asciiTheme="majorHAnsi" w:hAnsiTheme="majorHAnsi" w:cstheme="majorHAnsi"/>
          <w:sz w:val="24"/>
          <w:szCs w:val="24"/>
          <w:lang w:val="en-GB"/>
        </w:rPr>
        <w:t>). Importantly, emotional suffering was not viewed as separate from the body — it was considered a direct physical disturbance. Treatments therefore focused on restoring humoral balance. Physicians recommended bloodletting, purging and induced vomiting to draw out the “excess” substance believed to cause distress (Jackson, 1986). Alongside these invasive methods, lifestyle adjustments such as warm baths, movement, fresh air and diets designed to counter the cold, dry nature of black bile were encouraged (Radden, 2000). Although humoral theory is now obsolete, it represented an essential step in the medicalisation of emotional suffering. It proposed that melancholia required understanding and intervention, rather than moral judgement, and offered one of the earliest structured explanations of mental distress (Berrios, 1988).</w:t>
      </w:r>
    </w:p>
    <w:p w14:paraId="40FDA3CA" w14:textId="6AC3173F" w:rsidR="00803A8F" w:rsidRPr="006B6311" w:rsidRDefault="00A37A7F" w:rsidP="008C3545">
      <w:pPr>
        <w:spacing w:before="240" w:after="240" w:line="480" w:lineRule="auto"/>
        <w:ind w:firstLine="720"/>
        <w:jc w:val="both"/>
        <w:rPr>
          <w:rFonts w:asciiTheme="majorHAnsi" w:hAnsiTheme="majorHAnsi" w:cstheme="majorHAnsi"/>
          <w:sz w:val="24"/>
          <w:szCs w:val="24"/>
          <w:lang w:val="en-GB"/>
        </w:rPr>
      </w:pPr>
      <w:r w:rsidRPr="006B6311">
        <w:rPr>
          <w:rFonts w:asciiTheme="majorHAnsi" w:hAnsiTheme="majorHAnsi" w:cstheme="majorHAnsi"/>
          <w:sz w:val="24"/>
          <w:szCs w:val="24"/>
          <w:lang w:val="en-GB"/>
        </w:rPr>
        <w:t>During the Middle Ages, ideas about melancholia shifted away from bodily explanations and became deeply intertwined with religion, morality and social expectation. Emotional suffering was often seen as a condition of the soul rather than the body. States that today might resemble sadness, anxiety or psychological overwhelm were interpreted as signs of spiritual weakness, sin or even demonic presence (Midelfort, 1999). Melancholia was closely linked with the Christian concept of acedia — a form of spiritual despair — and this moral framing shaped both self-understanding and community responses (Scull, 201</w:t>
      </w:r>
      <w:r w:rsidR="00912A03">
        <w:rPr>
          <w:rFonts w:asciiTheme="majorHAnsi" w:hAnsiTheme="majorHAnsi" w:cstheme="majorHAnsi"/>
          <w:sz w:val="24"/>
          <w:szCs w:val="24"/>
          <w:lang w:val="en-GB"/>
        </w:rPr>
        <w:t>6</w:t>
      </w:r>
      <w:r w:rsidRPr="006B6311">
        <w:rPr>
          <w:rFonts w:asciiTheme="majorHAnsi" w:hAnsiTheme="majorHAnsi" w:cstheme="majorHAnsi"/>
          <w:sz w:val="24"/>
          <w:szCs w:val="24"/>
          <w:lang w:val="en-GB"/>
        </w:rPr>
        <w:t>). Women were particularly vulnerable to such interpretations. Historical records reveal that accusations of madness, possession or moral failing disproportionately targeted women, especially those who lived outside traditional family roles or possessed knowledge of herbal medicine and midwifery (Tyson et al., 202</w:t>
      </w:r>
      <w:r w:rsidR="00912A03">
        <w:rPr>
          <w:rFonts w:asciiTheme="majorHAnsi" w:hAnsiTheme="majorHAnsi" w:cstheme="majorHAnsi"/>
          <w:sz w:val="24"/>
          <w:szCs w:val="24"/>
          <w:lang w:val="en-GB"/>
        </w:rPr>
        <w:t>0</w:t>
      </w:r>
      <w:r w:rsidRPr="006B6311">
        <w:rPr>
          <w:rFonts w:asciiTheme="majorHAnsi" w:hAnsiTheme="majorHAnsi" w:cstheme="majorHAnsi"/>
          <w:sz w:val="24"/>
          <w:szCs w:val="24"/>
          <w:lang w:val="en-GB"/>
        </w:rPr>
        <w:t xml:space="preserve">). In times of social instability — famine, disease, conflict or religious tension — communities increasingly turned to witch-hunts to explain </w:t>
      </w:r>
      <w:r w:rsidRPr="006B6311">
        <w:rPr>
          <w:rFonts w:asciiTheme="majorHAnsi" w:hAnsiTheme="majorHAnsi" w:cstheme="majorHAnsi"/>
          <w:sz w:val="24"/>
          <w:szCs w:val="24"/>
          <w:lang w:val="en-GB"/>
        </w:rPr>
        <w:lastRenderedPageBreak/>
        <w:t>suffering, and women became the primary victims (Midelfort, 1999; Scull, 201</w:t>
      </w:r>
      <w:r w:rsidR="00912A03">
        <w:rPr>
          <w:rFonts w:asciiTheme="majorHAnsi" w:hAnsiTheme="majorHAnsi" w:cstheme="majorHAnsi"/>
          <w:sz w:val="24"/>
          <w:szCs w:val="24"/>
          <w:lang w:val="en-GB"/>
        </w:rPr>
        <w:t>6</w:t>
      </w:r>
      <w:r w:rsidRPr="006B6311">
        <w:rPr>
          <w:rFonts w:asciiTheme="majorHAnsi" w:hAnsiTheme="majorHAnsi" w:cstheme="majorHAnsi"/>
          <w:sz w:val="24"/>
          <w:szCs w:val="24"/>
          <w:lang w:val="en-GB"/>
        </w:rPr>
        <w:t>). The case of Margery Kempe illustrates how deeply these beliefs influenced interpretation. Her intense emotional experiences, uncontrollable crying and vivid spiritual visions — which today might be understood as trauma, postpartum distress or a psychotic episode — were instead interpreted as signs of spiritual instability or potential heresy (Tyson et al., 202</w:t>
      </w:r>
      <w:r w:rsidR="00912A03">
        <w:rPr>
          <w:rFonts w:asciiTheme="majorHAnsi" w:hAnsiTheme="majorHAnsi" w:cstheme="majorHAnsi"/>
          <w:sz w:val="24"/>
          <w:szCs w:val="24"/>
          <w:lang w:val="en-GB"/>
        </w:rPr>
        <w:t>0</w:t>
      </w:r>
      <w:r w:rsidRPr="006B6311">
        <w:rPr>
          <w:rFonts w:asciiTheme="majorHAnsi" w:hAnsiTheme="majorHAnsi" w:cstheme="majorHAnsi"/>
          <w:sz w:val="24"/>
          <w:szCs w:val="24"/>
          <w:lang w:val="en-GB"/>
        </w:rPr>
        <w:t>). Instead of support, she faced interrogation and punishment. Treatments at this time focused less on healing and more on moral correction: prayer, confession, discipline or exclusion. This reflected a worldview in which emotional suffering was primarily a spiritual or moral failing rather than a medical condition (Radden, 2000).</w:t>
      </w:r>
    </w:p>
    <w:p w14:paraId="40FDA3CB" w14:textId="02392D91" w:rsidR="00803A8F" w:rsidRPr="006B6311" w:rsidRDefault="00A37A7F" w:rsidP="008C3545">
      <w:pPr>
        <w:spacing w:before="240" w:after="240" w:line="480" w:lineRule="auto"/>
        <w:ind w:firstLine="720"/>
        <w:jc w:val="both"/>
        <w:rPr>
          <w:rFonts w:asciiTheme="majorHAnsi" w:hAnsiTheme="majorHAnsi" w:cstheme="majorHAnsi"/>
          <w:sz w:val="24"/>
          <w:szCs w:val="24"/>
          <w:lang w:val="en-GB"/>
        </w:rPr>
      </w:pPr>
      <w:r w:rsidRPr="006B6311">
        <w:rPr>
          <w:rFonts w:asciiTheme="majorHAnsi" w:hAnsiTheme="majorHAnsi" w:cstheme="majorHAnsi"/>
          <w:sz w:val="24"/>
          <w:szCs w:val="24"/>
          <w:lang w:val="en-GB"/>
        </w:rPr>
        <w:t>As Europe entered the Renaissance, the meaning of melancholia shifted again. Instead of being seen mainly as a spiritual danger or moral flaw, it began to acquire new cultural and aesthetic dimensions. Humanist thinkers revisited classical medical and philosophical texts, reviving the idea that melancholia could be associated with contemplation, intelligence and creativity (Scull, 201</w:t>
      </w:r>
      <w:r w:rsidR="00912A03">
        <w:rPr>
          <w:rFonts w:asciiTheme="majorHAnsi" w:hAnsiTheme="majorHAnsi" w:cstheme="majorHAnsi"/>
          <w:sz w:val="24"/>
          <w:szCs w:val="24"/>
          <w:lang w:val="en-GB"/>
        </w:rPr>
        <w:t>6</w:t>
      </w:r>
      <w:r w:rsidRPr="006B6311">
        <w:rPr>
          <w:rFonts w:asciiTheme="majorHAnsi" w:hAnsiTheme="majorHAnsi" w:cstheme="majorHAnsi"/>
          <w:sz w:val="24"/>
          <w:szCs w:val="24"/>
          <w:lang w:val="en-GB"/>
        </w:rPr>
        <w:t>). This transformation opened the door for melancholia to become linked with artistic insight and intellectual depth. For many scholars, poets and artists, a melancholic temperament was viewed almost as a mark of distinction. Introspective figures in Renaissance art, such as those depicted in symbolic engravings and poetic works, contributed to what became known as the “cult of melancholy,” a fascination with sadness as meaningful and even beautiful (Radden, 2000). Gender expectations played a powerful role in shaping these interpretations. While men expressing reflective melancholy were admired for their sensitivity or genius, women with similar emotional intensity were often cast as unstable or irrational (Tyson et al., 202</w:t>
      </w:r>
      <w:r w:rsidR="00912A03">
        <w:rPr>
          <w:rFonts w:asciiTheme="majorHAnsi" w:hAnsiTheme="majorHAnsi" w:cstheme="majorHAnsi"/>
          <w:sz w:val="24"/>
          <w:szCs w:val="24"/>
          <w:lang w:val="en-GB"/>
        </w:rPr>
        <w:t>0</w:t>
      </w:r>
      <w:r w:rsidRPr="006B6311">
        <w:rPr>
          <w:rFonts w:asciiTheme="majorHAnsi" w:hAnsiTheme="majorHAnsi" w:cstheme="majorHAnsi"/>
          <w:sz w:val="24"/>
          <w:szCs w:val="24"/>
          <w:lang w:val="en-GB"/>
        </w:rPr>
        <w:t xml:space="preserve">). Treatments also reflected this changing understanding. Rather than aggressive interventions, people were encouraged to seek rest, </w:t>
      </w:r>
      <w:r w:rsidRPr="006B6311">
        <w:rPr>
          <w:rFonts w:asciiTheme="majorHAnsi" w:hAnsiTheme="majorHAnsi" w:cstheme="majorHAnsi"/>
          <w:sz w:val="24"/>
          <w:szCs w:val="24"/>
          <w:lang w:val="en-GB"/>
        </w:rPr>
        <w:lastRenderedPageBreak/>
        <w:t>music, gentle movement, sunlight and the calming influence of nature (Jackson, 1986). These practices suggested an evolving recognition that emotional suffering could hold meaning and might be softened through supportive environments.</w:t>
      </w:r>
    </w:p>
    <w:p w14:paraId="40FDA3CC" w14:textId="1817B699" w:rsidR="00803A8F" w:rsidRPr="006B6311" w:rsidRDefault="00A37A7F" w:rsidP="008C3545">
      <w:pPr>
        <w:spacing w:before="240" w:after="240" w:line="480" w:lineRule="auto"/>
        <w:ind w:firstLine="720"/>
        <w:jc w:val="both"/>
        <w:rPr>
          <w:rFonts w:asciiTheme="majorHAnsi" w:hAnsiTheme="majorHAnsi" w:cstheme="majorHAnsi"/>
          <w:sz w:val="24"/>
          <w:szCs w:val="24"/>
          <w:lang w:val="en-GB"/>
        </w:rPr>
      </w:pPr>
      <w:r w:rsidRPr="006B6311">
        <w:rPr>
          <w:rFonts w:asciiTheme="majorHAnsi" w:hAnsiTheme="majorHAnsi" w:cstheme="majorHAnsi"/>
          <w:sz w:val="24"/>
          <w:szCs w:val="24"/>
          <w:lang w:val="en-GB"/>
        </w:rPr>
        <w:t>The Enlightenment introduced yet another transformation in thinking about melancholia. Instead of relying on spiritual or symbolic explanations, philosophers and emerging scientists began examining emotional states through reason, observation and empirical study (Scull, 201</w:t>
      </w:r>
      <w:r w:rsidR="00912A03">
        <w:rPr>
          <w:rFonts w:asciiTheme="majorHAnsi" w:hAnsiTheme="majorHAnsi" w:cstheme="majorHAnsi"/>
          <w:sz w:val="24"/>
          <w:szCs w:val="24"/>
          <w:lang w:val="en-GB"/>
        </w:rPr>
        <w:t>6</w:t>
      </w:r>
      <w:r w:rsidRPr="006B6311">
        <w:rPr>
          <w:rFonts w:asciiTheme="majorHAnsi" w:hAnsiTheme="majorHAnsi" w:cstheme="majorHAnsi"/>
          <w:sz w:val="24"/>
          <w:szCs w:val="24"/>
          <w:lang w:val="en-GB"/>
        </w:rPr>
        <w:t>). The human mind became something that could be analysed and described. With the rise of empirical methods — detailed observation, classification and documentation — melancholia increasingly came to be viewed as a natural phenomenon that could be explained through rational investigation rather than moral judgement (Jackson, 1986). Public attitudes also began to shift. Accounts from the period describe widespread recognition of despair, suicide and emotional instability as social issues requiring understanding. Literature and theatre echoed this change, portraying madness as part of the human condition rather than a supernatural force. Treatments still varied widely, but early forms of psychosocial care emerged. Physicians and caregivers promoted structured routines, calm surroundings, meaningful activity and balanced daily rhythms, reflecting growing belief that stability and rationality could help restore emotional wellbeing (Radden, 2000). These ideas laid essential foundations for the later development of psychiatry.</w:t>
      </w:r>
    </w:p>
    <w:p w14:paraId="40FDA3CD" w14:textId="7A7A4ABC" w:rsidR="00803A8F" w:rsidRPr="006B6311" w:rsidRDefault="00A37A7F" w:rsidP="008C3545">
      <w:pPr>
        <w:spacing w:before="240" w:after="240" w:line="480" w:lineRule="auto"/>
        <w:ind w:firstLine="720"/>
        <w:jc w:val="both"/>
        <w:rPr>
          <w:rFonts w:asciiTheme="majorHAnsi" w:hAnsiTheme="majorHAnsi" w:cstheme="majorHAnsi"/>
          <w:sz w:val="24"/>
          <w:szCs w:val="24"/>
          <w:lang w:val="en-GB"/>
        </w:rPr>
      </w:pPr>
      <w:r w:rsidRPr="006B6311">
        <w:rPr>
          <w:rFonts w:asciiTheme="majorHAnsi" w:hAnsiTheme="majorHAnsi" w:cstheme="majorHAnsi"/>
          <w:sz w:val="24"/>
          <w:szCs w:val="24"/>
          <w:lang w:val="en-GB"/>
        </w:rPr>
        <w:t xml:space="preserve">By the nineteenth century, melancholia entered a new era shaped by the professionalisation of medicine and the rise of psychiatry. Emil Kraepelin’s influential work categorised different forms of affective disorder and placed melancholia within a broader diagnostic framework, marking a shift from poetic or moral interpretations toward systematic clinical observation (Jackson, 1986). At the same time, psychological theories gained </w:t>
      </w:r>
      <w:r w:rsidRPr="006B6311">
        <w:rPr>
          <w:rFonts w:asciiTheme="majorHAnsi" w:hAnsiTheme="majorHAnsi" w:cstheme="majorHAnsi"/>
          <w:sz w:val="24"/>
          <w:szCs w:val="24"/>
          <w:lang w:val="en-GB"/>
        </w:rPr>
        <w:lastRenderedPageBreak/>
        <w:t>prominence. Sigmund Freud proposed that melancholia resulted from internalised grief and self-directed anger following loss — an interpretation that emphasised unconscious emotional processes and expanded understanding beyond biology (Radden, 2000). These ideas influenced how emotional suffering was discussed and treated. By the mid-twentieth century, the development of antidepressant medication and treatments such as electroconvulsive therapy provided new approaches for severe depressive states historically associated with melancholia (Berrios, 1988). Biological models grew stronger, but psychological and social explanations also contributed to a more multidimensional understanding. Today, melancholia no longer exists as a standalone diagnosis, yet many of its features remain recognised within modern concepts of major depressive disorder. Contemporary models adopt a biopsychosocial perspective, acknowledging that emotional distress arises from the interaction of biological vulnerability, psychological patterns and environmental factors (Scull, 201</w:t>
      </w:r>
      <w:r w:rsidR="00912A03">
        <w:rPr>
          <w:rFonts w:asciiTheme="majorHAnsi" w:hAnsiTheme="majorHAnsi" w:cstheme="majorHAnsi"/>
          <w:sz w:val="24"/>
          <w:szCs w:val="24"/>
          <w:lang w:val="en-GB"/>
        </w:rPr>
        <w:t>6</w:t>
      </w:r>
      <w:r w:rsidRPr="006B6311">
        <w:rPr>
          <w:rFonts w:asciiTheme="majorHAnsi" w:hAnsiTheme="majorHAnsi" w:cstheme="majorHAnsi"/>
          <w:sz w:val="24"/>
          <w:szCs w:val="24"/>
          <w:lang w:val="en-GB"/>
        </w:rPr>
        <w:t>).</w:t>
      </w:r>
    </w:p>
    <w:p w14:paraId="179F927D" w14:textId="4F419F02" w:rsidR="00A37A7F" w:rsidRPr="006B6311" w:rsidRDefault="00A37A7F" w:rsidP="00113D3B">
      <w:pPr>
        <w:spacing w:before="240" w:after="240" w:line="480" w:lineRule="auto"/>
        <w:ind w:firstLine="720"/>
        <w:jc w:val="both"/>
        <w:rPr>
          <w:rFonts w:asciiTheme="majorHAnsi" w:hAnsiTheme="majorHAnsi" w:cstheme="majorHAnsi"/>
          <w:sz w:val="24"/>
          <w:szCs w:val="24"/>
          <w:lang w:val="en-GB"/>
        </w:rPr>
      </w:pPr>
      <w:r w:rsidRPr="006B6311">
        <w:rPr>
          <w:rFonts w:asciiTheme="majorHAnsi" w:hAnsiTheme="majorHAnsi" w:cstheme="majorHAnsi"/>
          <w:sz w:val="24"/>
          <w:szCs w:val="24"/>
          <w:lang w:val="en-GB"/>
        </w:rPr>
        <w:t>Looking back across this long history, it becomes clear that melancholia has never held a single meaning. Each era interpreted it according to its own beliefs, concerns and knowledge. In antiquity, melancholia was understood as a physical imbalance; in the Middle Ages, as a spiritual or moral weakness; during the Renaissance, as a source of creative depth; in the Enlightenment, as a phenomenon open to rational study; and in the nineteenth and twentieth centuries, as part of emerging psychiatric and psychological frameworks (Scull, 201</w:t>
      </w:r>
      <w:r w:rsidR="00912A03">
        <w:rPr>
          <w:rFonts w:asciiTheme="majorHAnsi" w:hAnsiTheme="majorHAnsi" w:cstheme="majorHAnsi"/>
          <w:sz w:val="24"/>
          <w:szCs w:val="24"/>
          <w:lang w:val="en-GB"/>
        </w:rPr>
        <w:t>6</w:t>
      </w:r>
      <w:r w:rsidRPr="006B6311">
        <w:rPr>
          <w:rFonts w:asciiTheme="majorHAnsi" w:hAnsiTheme="majorHAnsi" w:cstheme="majorHAnsi"/>
          <w:sz w:val="24"/>
          <w:szCs w:val="24"/>
          <w:lang w:val="en-GB"/>
        </w:rPr>
        <w:t xml:space="preserve">; Jackson, 1986). Treatments evolved just as dramatically — from bloodletting and spiritual correction to rest, supportive environments, psychotherapy and modern medical interventions. This long journey shows that melancholia is not simply a historical concept but a reflection of how societies understand and respond to emotional suffering. As knowledge </w:t>
      </w:r>
      <w:r w:rsidRPr="006B6311">
        <w:rPr>
          <w:rFonts w:asciiTheme="majorHAnsi" w:hAnsiTheme="majorHAnsi" w:cstheme="majorHAnsi"/>
          <w:sz w:val="24"/>
          <w:szCs w:val="24"/>
          <w:lang w:val="en-GB"/>
        </w:rPr>
        <w:lastRenderedPageBreak/>
        <w:t>develops, treatments change; as cultural attitudes shift, the meaning of suffering shifts with them. Today’s biopsychosocial approach reflects the accumulated lessons of centuries, recognising that emotional distress must be understood through body, mind and environment together rather than through any single lens (Tyson et al., 202</w:t>
      </w:r>
      <w:r w:rsidR="00912A03">
        <w:rPr>
          <w:rFonts w:asciiTheme="majorHAnsi" w:hAnsiTheme="majorHAnsi" w:cstheme="majorHAnsi"/>
          <w:sz w:val="24"/>
          <w:szCs w:val="24"/>
          <w:lang w:val="en-GB"/>
        </w:rPr>
        <w:t>0</w:t>
      </w:r>
      <w:r w:rsidRPr="006B6311">
        <w:rPr>
          <w:rFonts w:asciiTheme="majorHAnsi" w:hAnsiTheme="majorHAnsi" w:cstheme="majorHAnsi"/>
          <w:sz w:val="24"/>
          <w:szCs w:val="24"/>
          <w:lang w:val="en-GB"/>
        </w:rPr>
        <w:t>). The history of melancholia highlights the importance of compassion, context and multidimensional understanding in modern mental health care, showing that while interpretations evolve, the human search for relief and meaning remains constant.</w:t>
      </w:r>
    </w:p>
    <w:p w14:paraId="561C1C32" w14:textId="2F5603FA" w:rsidR="00A37A7F" w:rsidRPr="00BA255B" w:rsidRDefault="00A37A7F" w:rsidP="00113D3B">
      <w:pPr>
        <w:spacing w:line="480" w:lineRule="auto"/>
        <w:ind w:left="720" w:firstLine="720"/>
        <w:rPr>
          <w:rFonts w:asciiTheme="majorHAnsi" w:hAnsiTheme="majorHAnsi" w:cstheme="majorHAnsi"/>
          <w:b/>
          <w:bCs/>
          <w:sz w:val="24"/>
          <w:szCs w:val="24"/>
          <w:lang w:val="en-GB"/>
        </w:rPr>
      </w:pPr>
      <w:r w:rsidRPr="00BA255B">
        <w:rPr>
          <w:rFonts w:asciiTheme="majorHAnsi" w:hAnsiTheme="majorHAnsi" w:cstheme="majorHAnsi"/>
          <w:b/>
          <w:bCs/>
          <w:sz w:val="24"/>
          <w:szCs w:val="24"/>
          <w:lang w:val="en-GB"/>
        </w:rPr>
        <w:t>References</w:t>
      </w:r>
    </w:p>
    <w:p w14:paraId="2EB9BC27" w14:textId="29DBC109" w:rsidR="00C01989" w:rsidRPr="00C01989" w:rsidRDefault="00C01989" w:rsidP="00BA255B">
      <w:pPr>
        <w:spacing w:line="480" w:lineRule="auto"/>
        <w:ind w:left="720" w:hanging="720"/>
        <w:jc w:val="both"/>
        <w:rPr>
          <w:rFonts w:asciiTheme="majorHAnsi" w:hAnsiTheme="majorHAnsi" w:cstheme="majorHAnsi"/>
          <w:sz w:val="24"/>
          <w:szCs w:val="24"/>
          <w:lang w:val="en-GB"/>
        </w:rPr>
      </w:pPr>
      <w:r w:rsidRPr="00C01989">
        <w:rPr>
          <w:rFonts w:asciiTheme="majorHAnsi" w:hAnsiTheme="majorHAnsi" w:cstheme="majorHAnsi"/>
          <w:sz w:val="24"/>
          <w:szCs w:val="24"/>
          <w:lang w:val="en-GB"/>
        </w:rPr>
        <w:t xml:space="preserve">Berrios, G. E. (1988). </w:t>
      </w:r>
      <w:r w:rsidRPr="00C01989">
        <w:rPr>
          <w:rFonts w:asciiTheme="majorHAnsi" w:hAnsiTheme="majorHAnsi" w:cstheme="majorHAnsi"/>
          <w:i/>
          <w:iCs/>
          <w:sz w:val="24"/>
          <w:szCs w:val="24"/>
          <w:lang w:val="en-GB"/>
        </w:rPr>
        <w:t>Melancholia and depression: From Hippocratic times to modern times.</w:t>
      </w:r>
      <w:r w:rsidRPr="00C01989">
        <w:rPr>
          <w:rFonts w:asciiTheme="majorHAnsi" w:hAnsiTheme="majorHAnsi" w:cstheme="majorHAnsi"/>
          <w:sz w:val="24"/>
          <w:szCs w:val="24"/>
          <w:lang w:val="en-GB"/>
        </w:rPr>
        <w:t xml:space="preserve"> Comprehensive Psychiatry, 29(4), 299–306. </w:t>
      </w:r>
      <w:hyperlink r:id="rId4" w:tgtFrame="_blank" w:history="1">
        <w:r w:rsidRPr="00C01989">
          <w:rPr>
            <w:rStyle w:val="Hyperlink"/>
            <w:rFonts w:asciiTheme="majorHAnsi" w:hAnsiTheme="majorHAnsi" w:cstheme="majorHAnsi"/>
            <w:sz w:val="24"/>
            <w:szCs w:val="24"/>
            <w:lang w:val="en-GB"/>
          </w:rPr>
          <w:t>https://doi.org/10.1016/0010-440X(88)90054-1</w:t>
        </w:r>
      </w:hyperlink>
    </w:p>
    <w:p w14:paraId="49017A20" w14:textId="4D5BCB4F" w:rsidR="00C01989" w:rsidRPr="00C01989" w:rsidRDefault="00C01989" w:rsidP="00BA255B">
      <w:pPr>
        <w:spacing w:line="480" w:lineRule="auto"/>
        <w:ind w:left="720" w:hanging="720"/>
        <w:jc w:val="both"/>
        <w:rPr>
          <w:rFonts w:asciiTheme="majorHAnsi" w:hAnsiTheme="majorHAnsi" w:cstheme="majorHAnsi"/>
          <w:sz w:val="24"/>
          <w:szCs w:val="24"/>
          <w:lang w:val="en-GB"/>
        </w:rPr>
      </w:pPr>
      <w:r w:rsidRPr="00C01989">
        <w:rPr>
          <w:rFonts w:asciiTheme="majorHAnsi" w:hAnsiTheme="majorHAnsi" w:cstheme="majorHAnsi"/>
          <w:sz w:val="24"/>
          <w:szCs w:val="24"/>
          <w:lang w:val="en-GB"/>
        </w:rPr>
        <w:t xml:space="preserve">Jackson, S. W. (1986). </w:t>
      </w:r>
      <w:r w:rsidRPr="00C01989">
        <w:rPr>
          <w:rFonts w:asciiTheme="majorHAnsi" w:hAnsiTheme="majorHAnsi" w:cstheme="majorHAnsi"/>
          <w:i/>
          <w:iCs/>
          <w:sz w:val="24"/>
          <w:szCs w:val="24"/>
          <w:lang w:val="en-GB"/>
        </w:rPr>
        <w:t xml:space="preserve">Melancholia and depression: From Hippocratic times to modern times. </w:t>
      </w:r>
      <w:r w:rsidRPr="00C01989">
        <w:rPr>
          <w:rFonts w:asciiTheme="majorHAnsi" w:hAnsiTheme="majorHAnsi" w:cstheme="majorHAnsi"/>
          <w:sz w:val="24"/>
          <w:szCs w:val="24"/>
          <w:lang w:val="en-GB"/>
        </w:rPr>
        <w:t>Yale University Press.</w:t>
      </w:r>
    </w:p>
    <w:p w14:paraId="06013E5D" w14:textId="77777777" w:rsidR="00BA255B" w:rsidRDefault="00C01989" w:rsidP="00BA255B">
      <w:pPr>
        <w:spacing w:line="480" w:lineRule="auto"/>
        <w:ind w:left="720" w:hanging="720"/>
        <w:jc w:val="both"/>
        <w:rPr>
          <w:rFonts w:asciiTheme="majorHAnsi" w:hAnsiTheme="majorHAnsi" w:cstheme="majorHAnsi"/>
          <w:sz w:val="24"/>
          <w:szCs w:val="24"/>
          <w:lang w:val="en-GB"/>
        </w:rPr>
      </w:pPr>
      <w:r w:rsidRPr="00C01989">
        <w:rPr>
          <w:rFonts w:asciiTheme="majorHAnsi" w:hAnsiTheme="majorHAnsi" w:cstheme="majorHAnsi"/>
          <w:sz w:val="24"/>
          <w:szCs w:val="24"/>
          <w:lang w:val="en-GB"/>
        </w:rPr>
        <w:t xml:space="preserve">Midelfort, H. C. E. (1999). </w:t>
      </w:r>
      <w:r w:rsidRPr="00C01989">
        <w:rPr>
          <w:rFonts w:asciiTheme="majorHAnsi" w:hAnsiTheme="majorHAnsi" w:cstheme="majorHAnsi"/>
          <w:i/>
          <w:iCs/>
          <w:sz w:val="24"/>
          <w:szCs w:val="24"/>
          <w:lang w:val="en-GB"/>
        </w:rPr>
        <w:t>A history of madness in sixteenth-century Germany.</w:t>
      </w:r>
      <w:r w:rsidRPr="00C01989">
        <w:rPr>
          <w:rFonts w:asciiTheme="majorHAnsi" w:hAnsiTheme="majorHAnsi" w:cstheme="majorHAnsi"/>
          <w:sz w:val="24"/>
          <w:szCs w:val="24"/>
          <w:lang w:val="en-GB"/>
        </w:rPr>
        <w:t xml:space="preserve"> Stanford University Press.</w:t>
      </w:r>
    </w:p>
    <w:p w14:paraId="4987ACA6" w14:textId="26EA72FF" w:rsidR="00C01989" w:rsidRPr="00C01989" w:rsidRDefault="00C01989" w:rsidP="00BA255B">
      <w:pPr>
        <w:spacing w:line="480" w:lineRule="auto"/>
        <w:ind w:left="720" w:hanging="720"/>
        <w:jc w:val="both"/>
        <w:rPr>
          <w:rFonts w:asciiTheme="majorHAnsi" w:hAnsiTheme="majorHAnsi" w:cstheme="majorHAnsi"/>
          <w:sz w:val="24"/>
          <w:szCs w:val="24"/>
          <w:lang w:val="en-GB"/>
        </w:rPr>
      </w:pPr>
      <w:r w:rsidRPr="00C01989">
        <w:rPr>
          <w:rFonts w:asciiTheme="majorHAnsi" w:hAnsiTheme="majorHAnsi" w:cstheme="majorHAnsi"/>
          <w:sz w:val="24"/>
          <w:szCs w:val="24"/>
          <w:lang w:val="en-GB"/>
        </w:rPr>
        <w:t xml:space="preserve">Radden, J. (2000). </w:t>
      </w:r>
      <w:r w:rsidRPr="00C01989">
        <w:rPr>
          <w:rFonts w:asciiTheme="majorHAnsi" w:hAnsiTheme="majorHAnsi" w:cstheme="majorHAnsi"/>
          <w:i/>
          <w:iCs/>
          <w:sz w:val="24"/>
          <w:szCs w:val="24"/>
          <w:lang w:val="en-GB"/>
        </w:rPr>
        <w:t xml:space="preserve">The nature of melancholy: From Aristotle to Kristeva. </w:t>
      </w:r>
      <w:r w:rsidRPr="00C01989">
        <w:rPr>
          <w:rFonts w:asciiTheme="majorHAnsi" w:hAnsiTheme="majorHAnsi" w:cstheme="majorHAnsi"/>
          <w:sz w:val="24"/>
          <w:szCs w:val="24"/>
          <w:lang w:val="en-GB"/>
        </w:rPr>
        <w:t>Oxford University Press.</w:t>
      </w:r>
    </w:p>
    <w:p w14:paraId="1262EB85" w14:textId="786D93A2" w:rsidR="00E9583B" w:rsidRPr="00727396" w:rsidRDefault="00C01989" w:rsidP="00BF39A9">
      <w:pPr>
        <w:spacing w:line="480" w:lineRule="auto"/>
        <w:ind w:left="720" w:hanging="720"/>
        <w:jc w:val="both"/>
        <w:rPr>
          <w:rFonts w:asciiTheme="majorHAnsi" w:hAnsiTheme="majorHAnsi" w:cstheme="majorHAnsi"/>
          <w:sz w:val="24"/>
          <w:szCs w:val="24"/>
          <w:lang w:val="en-GB"/>
        </w:rPr>
      </w:pPr>
      <w:r w:rsidRPr="00C01989">
        <w:rPr>
          <w:rFonts w:asciiTheme="majorHAnsi" w:hAnsiTheme="majorHAnsi" w:cstheme="majorHAnsi"/>
          <w:sz w:val="24"/>
          <w:szCs w:val="24"/>
          <w:lang w:val="en-GB"/>
        </w:rPr>
        <w:t>Scull, A. (2018</w:t>
      </w:r>
      <w:r w:rsidRPr="00C01989">
        <w:rPr>
          <w:rFonts w:asciiTheme="majorHAnsi" w:hAnsiTheme="majorHAnsi" w:cstheme="majorHAnsi"/>
          <w:i/>
          <w:iCs/>
          <w:sz w:val="24"/>
          <w:szCs w:val="24"/>
          <w:lang w:val="en-GB"/>
        </w:rPr>
        <w:t xml:space="preserve">). </w:t>
      </w:r>
      <w:r w:rsidR="00727396" w:rsidRPr="00727396">
        <w:rPr>
          <w:rFonts w:asciiTheme="majorHAnsi" w:hAnsiTheme="majorHAnsi" w:cstheme="majorHAnsi"/>
          <w:i/>
          <w:iCs/>
          <w:sz w:val="24"/>
          <w:szCs w:val="24"/>
          <w:lang w:val="en-GB"/>
        </w:rPr>
        <w:t xml:space="preserve">Madness in civilization: A cultural history of insanity from the Bible to Freud, from the madhouse to modern medicine </w:t>
      </w:r>
      <w:r w:rsidR="00727396" w:rsidRPr="00E67034">
        <w:rPr>
          <w:rFonts w:asciiTheme="majorHAnsi" w:hAnsiTheme="majorHAnsi" w:cstheme="majorHAnsi"/>
          <w:sz w:val="24"/>
          <w:szCs w:val="24"/>
          <w:lang w:val="en-GB"/>
        </w:rPr>
        <w:t>(Chs. 3–4).</w:t>
      </w:r>
      <w:r w:rsidR="00E67034">
        <w:rPr>
          <w:rFonts w:asciiTheme="majorHAnsi" w:hAnsiTheme="majorHAnsi" w:cstheme="majorHAnsi"/>
          <w:sz w:val="24"/>
          <w:szCs w:val="24"/>
          <w:lang w:val="en-GB"/>
        </w:rPr>
        <w:t xml:space="preserve"> </w:t>
      </w:r>
      <w:r w:rsidR="00727396" w:rsidRPr="00727396">
        <w:rPr>
          <w:rFonts w:asciiTheme="majorHAnsi" w:hAnsiTheme="majorHAnsi" w:cstheme="majorHAnsi"/>
          <w:sz w:val="24"/>
          <w:szCs w:val="24"/>
          <w:lang w:val="en-GB"/>
        </w:rPr>
        <w:t>Thames &amp; Hudson.</w:t>
      </w:r>
    </w:p>
    <w:p w14:paraId="78B1FEF1" w14:textId="4592355D" w:rsidR="00C729EC" w:rsidRPr="00C729EC" w:rsidRDefault="00C729EC" w:rsidP="00C729EC">
      <w:pPr>
        <w:spacing w:line="480" w:lineRule="auto"/>
        <w:ind w:left="720" w:hanging="720"/>
        <w:jc w:val="both"/>
        <w:rPr>
          <w:rFonts w:asciiTheme="majorHAnsi" w:hAnsiTheme="majorHAnsi" w:cstheme="majorHAnsi"/>
          <w:sz w:val="24"/>
          <w:szCs w:val="24"/>
          <w:lang w:val="en-GB"/>
        </w:rPr>
      </w:pPr>
      <w:r w:rsidRPr="00C729EC">
        <w:rPr>
          <w:rFonts w:asciiTheme="majorHAnsi" w:hAnsiTheme="majorHAnsi" w:cstheme="majorHAnsi"/>
          <w:sz w:val="24"/>
          <w:szCs w:val="24"/>
          <w:lang w:val="en-GB"/>
        </w:rPr>
        <w:t>Tyson, P., Khanam Davies, S., &amp; Torn, A. (2020).</w:t>
      </w:r>
      <w:r w:rsidR="00BF39A9">
        <w:rPr>
          <w:rFonts w:asciiTheme="majorHAnsi" w:hAnsiTheme="majorHAnsi" w:cstheme="majorHAnsi"/>
          <w:sz w:val="24"/>
          <w:szCs w:val="24"/>
          <w:lang w:val="en-GB"/>
        </w:rPr>
        <w:t xml:space="preserve"> </w:t>
      </w:r>
      <w:r w:rsidRPr="00C729EC">
        <w:rPr>
          <w:rFonts w:asciiTheme="majorHAnsi" w:hAnsiTheme="majorHAnsi" w:cstheme="majorHAnsi"/>
          <w:i/>
          <w:iCs/>
          <w:sz w:val="24"/>
          <w:szCs w:val="24"/>
          <w:lang w:val="en-GB"/>
        </w:rPr>
        <w:t>Madness: History, concepts and controversies.</w:t>
      </w:r>
      <w:r w:rsidR="007B7BE7">
        <w:rPr>
          <w:rFonts w:asciiTheme="majorHAnsi" w:hAnsiTheme="majorHAnsi" w:cstheme="majorHAnsi"/>
          <w:sz w:val="24"/>
          <w:szCs w:val="24"/>
          <w:lang w:val="en-GB"/>
        </w:rPr>
        <w:t xml:space="preserve"> </w:t>
      </w:r>
      <w:proofErr w:type="gramStart"/>
      <w:r w:rsidRPr="00C729EC">
        <w:rPr>
          <w:rFonts w:asciiTheme="majorHAnsi" w:hAnsiTheme="majorHAnsi" w:cstheme="majorHAnsi"/>
          <w:sz w:val="24"/>
          <w:szCs w:val="24"/>
          <w:lang w:val="en-GB"/>
        </w:rPr>
        <w:t>Routledge</w:t>
      </w:r>
      <w:proofErr w:type="gramEnd"/>
      <w:r w:rsidRPr="00C729EC">
        <w:rPr>
          <w:rFonts w:asciiTheme="majorHAnsi" w:hAnsiTheme="majorHAnsi" w:cstheme="majorHAnsi"/>
          <w:sz w:val="24"/>
          <w:szCs w:val="24"/>
          <w:lang w:val="en-GB"/>
        </w:rPr>
        <w:t>.</w:t>
      </w:r>
    </w:p>
    <w:p w14:paraId="41BE344A" w14:textId="77777777" w:rsidR="00905641" w:rsidRPr="006B6311" w:rsidRDefault="00905641" w:rsidP="00BA255B">
      <w:pPr>
        <w:spacing w:line="480" w:lineRule="auto"/>
        <w:ind w:left="720" w:hanging="720"/>
        <w:jc w:val="both"/>
        <w:rPr>
          <w:rFonts w:asciiTheme="majorHAnsi" w:hAnsiTheme="majorHAnsi" w:cstheme="majorHAnsi"/>
          <w:sz w:val="24"/>
          <w:szCs w:val="24"/>
          <w:lang w:val="en-GB"/>
        </w:rPr>
      </w:pPr>
    </w:p>
    <w:sectPr w:rsidR="00905641" w:rsidRPr="006B6311">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E3F25ED-49E4-4021-9314-4F5CECBA3D4C}"/>
    <w:embedBold r:id="rId2" w:fontKey="{01581F5C-58BE-4D64-AB4A-5DD21F35DF83}"/>
    <w:embedItalic r:id="rId3" w:fontKey="{180E2B41-716E-4DB0-B0B3-9A06340256BB}"/>
  </w:font>
  <w:font w:name="Cambria">
    <w:panose1 w:val="02040503050406030204"/>
    <w:charset w:val="00"/>
    <w:family w:val="roman"/>
    <w:pitch w:val="variable"/>
    <w:sig w:usb0="E00006FF" w:usb1="420024FF" w:usb2="02000000" w:usb3="00000000" w:csb0="0000019F" w:csb1="00000000"/>
    <w:embedRegular r:id="rId4" w:fontKey="{7A619131-AE07-4279-9DEE-BD4076B45C3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3A8F"/>
    <w:rsid w:val="000854F4"/>
    <w:rsid w:val="00113D3B"/>
    <w:rsid w:val="00114D78"/>
    <w:rsid w:val="00154A03"/>
    <w:rsid w:val="00195726"/>
    <w:rsid w:val="002142F7"/>
    <w:rsid w:val="00240D72"/>
    <w:rsid w:val="00320B53"/>
    <w:rsid w:val="00337954"/>
    <w:rsid w:val="00413463"/>
    <w:rsid w:val="00486C09"/>
    <w:rsid w:val="006B6311"/>
    <w:rsid w:val="00727396"/>
    <w:rsid w:val="007A4069"/>
    <w:rsid w:val="007B7BE7"/>
    <w:rsid w:val="007E380C"/>
    <w:rsid w:val="00803A8F"/>
    <w:rsid w:val="00862C6E"/>
    <w:rsid w:val="008C3545"/>
    <w:rsid w:val="00905641"/>
    <w:rsid w:val="00912A03"/>
    <w:rsid w:val="009F0AEA"/>
    <w:rsid w:val="00A37A7F"/>
    <w:rsid w:val="00B4187C"/>
    <w:rsid w:val="00BA255B"/>
    <w:rsid w:val="00BB5BEA"/>
    <w:rsid w:val="00BF39A9"/>
    <w:rsid w:val="00C01989"/>
    <w:rsid w:val="00C03D6F"/>
    <w:rsid w:val="00C729EC"/>
    <w:rsid w:val="00E67034"/>
    <w:rsid w:val="00E9583B"/>
    <w:rsid w:val="00FB7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DA3C8"/>
  <w15:docId w15:val="{60A3B39E-A950-40A5-9650-6DE16FC90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ru"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C01989"/>
    <w:rPr>
      <w:color w:val="0000FF" w:themeColor="hyperlink"/>
      <w:u w:val="single"/>
    </w:rPr>
  </w:style>
  <w:style w:type="character" w:styleId="UnresolvedMention">
    <w:name w:val="Unresolved Mention"/>
    <w:basedOn w:val="DefaultParagraphFont"/>
    <w:uiPriority w:val="99"/>
    <w:semiHidden/>
    <w:unhideWhenUsed/>
    <w:rsid w:val="00C01989"/>
    <w:rPr>
      <w:color w:val="605E5C"/>
      <w:shd w:val="clear" w:color="auto" w:fill="E1DFDD"/>
    </w:rPr>
  </w:style>
  <w:style w:type="paragraph" w:styleId="NormalWeb">
    <w:name w:val="Normal (Web)"/>
    <w:basedOn w:val="Normal"/>
    <w:uiPriority w:val="99"/>
    <w:semiHidden/>
    <w:unhideWhenUsed/>
    <w:rsid w:val="0072739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016/0010-440X(88)90054-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58</TotalTime>
  <Pages>7</Pages>
  <Words>1817</Words>
  <Characters>10362</Characters>
  <Application>Microsoft Office Word</Application>
  <DocSecurity>0</DocSecurity>
  <Lines>86</Lines>
  <Paragraphs>24</Paragraphs>
  <ScaleCrop>false</ScaleCrop>
  <Company/>
  <LinksUpToDate>false</LinksUpToDate>
  <CharactersWithSpaces>12155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Myron Bershadskyi</cp:lastModifiedBy>
  <cp:revision>31</cp:revision>
  <dcterms:created xsi:type="dcterms:W3CDTF">2025-12-08T23:13:00Z</dcterms:created>
  <dcterms:modified xsi:type="dcterms:W3CDTF">2025-12-09T14:07:00Z</dcterms:modified>
</cp:coreProperties>
</file>