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D31F3" w:rsidRDefault="003D31F3" w:rsidP="003D31F3">
      <w:pPr>
        <w:pStyle w:val="Title"/>
        <w:rPr>
          <w:rFonts w:ascii="Times New Roman" w:hAnsi="Times New Roman" w:cs="Times New Roman"/>
          <w:color w:val="000000" w:themeColor="text1"/>
          <w:sz w:val="24"/>
        </w:rPr>
      </w:pPr>
      <w:r>
        <w:rPr>
          <w:noProof/>
          <w:lang w:val="en-US"/>
        </w:rPr>
        <w:drawing>
          <wp:inline distT="0" distB="0" distL="0" distR="0" wp14:anchorId="3A74444A" wp14:editId="196CB043">
            <wp:extent cx="1047750" cy="6381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py-of-UWTSD.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047750" cy="638175"/>
                    </a:xfrm>
                    <a:prstGeom prst="rect">
                      <a:avLst/>
                    </a:prstGeom>
                  </pic:spPr>
                </pic:pic>
              </a:graphicData>
            </a:graphic>
          </wp:inline>
        </w:drawing>
      </w:r>
    </w:p>
    <w:p w:rsidR="003D31F3" w:rsidRPr="00541552" w:rsidRDefault="003D31F3" w:rsidP="003D31F3"/>
    <w:p w:rsidR="003D31F3" w:rsidRDefault="003D31F3" w:rsidP="003D31F3">
      <w:pPr>
        <w:pStyle w:val="Title"/>
        <w:jc w:val="center"/>
        <w:rPr>
          <w:color w:val="000000" w:themeColor="text1"/>
        </w:rPr>
      </w:pPr>
    </w:p>
    <w:p w:rsidR="003D31F3" w:rsidRDefault="003D31F3" w:rsidP="003D31F3">
      <w:pPr>
        <w:pStyle w:val="Title"/>
        <w:jc w:val="center"/>
        <w:rPr>
          <w:color w:val="000000" w:themeColor="text1"/>
        </w:rPr>
      </w:pPr>
    </w:p>
    <w:p w:rsidR="003D31F3" w:rsidRDefault="003D31F3" w:rsidP="003D31F3">
      <w:pPr>
        <w:pStyle w:val="Title"/>
        <w:jc w:val="center"/>
        <w:rPr>
          <w:rFonts w:ascii="Times New Roman" w:hAnsi="Times New Roman" w:cs="Times New Roman"/>
          <w:color w:val="000000" w:themeColor="text1"/>
        </w:rPr>
      </w:pPr>
    </w:p>
    <w:p w:rsidR="003D31F3" w:rsidRPr="00490718" w:rsidRDefault="003D31F3" w:rsidP="003D31F3">
      <w:pPr>
        <w:pStyle w:val="Title"/>
        <w:jc w:val="center"/>
        <w:rPr>
          <w:rFonts w:ascii="Times New Roman" w:hAnsi="Times New Roman" w:cs="Times New Roman"/>
          <w:color w:val="000000" w:themeColor="text1"/>
        </w:rPr>
      </w:pPr>
      <w:r w:rsidRPr="00490718">
        <w:rPr>
          <w:rFonts w:ascii="Times New Roman" w:hAnsi="Times New Roman" w:cs="Times New Roman"/>
          <w:color w:val="000000" w:themeColor="text1"/>
        </w:rPr>
        <w:t>BA Business Management</w:t>
      </w:r>
    </w:p>
    <w:p w:rsidR="003D31F3" w:rsidRDefault="003D31F3" w:rsidP="003D31F3">
      <w:pPr>
        <w:pStyle w:val="Title"/>
        <w:jc w:val="center"/>
        <w:rPr>
          <w:rFonts w:ascii="Times New Roman" w:hAnsi="Times New Roman" w:cs="Times New Roman"/>
          <w:color w:val="000000" w:themeColor="text1"/>
        </w:rPr>
      </w:pPr>
      <w:r w:rsidRPr="00490718">
        <w:rPr>
          <w:rFonts w:ascii="Times New Roman" w:hAnsi="Times New Roman" w:cs="Times New Roman"/>
          <w:color w:val="000000" w:themeColor="text1"/>
        </w:rPr>
        <w:t>Community Engagement</w:t>
      </w:r>
    </w:p>
    <w:p w:rsidR="003D31F3" w:rsidRDefault="003D31F3" w:rsidP="003D31F3">
      <w:pPr>
        <w:jc w:val="center"/>
        <w:rPr>
          <w:sz w:val="52"/>
        </w:rPr>
      </w:pPr>
      <w:r w:rsidRPr="00490718">
        <w:rPr>
          <w:sz w:val="52"/>
        </w:rPr>
        <w:t>LCBB4002</w:t>
      </w:r>
    </w:p>
    <w:p w:rsidR="003D31F3" w:rsidRPr="00490718" w:rsidRDefault="003D31F3" w:rsidP="003D31F3">
      <w:pPr>
        <w:rPr>
          <w:sz w:val="52"/>
        </w:rPr>
      </w:pPr>
      <w:r>
        <w:rPr>
          <w:sz w:val="52"/>
        </w:rPr>
        <w:t xml:space="preserve">                   </w:t>
      </w:r>
    </w:p>
    <w:p w:rsidR="003D31F3" w:rsidRDefault="003D31F3" w:rsidP="003D31F3">
      <w:pPr>
        <w:jc w:val="center"/>
        <w:rPr>
          <w:rFonts w:asciiTheme="majorHAnsi" w:eastAsiaTheme="majorEastAsia" w:hAnsiTheme="majorHAnsi" w:cstheme="majorBidi"/>
          <w:color w:val="auto"/>
          <w:spacing w:val="-10"/>
          <w:kern w:val="28"/>
          <w:sz w:val="56"/>
          <w:szCs w:val="56"/>
        </w:rPr>
      </w:pPr>
    </w:p>
    <w:p w:rsidR="003D31F3" w:rsidRDefault="003D31F3" w:rsidP="003D31F3">
      <w:pPr>
        <w:jc w:val="center"/>
        <w:rPr>
          <w:rFonts w:asciiTheme="majorHAnsi" w:eastAsiaTheme="majorEastAsia" w:hAnsiTheme="majorHAnsi" w:cstheme="majorBidi"/>
          <w:color w:val="auto"/>
          <w:spacing w:val="-10"/>
          <w:kern w:val="28"/>
          <w:sz w:val="56"/>
          <w:szCs w:val="56"/>
        </w:rPr>
      </w:pPr>
    </w:p>
    <w:p w:rsidR="003D31F3" w:rsidRDefault="003D31F3" w:rsidP="003D31F3">
      <w:pPr>
        <w:jc w:val="center"/>
        <w:rPr>
          <w:rFonts w:asciiTheme="majorHAnsi" w:eastAsiaTheme="majorEastAsia" w:hAnsiTheme="majorHAnsi" w:cstheme="majorBidi"/>
          <w:color w:val="auto"/>
          <w:spacing w:val="-10"/>
          <w:kern w:val="28"/>
          <w:sz w:val="56"/>
          <w:szCs w:val="56"/>
        </w:rPr>
      </w:pPr>
    </w:p>
    <w:p w:rsidR="003D31F3" w:rsidRDefault="003D31F3" w:rsidP="003D31F3">
      <w:pPr>
        <w:jc w:val="center"/>
        <w:rPr>
          <w:rFonts w:asciiTheme="majorHAnsi" w:eastAsiaTheme="majorEastAsia" w:hAnsiTheme="majorHAnsi" w:cstheme="majorBidi"/>
          <w:color w:val="auto"/>
          <w:spacing w:val="-10"/>
          <w:kern w:val="28"/>
          <w:szCs w:val="24"/>
        </w:rPr>
      </w:pPr>
    </w:p>
    <w:p w:rsidR="003D31F3" w:rsidRDefault="003D31F3" w:rsidP="00DF64E7">
      <w:pPr>
        <w:rPr>
          <w:rFonts w:asciiTheme="majorHAnsi" w:eastAsiaTheme="majorEastAsia" w:hAnsiTheme="majorHAnsi" w:cstheme="majorBidi"/>
          <w:color w:val="auto"/>
          <w:spacing w:val="-10"/>
          <w:kern w:val="28"/>
          <w:szCs w:val="24"/>
        </w:rPr>
      </w:pPr>
    </w:p>
    <w:p w:rsidR="003D31F3" w:rsidRPr="001A3D8F" w:rsidRDefault="003D31F3" w:rsidP="003D31F3">
      <w:pPr>
        <w:pStyle w:val="NoSpacing"/>
        <w:rPr>
          <w:b/>
          <w:sz w:val="28"/>
          <w:szCs w:val="28"/>
        </w:rPr>
      </w:pPr>
      <w:r>
        <w:rPr>
          <w:rFonts w:asciiTheme="majorHAnsi" w:eastAsiaTheme="majorEastAsia" w:hAnsiTheme="majorHAnsi" w:cstheme="majorBidi"/>
          <w:spacing w:val="-10"/>
          <w:kern w:val="28"/>
          <w:szCs w:val="24"/>
        </w:rPr>
        <w:t xml:space="preserve">               </w:t>
      </w:r>
      <w:r>
        <w:rPr>
          <w:b/>
          <w:sz w:val="32"/>
          <w:szCs w:val="32"/>
        </w:rPr>
        <w:t xml:space="preserve">                                                          </w:t>
      </w:r>
      <w:r w:rsidRPr="001A3D8F">
        <w:rPr>
          <w:b/>
          <w:sz w:val="28"/>
          <w:szCs w:val="28"/>
        </w:rPr>
        <w:t>Student name- Bianca Cristina Petre</w:t>
      </w:r>
    </w:p>
    <w:p w:rsidR="003D31F3" w:rsidRPr="001A3D8F" w:rsidRDefault="003D31F3" w:rsidP="003D31F3">
      <w:pPr>
        <w:pStyle w:val="NoSpacing"/>
        <w:rPr>
          <w:b/>
          <w:sz w:val="28"/>
          <w:szCs w:val="28"/>
        </w:rPr>
      </w:pPr>
      <w:r w:rsidRPr="001A3D8F">
        <w:rPr>
          <w:b/>
          <w:sz w:val="28"/>
          <w:szCs w:val="28"/>
        </w:rPr>
        <w:t xml:space="preserve">                            </w:t>
      </w:r>
      <w:r>
        <w:rPr>
          <w:b/>
          <w:sz w:val="28"/>
          <w:szCs w:val="28"/>
        </w:rPr>
        <w:t xml:space="preserve">                                                            </w:t>
      </w:r>
      <w:r w:rsidRPr="001A3D8F">
        <w:rPr>
          <w:b/>
          <w:sz w:val="28"/>
          <w:szCs w:val="28"/>
        </w:rPr>
        <w:t>Student number-</w:t>
      </w:r>
      <w:r>
        <w:rPr>
          <w:b/>
          <w:sz w:val="28"/>
          <w:szCs w:val="28"/>
        </w:rPr>
        <w:t>2029609</w:t>
      </w:r>
    </w:p>
    <w:p w:rsidR="003D31F3" w:rsidRDefault="003D31F3" w:rsidP="003D31F3">
      <w:pPr>
        <w:pStyle w:val="TOCHeading"/>
      </w:pPr>
      <w:bookmarkStart w:id="0" w:name="_GoBack"/>
      <w:bookmarkEnd w:id="0"/>
    </w:p>
    <w:p w:rsidR="001834FC" w:rsidRPr="00F830E2" w:rsidRDefault="001834FC"/>
    <w:sdt>
      <w:sdtPr>
        <w:rPr>
          <w:rFonts w:eastAsiaTheme="minorHAnsi" w:cstheme="minorBidi"/>
          <w:color w:val="000000" w:themeColor="text1"/>
          <w:sz w:val="24"/>
          <w:szCs w:val="22"/>
          <w:lang w:val="en-GB"/>
        </w:rPr>
        <w:id w:val="1042171579"/>
        <w:docPartObj>
          <w:docPartGallery w:val="Table of Contents"/>
          <w:docPartUnique/>
        </w:docPartObj>
      </w:sdtPr>
      <w:sdtEndPr>
        <w:rPr>
          <w:b/>
          <w:bCs/>
          <w:noProof/>
        </w:rPr>
      </w:sdtEndPr>
      <w:sdtContent>
        <w:p w:rsidR="001834FC" w:rsidRPr="00F830E2" w:rsidRDefault="00D573D4">
          <w:pPr>
            <w:pStyle w:val="TOCHeading"/>
            <w:rPr>
              <w:color w:val="000000" w:themeColor="text1"/>
            </w:rPr>
          </w:pPr>
          <w:r w:rsidRPr="00F830E2">
            <w:rPr>
              <w:color w:val="000000" w:themeColor="text1"/>
            </w:rPr>
            <w:t>Table of Contents</w:t>
          </w:r>
        </w:p>
        <w:p w:rsidR="00881D56" w:rsidRPr="00F830E2" w:rsidRDefault="00D573D4">
          <w:pPr>
            <w:pStyle w:val="TOC1"/>
            <w:tabs>
              <w:tab w:val="right" w:leader="dot" w:pos="9350"/>
            </w:tabs>
            <w:rPr>
              <w:rFonts w:asciiTheme="minorHAnsi" w:eastAsiaTheme="minorEastAsia" w:hAnsiTheme="minorHAnsi"/>
              <w:noProof/>
              <w:sz w:val="22"/>
              <w:lang w:val="en-US"/>
            </w:rPr>
          </w:pPr>
          <w:r w:rsidRPr="00F830E2">
            <w:rPr>
              <w:b/>
              <w:bCs/>
              <w:noProof/>
            </w:rPr>
            <w:fldChar w:fldCharType="begin"/>
          </w:r>
          <w:r w:rsidR="001834FC" w:rsidRPr="00F830E2">
            <w:rPr>
              <w:b/>
              <w:bCs/>
              <w:noProof/>
            </w:rPr>
            <w:instrText xml:space="preserve"> TOC \o "1-3" \h \z \u </w:instrText>
          </w:r>
          <w:r w:rsidRPr="00F830E2">
            <w:rPr>
              <w:b/>
              <w:bCs/>
              <w:noProof/>
            </w:rPr>
            <w:fldChar w:fldCharType="separate"/>
          </w:r>
          <w:hyperlink w:anchor="_Toc79584502" w:history="1">
            <w:r w:rsidRPr="00F830E2">
              <w:rPr>
                <w:rStyle w:val="Hyperlink"/>
                <w:noProof/>
                <w:color w:val="000000" w:themeColor="text1"/>
              </w:rPr>
              <w:t>Introduction</w:t>
            </w:r>
            <w:r w:rsidRPr="00F830E2">
              <w:rPr>
                <w:noProof/>
                <w:webHidden/>
              </w:rPr>
              <w:tab/>
            </w:r>
            <w:r w:rsidRPr="00F830E2">
              <w:rPr>
                <w:noProof/>
                <w:webHidden/>
              </w:rPr>
              <w:fldChar w:fldCharType="begin"/>
            </w:r>
            <w:r w:rsidRPr="00F830E2">
              <w:rPr>
                <w:noProof/>
                <w:webHidden/>
              </w:rPr>
              <w:instrText xml:space="preserve"> PAGEREF _Toc79584502 \h </w:instrText>
            </w:r>
            <w:r w:rsidRPr="00F830E2">
              <w:rPr>
                <w:noProof/>
                <w:webHidden/>
              </w:rPr>
            </w:r>
            <w:r w:rsidRPr="00F830E2">
              <w:rPr>
                <w:noProof/>
                <w:webHidden/>
              </w:rPr>
              <w:fldChar w:fldCharType="separate"/>
            </w:r>
            <w:r w:rsidRPr="00F830E2">
              <w:rPr>
                <w:noProof/>
                <w:webHidden/>
              </w:rPr>
              <w:t>1</w:t>
            </w:r>
            <w:r w:rsidRPr="00F830E2">
              <w:rPr>
                <w:noProof/>
                <w:webHidden/>
              </w:rPr>
              <w:fldChar w:fldCharType="end"/>
            </w:r>
          </w:hyperlink>
        </w:p>
        <w:p w:rsidR="00881D56" w:rsidRPr="00F830E2" w:rsidRDefault="005D1FFC">
          <w:pPr>
            <w:pStyle w:val="TOC1"/>
            <w:tabs>
              <w:tab w:val="right" w:leader="dot" w:pos="9350"/>
            </w:tabs>
            <w:rPr>
              <w:rFonts w:asciiTheme="minorHAnsi" w:eastAsiaTheme="minorEastAsia" w:hAnsiTheme="minorHAnsi"/>
              <w:noProof/>
              <w:sz w:val="22"/>
              <w:lang w:val="en-US"/>
            </w:rPr>
          </w:pPr>
          <w:hyperlink w:anchor="_Toc79584503" w:history="1">
            <w:r w:rsidR="00D573D4" w:rsidRPr="00F830E2">
              <w:rPr>
                <w:rStyle w:val="Hyperlink"/>
                <w:noProof/>
                <w:color w:val="000000" w:themeColor="text1"/>
              </w:rPr>
              <w:t>1. Overview of Mark &amp; Spencer’s Community project</w:t>
            </w:r>
            <w:r w:rsidR="00D573D4" w:rsidRPr="00F830E2">
              <w:rPr>
                <w:noProof/>
                <w:webHidden/>
              </w:rPr>
              <w:tab/>
            </w:r>
            <w:r w:rsidR="00D573D4" w:rsidRPr="00F830E2">
              <w:rPr>
                <w:noProof/>
                <w:webHidden/>
              </w:rPr>
              <w:fldChar w:fldCharType="begin"/>
            </w:r>
            <w:r w:rsidR="00D573D4" w:rsidRPr="00F830E2">
              <w:rPr>
                <w:noProof/>
                <w:webHidden/>
              </w:rPr>
              <w:instrText xml:space="preserve"> PAGEREF _Toc79584503 \h </w:instrText>
            </w:r>
            <w:r w:rsidR="00D573D4" w:rsidRPr="00F830E2">
              <w:rPr>
                <w:noProof/>
                <w:webHidden/>
              </w:rPr>
            </w:r>
            <w:r w:rsidR="00D573D4" w:rsidRPr="00F830E2">
              <w:rPr>
                <w:noProof/>
                <w:webHidden/>
              </w:rPr>
              <w:fldChar w:fldCharType="separate"/>
            </w:r>
            <w:r w:rsidR="00D573D4" w:rsidRPr="00F830E2">
              <w:rPr>
                <w:noProof/>
                <w:webHidden/>
              </w:rPr>
              <w:t>2</w:t>
            </w:r>
            <w:r w:rsidR="00D573D4" w:rsidRPr="00F830E2">
              <w:rPr>
                <w:noProof/>
                <w:webHidden/>
              </w:rPr>
              <w:fldChar w:fldCharType="end"/>
            </w:r>
          </w:hyperlink>
        </w:p>
        <w:p w:rsidR="00881D56" w:rsidRPr="00F830E2" w:rsidRDefault="005D1FFC">
          <w:pPr>
            <w:pStyle w:val="TOC1"/>
            <w:tabs>
              <w:tab w:val="right" w:leader="dot" w:pos="9350"/>
            </w:tabs>
            <w:rPr>
              <w:rFonts w:asciiTheme="minorHAnsi" w:eastAsiaTheme="minorEastAsia" w:hAnsiTheme="minorHAnsi"/>
              <w:noProof/>
              <w:sz w:val="22"/>
              <w:lang w:val="en-US"/>
            </w:rPr>
          </w:pPr>
          <w:hyperlink w:anchor="_Toc79584504" w:history="1">
            <w:r w:rsidR="00D573D4" w:rsidRPr="00F830E2">
              <w:rPr>
                <w:rStyle w:val="Hyperlink"/>
                <w:noProof/>
                <w:color w:val="000000" w:themeColor="text1"/>
              </w:rPr>
              <w:t>2. Community engagement principles &amp; benefits of stakeholders’ participation</w:t>
            </w:r>
            <w:r w:rsidR="00D573D4" w:rsidRPr="00F830E2">
              <w:rPr>
                <w:noProof/>
                <w:webHidden/>
              </w:rPr>
              <w:tab/>
            </w:r>
            <w:r w:rsidR="00D573D4" w:rsidRPr="00F830E2">
              <w:rPr>
                <w:noProof/>
                <w:webHidden/>
              </w:rPr>
              <w:fldChar w:fldCharType="begin"/>
            </w:r>
            <w:r w:rsidR="00D573D4" w:rsidRPr="00F830E2">
              <w:rPr>
                <w:noProof/>
                <w:webHidden/>
              </w:rPr>
              <w:instrText xml:space="preserve"> PAGEREF _Toc79584504 \h </w:instrText>
            </w:r>
            <w:r w:rsidR="00D573D4" w:rsidRPr="00F830E2">
              <w:rPr>
                <w:noProof/>
                <w:webHidden/>
              </w:rPr>
            </w:r>
            <w:r w:rsidR="00D573D4" w:rsidRPr="00F830E2">
              <w:rPr>
                <w:noProof/>
                <w:webHidden/>
              </w:rPr>
              <w:fldChar w:fldCharType="separate"/>
            </w:r>
            <w:r w:rsidR="00D573D4" w:rsidRPr="00F830E2">
              <w:rPr>
                <w:noProof/>
                <w:webHidden/>
              </w:rPr>
              <w:t>4</w:t>
            </w:r>
            <w:r w:rsidR="00D573D4" w:rsidRPr="00F830E2">
              <w:rPr>
                <w:noProof/>
                <w:webHidden/>
              </w:rPr>
              <w:fldChar w:fldCharType="end"/>
            </w:r>
          </w:hyperlink>
        </w:p>
        <w:p w:rsidR="00881D56" w:rsidRPr="00F830E2" w:rsidRDefault="005D1FFC">
          <w:pPr>
            <w:pStyle w:val="TOC1"/>
            <w:tabs>
              <w:tab w:val="right" w:leader="dot" w:pos="9350"/>
            </w:tabs>
            <w:rPr>
              <w:rFonts w:asciiTheme="minorHAnsi" w:eastAsiaTheme="minorEastAsia" w:hAnsiTheme="minorHAnsi"/>
              <w:noProof/>
              <w:sz w:val="22"/>
              <w:lang w:val="en-US"/>
            </w:rPr>
          </w:pPr>
          <w:hyperlink w:anchor="_Toc79584505" w:history="1">
            <w:r w:rsidR="00D573D4" w:rsidRPr="00F830E2">
              <w:rPr>
                <w:rStyle w:val="Hyperlink"/>
                <w:noProof/>
                <w:color w:val="000000" w:themeColor="text1"/>
              </w:rPr>
              <w:t>3. Relationship between the stakeholders</w:t>
            </w:r>
            <w:r w:rsidR="00D573D4" w:rsidRPr="00F830E2">
              <w:rPr>
                <w:noProof/>
                <w:webHidden/>
              </w:rPr>
              <w:tab/>
            </w:r>
            <w:r w:rsidR="00D573D4" w:rsidRPr="00F830E2">
              <w:rPr>
                <w:noProof/>
                <w:webHidden/>
              </w:rPr>
              <w:fldChar w:fldCharType="begin"/>
            </w:r>
            <w:r w:rsidR="00D573D4" w:rsidRPr="00F830E2">
              <w:rPr>
                <w:noProof/>
                <w:webHidden/>
              </w:rPr>
              <w:instrText xml:space="preserve"> PAGEREF _Toc79584505 \h </w:instrText>
            </w:r>
            <w:r w:rsidR="00D573D4" w:rsidRPr="00F830E2">
              <w:rPr>
                <w:noProof/>
                <w:webHidden/>
              </w:rPr>
            </w:r>
            <w:r w:rsidR="00D573D4" w:rsidRPr="00F830E2">
              <w:rPr>
                <w:noProof/>
                <w:webHidden/>
              </w:rPr>
              <w:fldChar w:fldCharType="separate"/>
            </w:r>
            <w:r w:rsidR="00D573D4" w:rsidRPr="00F830E2">
              <w:rPr>
                <w:noProof/>
                <w:webHidden/>
              </w:rPr>
              <w:t>5</w:t>
            </w:r>
            <w:r w:rsidR="00D573D4" w:rsidRPr="00F830E2">
              <w:rPr>
                <w:noProof/>
                <w:webHidden/>
              </w:rPr>
              <w:fldChar w:fldCharType="end"/>
            </w:r>
          </w:hyperlink>
        </w:p>
        <w:p w:rsidR="00881D56" w:rsidRPr="00F830E2" w:rsidRDefault="005D1FFC">
          <w:pPr>
            <w:pStyle w:val="TOC1"/>
            <w:tabs>
              <w:tab w:val="right" w:leader="dot" w:pos="9350"/>
            </w:tabs>
            <w:rPr>
              <w:rFonts w:asciiTheme="minorHAnsi" w:eastAsiaTheme="minorEastAsia" w:hAnsiTheme="minorHAnsi"/>
              <w:noProof/>
              <w:sz w:val="22"/>
              <w:lang w:val="en-US"/>
            </w:rPr>
          </w:pPr>
          <w:hyperlink w:anchor="_Toc79584506" w:history="1">
            <w:r w:rsidR="00D573D4" w:rsidRPr="00F830E2">
              <w:rPr>
                <w:rStyle w:val="Hyperlink"/>
                <w:noProof/>
                <w:color w:val="000000" w:themeColor="text1"/>
              </w:rPr>
              <w:t>4. Social media sites can be utilized for program assistance</w:t>
            </w:r>
            <w:r w:rsidR="00D573D4" w:rsidRPr="00F830E2">
              <w:rPr>
                <w:noProof/>
                <w:webHidden/>
              </w:rPr>
              <w:tab/>
            </w:r>
            <w:r w:rsidR="00D573D4" w:rsidRPr="00F830E2">
              <w:rPr>
                <w:noProof/>
                <w:webHidden/>
              </w:rPr>
              <w:fldChar w:fldCharType="begin"/>
            </w:r>
            <w:r w:rsidR="00D573D4" w:rsidRPr="00F830E2">
              <w:rPr>
                <w:noProof/>
                <w:webHidden/>
              </w:rPr>
              <w:instrText xml:space="preserve"> PAGEREF _Toc79584506 \h </w:instrText>
            </w:r>
            <w:r w:rsidR="00D573D4" w:rsidRPr="00F830E2">
              <w:rPr>
                <w:noProof/>
                <w:webHidden/>
              </w:rPr>
            </w:r>
            <w:r w:rsidR="00D573D4" w:rsidRPr="00F830E2">
              <w:rPr>
                <w:noProof/>
                <w:webHidden/>
              </w:rPr>
              <w:fldChar w:fldCharType="separate"/>
            </w:r>
            <w:r w:rsidR="00D573D4" w:rsidRPr="00F830E2">
              <w:rPr>
                <w:noProof/>
                <w:webHidden/>
              </w:rPr>
              <w:t>7</w:t>
            </w:r>
            <w:r w:rsidR="00D573D4" w:rsidRPr="00F830E2">
              <w:rPr>
                <w:noProof/>
                <w:webHidden/>
              </w:rPr>
              <w:fldChar w:fldCharType="end"/>
            </w:r>
          </w:hyperlink>
        </w:p>
        <w:p w:rsidR="00881D56" w:rsidRPr="00F830E2" w:rsidRDefault="005D1FFC">
          <w:pPr>
            <w:pStyle w:val="TOC1"/>
            <w:tabs>
              <w:tab w:val="right" w:leader="dot" w:pos="9350"/>
            </w:tabs>
            <w:rPr>
              <w:rFonts w:asciiTheme="minorHAnsi" w:eastAsiaTheme="minorEastAsia" w:hAnsiTheme="minorHAnsi"/>
              <w:noProof/>
              <w:sz w:val="22"/>
              <w:lang w:val="en-US"/>
            </w:rPr>
          </w:pPr>
          <w:hyperlink w:anchor="_Toc79584507" w:history="1">
            <w:r w:rsidR="00D573D4" w:rsidRPr="00F830E2">
              <w:rPr>
                <w:rStyle w:val="Hyperlink"/>
                <w:noProof/>
                <w:color w:val="000000" w:themeColor="text1"/>
              </w:rPr>
              <w:t>5. Assess why practitioners need to educate people of the community for future practice</w:t>
            </w:r>
            <w:r w:rsidR="00D573D4" w:rsidRPr="00F830E2">
              <w:rPr>
                <w:noProof/>
                <w:webHidden/>
              </w:rPr>
              <w:tab/>
            </w:r>
            <w:r w:rsidR="00D573D4" w:rsidRPr="00F830E2">
              <w:rPr>
                <w:noProof/>
                <w:webHidden/>
              </w:rPr>
              <w:fldChar w:fldCharType="begin"/>
            </w:r>
            <w:r w:rsidR="00D573D4" w:rsidRPr="00F830E2">
              <w:rPr>
                <w:noProof/>
                <w:webHidden/>
              </w:rPr>
              <w:instrText xml:space="preserve"> PAGEREF _Toc79584507 \h </w:instrText>
            </w:r>
            <w:r w:rsidR="00D573D4" w:rsidRPr="00F830E2">
              <w:rPr>
                <w:noProof/>
                <w:webHidden/>
              </w:rPr>
            </w:r>
            <w:r w:rsidR="00D573D4" w:rsidRPr="00F830E2">
              <w:rPr>
                <w:noProof/>
                <w:webHidden/>
              </w:rPr>
              <w:fldChar w:fldCharType="separate"/>
            </w:r>
            <w:r w:rsidR="00D573D4" w:rsidRPr="00F830E2">
              <w:rPr>
                <w:noProof/>
                <w:webHidden/>
              </w:rPr>
              <w:t>8</w:t>
            </w:r>
            <w:r w:rsidR="00D573D4" w:rsidRPr="00F830E2">
              <w:rPr>
                <w:noProof/>
                <w:webHidden/>
              </w:rPr>
              <w:fldChar w:fldCharType="end"/>
            </w:r>
          </w:hyperlink>
        </w:p>
        <w:p w:rsidR="00881D56" w:rsidRPr="00F830E2" w:rsidRDefault="005D1FFC">
          <w:pPr>
            <w:pStyle w:val="TOC1"/>
            <w:tabs>
              <w:tab w:val="right" w:leader="dot" w:pos="9350"/>
            </w:tabs>
            <w:rPr>
              <w:rFonts w:asciiTheme="minorHAnsi" w:eastAsiaTheme="minorEastAsia" w:hAnsiTheme="minorHAnsi"/>
              <w:noProof/>
              <w:sz w:val="22"/>
              <w:lang w:val="en-US"/>
            </w:rPr>
          </w:pPr>
          <w:hyperlink w:anchor="_Toc79584508" w:history="1">
            <w:r w:rsidR="00D573D4" w:rsidRPr="00F830E2">
              <w:rPr>
                <w:rStyle w:val="Hyperlink"/>
                <w:noProof/>
                <w:color w:val="000000" w:themeColor="text1"/>
              </w:rPr>
              <w:t>Recommendation</w:t>
            </w:r>
            <w:r w:rsidR="00D573D4" w:rsidRPr="00F830E2">
              <w:rPr>
                <w:noProof/>
                <w:webHidden/>
              </w:rPr>
              <w:tab/>
            </w:r>
            <w:r w:rsidR="00D573D4" w:rsidRPr="00F830E2">
              <w:rPr>
                <w:noProof/>
                <w:webHidden/>
              </w:rPr>
              <w:fldChar w:fldCharType="begin"/>
            </w:r>
            <w:r w:rsidR="00D573D4" w:rsidRPr="00F830E2">
              <w:rPr>
                <w:noProof/>
                <w:webHidden/>
              </w:rPr>
              <w:instrText xml:space="preserve"> PAGEREF _Toc79584508 \h </w:instrText>
            </w:r>
            <w:r w:rsidR="00D573D4" w:rsidRPr="00F830E2">
              <w:rPr>
                <w:noProof/>
                <w:webHidden/>
              </w:rPr>
            </w:r>
            <w:r w:rsidR="00D573D4" w:rsidRPr="00F830E2">
              <w:rPr>
                <w:noProof/>
                <w:webHidden/>
              </w:rPr>
              <w:fldChar w:fldCharType="separate"/>
            </w:r>
            <w:r w:rsidR="00D573D4" w:rsidRPr="00F830E2">
              <w:rPr>
                <w:noProof/>
                <w:webHidden/>
              </w:rPr>
              <w:t>9</w:t>
            </w:r>
            <w:r w:rsidR="00D573D4" w:rsidRPr="00F830E2">
              <w:rPr>
                <w:noProof/>
                <w:webHidden/>
              </w:rPr>
              <w:fldChar w:fldCharType="end"/>
            </w:r>
          </w:hyperlink>
        </w:p>
        <w:p w:rsidR="00881D56" w:rsidRPr="00F830E2" w:rsidRDefault="005D1FFC">
          <w:pPr>
            <w:pStyle w:val="TOC1"/>
            <w:tabs>
              <w:tab w:val="right" w:leader="dot" w:pos="9350"/>
            </w:tabs>
            <w:rPr>
              <w:rFonts w:asciiTheme="minorHAnsi" w:eastAsiaTheme="minorEastAsia" w:hAnsiTheme="minorHAnsi"/>
              <w:noProof/>
              <w:sz w:val="22"/>
              <w:lang w:val="en-US"/>
            </w:rPr>
          </w:pPr>
          <w:hyperlink w:anchor="_Toc79584509" w:history="1">
            <w:r w:rsidR="00D573D4" w:rsidRPr="00F830E2">
              <w:rPr>
                <w:rStyle w:val="Hyperlink"/>
                <w:noProof/>
                <w:color w:val="000000" w:themeColor="text1"/>
              </w:rPr>
              <w:t>Conclusion</w:t>
            </w:r>
            <w:r w:rsidR="00D573D4" w:rsidRPr="00F830E2">
              <w:rPr>
                <w:noProof/>
                <w:webHidden/>
              </w:rPr>
              <w:tab/>
            </w:r>
            <w:r w:rsidR="00D573D4" w:rsidRPr="00F830E2">
              <w:rPr>
                <w:noProof/>
                <w:webHidden/>
              </w:rPr>
              <w:fldChar w:fldCharType="begin"/>
            </w:r>
            <w:r w:rsidR="00D573D4" w:rsidRPr="00F830E2">
              <w:rPr>
                <w:noProof/>
                <w:webHidden/>
              </w:rPr>
              <w:instrText xml:space="preserve"> PAGEREF _Toc79584509 \h </w:instrText>
            </w:r>
            <w:r w:rsidR="00D573D4" w:rsidRPr="00F830E2">
              <w:rPr>
                <w:noProof/>
                <w:webHidden/>
              </w:rPr>
            </w:r>
            <w:r w:rsidR="00D573D4" w:rsidRPr="00F830E2">
              <w:rPr>
                <w:noProof/>
                <w:webHidden/>
              </w:rPr>
              <w:fldChar w:fldCharType="separate"/>
            </w:r>
            <w:r w:rsidR="00D573D4" w:rsidRPr="00F830E2">
              <w:rPr>
                <w:noProof/>
                <w:webHidden/>
              </w:rPr>
              <w:t>10</w:t>
            </w:r>
            <w:r w:rsidR="00D573D4" w:rsidRPr="00F830E2">
              <w:rPr>
                <w:noProof/>
                <w:webHidden/>
              </w:rPr>
              <w:fldChar w:fldCharType="end"/>
            </w:r>
          </w:hyperlink>
        </w:p>
        <w:p w:rsidR="00881D56" w:rsidRPr="00F830E2" w:rsidRDefault="005D1FFC">
          <w:pPr>
            <w:pStyle w:val="TOC1"/>
            <w:tabs>
              <w:tab w:val="right" w:leader="dot" w:pos="9350"/>
            </w:tabs>
            <w:rPr>
              <w:rFonts w:asciiTheme="minorHAnsi" w:eastAsiaTheme="minorEastAsia" w:hAnsiTheme="minorHAnsi"/>
              <w:noProof/>
              <w:sz w:val="22"/>
              <w:lang w:val="en-US"/>
            </w:rPr>
          </w:pPr>
          <w:hyperlink w:anchor="_Toc79584510" w:history="1">
            <w:r w:rsidR="00D573D4" w:rsidRPr="00F830E2">
              <w:rPr>
                <w:rStyle w:val="Hyperlink"/>
                <w:noProof/>
                <w:color w:val="000000" w:themeColor="text1"/>
              </w:rPr>
              <w:t>References</w:t>
            </w:r>
            <w:r w:rsidR="00D573D4" w:rsidRPr="00F830E2">
              <w:rPr>
                <w:noProof/>
                <w:webHidden/>
              </w:rPr>
              <w:tab/>
            </w:r>
            <w:r w:rsidR="00D573D4" w:rsidRPr="00F830E2">
              <w:rPr>
                <w:noProof/>
                <w:webHidden/>
              </w:rPr>
              <w:fldChar w:fldCharType="begin"/>
            </w:r>
            <w:r w:rsidR="00D573D4" w:rsidRPr="00F830E2">
              <w:rPr>
                <w:noProof/>
                <w:webHidden/>
              </w:rPr>
              <w:instrText xml:space="preserve"> PAGEREF _Toc79584510 \h </w:instrText>
            </w:r>
            <w:r w:rsidR="00D573D4" w:rsidRPr="00F830E2">
              <w:rPr>
                <w:noProof/>
                <w:webHidden/>
              </w:rPr>
            </w:r>
            <w:r w:rsidR="00D573D4" w:rsidRPr="00F830E2">
              <w:rPr>
                <w:noProof/>
                <w:webHidden/>
              </w:rPr>
              <w:fldChar w:fldCharType="separate"/>
            </w:r>
            <w:r w:rsidR="00D573D4" w:rsidRPr="00F830E2">
              <w:rPr>
                <w:noProof/>
                <w:webHidden/>
              </w:rPr>
              <w:t>11</w:t>
            </w:r>
            <w:r w:rsidR="00D573D4" w:rsidRPr="00F830E2">
              <w:rPr>
                <w:noProof/>
                <w:webHidden/>
              </w:rPr>
              <w:fldChar w:fldCharType="end"/>
            </w:r>
          </w:hyperlink>
        </w:p>
        <w:p w:rsidR="001834FC" w:rsidRPr="00F830E2" w:rsidRDefault="00D573D4">
          <w:r w:rsidRPr="00F830E2">
            <w:rPr>
              <w:b/>
              <w:bCs/>
              <w:noProof/>
            </w:rPr>
            <w:fldChar w:fldCharType="end"/>
          </w:r>
        </w:p>
      </w:sdtContent>
    </w:sdt>
    <w:p w:rsidR="001834FC" w:rsidRPr="00F830E2" w:rsidRDefault="00D573D4">
      <w:pPr>
        <w:rPr>
          <w:b/>
          <w:sz w:val="28"/>
        </w:rPr>
      </w:pPr>
      <w:r w:rsidRPr="00F830E2">
        <w:rPr>
          <w:b/>
          <w:sz w:val="28"/>
        </w:rPr>
        <w:t>Table of Figures</w:t>
      </w:r>
    </w:p>
    <w:p w:rsidR="00D31725" w:rsidRPr="00F830E2" w:rsidRDefault="00D573D4">
      <w:pPr>
        <w:pStyle w:val="TableofFigures"/>
        <w:tabs>
          <w:tab w:val="right" w:leader="dot" w:pos="9350"/>
        </w:tabs>
        <w:rPr>
          <w:noProof/>
        </w:rPr>
      </w:pPr>
      <w:r w:rsidRPr="00F830E2">
        <w:rPr>
          <w:b/>
          <w:sz w:val="28"/>
        </w:rPr>
        <w:fldChar w:fldCharType="begin"/>
      </w:r>
      <w:r w:rsidRPr="00F830E2">
        <w:rPr>
          <w:b/>
          <w:sz w:val="28"/>
        </w:rPr>
        <w:instrText xml:space="preserve"> TOC \h \z \c "Figure" </w:instrText>
      </w:r>
      <w:r w:rsidRPr="00F830E2">
        <w:rPr>
          <w:b/>
          <w:sz w:val="28"/>
        </w:rPr>
        <w:fldChar w:fldCharType="separate"/>
      </w:r>
      <w:hyperlink w:anchor="_Toc79584907" w:history="1">
        <w:r w:rsidRPr="00F830E2">
          <w:rPr>
            <w:rStyle w:val="Hyperlink"/>
            <w:noProof/>
            <w:color w:val="000000" w:themeColor="text1"/>
          </w:rPr>
          <w:t>Figure 1: Identifying Stakeholders</w:t>
        </w:r>
        <w:r w:rsidRPr="00F830E2">
          <w:rPr>
            <w:noProof/>
            <w:webHidden/>
          </w:rPr>
          <w:tab/>
        </w:r>
        <w:r w:rsidRPr="00F830E2">
          <w:rPr>
            <w:noProof/>
            <w:webHidden/>
          </w:rPr>
          <w:fldChar w:fldCharType="begin"/>
        </w:r>
        <w:r w:rsidRPr="00F830E2">
          <w:rPr>
            <w:noProof/>
            <w:webHidden/>
          </w:rPr>
          <w:instrText xml:space="preserve"> PAGEREF _Toc79584907 \h </w:instrText>
        </w:r>
        <w:r w:rsidRPr="00F830E2">
          <w:rPr>
            <w:noProof/>
            <w:webHidden/>
          </w:rPr>
        </w:r>
        <w:r w:rsidRPr="00F830E2">
          <w:rPr>
            <w:noProof/>
            <w:webHidden/>
          </w:rPr>
          <w:fldChar w:fldCharType="separate"/>
        </w:r>
        <w:r w:rsidRPr="00F830E2">
          <w:rPr>
            <w:noProof/>
            <w:webHidden/>
          </w:rPr>
          <w:t>5</w:t>
        </w:r>
        <w:r w:rsidRPr="00F830E2">
          <w:rPr>
            <w:noProof/>
            <w:webHidden/>
          </w:rPr>
          <w:fldChar w:fldCharType="end"/>
        </w:r>
      </w:hyperlink>
    </w:p>
    <w:p w:rsidR="00D31725" w:rsidRPr="00F830E2" w:rsidRDefault="005D1FFC">
      <w:pPr>
        <w:pStyle w:val="TableofFigures"/>
        <w:tabs>
          <w:tab w:val="right" w:leader="dot" w:pos="9350"/>
        </w:tabs>
        <w:rPr>
          <w:noProof/>
        </w:rPr>
      </w:pPr>
      <w:hyperlink w:anchor="_Toc79584908" w:history="1">
        <w:r w:rsidR="00D573D4" w:rsidRPr="00F830E2">
          <w:rPr>
            <w:rStyle w:val="Hyperlink"/>
            <w:noProof/>
            <w:color w:val="000000" w:themeColor="text1"/>
          </w:rPr>
          <w:t>Figure 2: Creating relationships between Stakeholders</w:t>
        </w:r>
        <w:r w:rsidR="00D573D4" w:rsidRPr="00F830E2">
          <w:rPr>
            <w:noProof/>
            <w:webHidden/>
          </w:rPr>
          <w:tab/>
        </w:r>
        <w:r w:rsidR="00D573D4" w:rsidRPr="00F830E2">
          <w:rPr>
            <w:noProof/>
            <w:webHidden/>
          </w:rPr>
          <w:fldChar w:fldCharType="begin"/>
        </w:r>
        <w:r w:rsidR="00D573D4" w:rsidRPr="00F830E2">
          <w:rPr>
            <w:noProof/>
            <w:webHidden/>
          </w:rPr>
          <w:instrText xml:space="preserve"> PAGEREF _Toc79584908 \h </w:instrText>
        </w:r>
        <w:r w:rsidR="00D573D4" w:rsidRPr="00F830E2">
          <w:rPr>
            <w:noProof/>
            <w:webHidden/>
          </w:rPr>
        </w:r>
        <w:r w:rsidR="00D573D4" w:rsidRPr="00F830E2">
          <w:rPr>
            <w:noProof/>
            <w:webHidden/>
          </w:rPr>
          <w:fldChar w:fldCharType="separate"/>
        </w:r>
        <w:r w:rsidR="00D573D4" w:rsidRPr="00F830E2">
          <w:rPr>
            <w:noProof/>
            <w:webHidden/>
          </w:rPr>
          <w:t>6</w:t>
        </w:r>
        <w:r w:rsidR="00D573D4" w:rsidRPr="00F830E2">
          <w:rPr>
            <w:noProof/>
            <w:webHidden/>
          </w:rPr>
          <w:fldChar w:fldCharType="end"/>
        </w:r>
      </w:hyperlink>
    </w:p>
    <w:p w:rsidR="00D31725" w:rsidRPr="00F830E2" w:rsidRDefault="00D573D4">
      <w:pPr>
        <w:rPr>
          <w:b/>
          <w:sz w:val="28"/>
        </w:rPr>
      </w:pPr>
      <w:r w:rsidRPr="00F830E2">
        <w:rPr>
          <w:b/>
          <w:sz w:val="28"/>
        </w:rPr>
        <w:fldChar w:fldCharType="end"/>
      </w:r>
    </w:p>
    <w:p w:rsidR="001834FC" w:rsidRPr="00F830E2" w:rsidRDefault="00D573D4">
      <w:r w:rsidRPr="00F830E2">
        <w:br w:type="page"/>
      </w:r>
    </w:p>
    <w:p w:rsidR="001834FC" w:rsidRPr="00F830E2" w:rsidRDefault="001834FC" w:rsidP="001834FC">
      <w:pPr>
        <w:pStyle w:val="Heading1"/>
        <w:sectPr w:rsidR="001834FC" w:rsidRPr="00F830E2" w:rsidSect="001834FC">
          <w:footerReference w:type="default" r:id="rId8"/>
          <w:pgSz w:w="12240" w:h="15840"/>
          <w:pgMar w:top="1440" w:right="1440" w:bottom="1440" w:left="1440" w:header="720" w:footer="720" w:gutter="0"/>
          <w:pgNumType w:fmt="lowerRoman"/>
          <w:cols w:space="720"/>
          <w:docGrid w:linePitch="360"/>
        </w:sectPr>
      </w:pPr>
    </w:p>
    <w:p w:rsidR="001834FC" w:rsidRPr="00F830E2" w:rsidRDefault="00D573D4" w:rsidP="001834FC">
      <w:pPr>
        <w:pStyle w:val="Heading1"/>
      </w:pPr>
      <w:bookmarkStart w:id="1" w:name="_Toc79584502"/>
      <w:r w:rsidRPr="00F830E2">
        <w:lastRenderedPageBreak/>
        <w:t>Introduction</w:t>
      </w:r>
      <w:bookmarkEnd w:id="1"/>
    </w:p>
    <w:p w:rsidR="009C4E6B" w:rsidRPr="00F830E2" w:rsidRDefault="00D573D4" w:rsidP="00C54CFD">
      <w:r w:rsidRPr="00F830E2">
        <w:t>Community participation is a means of ensuring that society citizens have exposure to valuable social environments and events, believe how they can make a significant contribution to such operations and acquire functional capacities for participating in full</w:t>
      </w:r>
      <w:r w:rsidR="00881D56" w:rsidRPr="00F830E2">
        <w:t xml:space="preserve"> (Charles, 2018)</w:t>
      </w:r>
      <w:r w:rsidRPr="00F830E2">
        <w:t>. Since an organisation, one makes sound decisions if they interact with the community, however, they understand the broad picture as well as the entire effect of their initiatives and efforts. It could enable companies to build a social responsibility company when civic engagement is correct. This study will examine the SpenditWell local involvement initiative and assess how various community problems are dealt with. Marks &amp; Spencer Limited plc has its headquarters in London, U</w:t>
      </w:r>
      <w:r w:rsidR="00C46F3D" w:rsidRPr="00F830E2">
        <w:t>K</w:t>
      </w:r>
      <w:r w:rsidRPr="00F830E2">
        <w:t>, a major multi</w:t>
      </w:r>
      <w:r w:rsidR="00EC3745" w:rsidRPr="00F830E2">
        <w:t xml:space="preserve">national retailing corporation. </w:t>
      </w:r>
      <w:r w:rsidRPr="00F830E2">
        <w:t>They recently participated in public participation as a component of its corporate development goal. In Program A 2026 – the newest plan of the firm to serves 1.000 people, help 10 million population with a more safe and prosperous life, and transform them into a sustainable company– Marks &amp; Spencer ultimately established a strong community involvement initiative</w:t>
      </w:r>
      <w:r w:rsidR="00881D56" w:rsidRPr="00F830E2">
        <w:t xml:space="preserve"> (Whitehead, 2020)</w:t>
      </w:r>
      <w:r w:rsidRPr="00F830E2">
        <w:t>.</w:t>
      </w:r>
      <w:r w:rsidRPr="00F830E2">
        <w:br w:type="page"/>
      </w:r>
    </w:p>
    <w:p w:rsidR="009C4E6B" w:rsidRPr="00F830E2" w:rsidRDefault="00D573D4" w:rsidP="009C4E6B">
      <w:pPr>
        <w:pStyle w:val="Heading1"/>
      </w:pPr>
      <w:bookmarkStart w:id="2" w:name="_Toc79584503"/>
      <w:r w:rsidRPr="00F830E2">
        <w:lastRenderedPageBreak/>
        <w:t>1.</w:t>
      </w:r>
      <w:r w:rsidR="00C0614F" w:rsidRPr="00F830E2">
        <w:t xml:space="preserve"> Overview of Mark &amp; Spencer’s Community project</w:t>
      </w:r>
      <w:bookmarkEnd w:id="2"/>
    </w:p>
    <w:p w:rsidR="00640C49" w:rsidRPr="00F830E2" w:rsidRDefault="00D573D4" w:rsidP="00640C49">
      <w:r w:rsidRPr="00F830E2">
        <w:t>Community involvement is engaging with and via groups of individuals linked to geographical proximity, particular interests or comparable conditions to solve challenges impacting their well-being. It is a strong tool for altering the climate and behaviour, improving the welfare of the patient and its people Associations and alliances are typically included that assist mobilize funds and impact institutions, transform stakeholders' connections and operate as accelerators for policy, programme and practising transform</w:t>
      </w:r>
      <w:r w:rsidR="00881D56" w:rsidRPr="00F830E2">
        <w:t xml:space="preserve"> (Syamsuar Abbas and Reflianto, 2018)</w:t>
      </w:r>
      <w:r w:rsidRPr="00F830E2">
        <w:t xml:space="preserve">. Communal involvement is a </w:t>
      </w:r>
      <w:r w:rsidR="00881D56" w:rsidRPr="00F830E2">
        <w:t>strategical</w:t>
      </w:r>
      <w:r w:rsidRPr="00F830E2">
        <w:t xml:space="preserve"> method for engaging with the specified population groupings in addition to addressing challenges impacting their wellness, whether related by a physical location, a particular passion or membership.</w:t>
      </w:r>
    </w:p>
    <w:p w:rsidR="00640C49" w:rsidRPr="00F830E2" w:rsidRDefault="00D573D4" w:rsidP="00B248C9">
      <w:r w:rsidRPr="00F830E2">
        <w:t xml:space="preserve">A community participation project has been developed by Marks &amp; Spencer. M&amp;S shall work with local governments and charitable resources to ensure </w:t>
      </w:r>
      <w:r w:rsidR="00881D56" w:rsidRPr="00F830E2">
        <w:t>neighbourhoods</w:t>
      </w:r>
      <w:r w:rsidRPr="00F830E2">
        <w:t xml:space="preserve"> in bringing about significant and real transformation.</w:t>
      </w:r>
      <w:r w:rsidR="00B248C9" w:rsidRPr="00F830E2">
        <w:t xml:space="preserve"> </w:t>
      </w:r>
      <w:r w:rsidRPr="00F830E2">
        <w:t xml:space="preserve">It is launched on Making it Count Season, where M&amp;S urges the UK to recognize* and SpenditWell per each </w:t>
      </w:r>
      <w:r w:rsidR="00881D56" w:rsidRPr="00F830E2">
        <w:t xml:space="preserve">option. </w:t>
      </w:r>
      <w:r w:rsidRPr="00F830E2">
        <w:t xml:space="preserve">Throughout the next year, M&amp;S shall try </w:t>
      </w:r>
      <w:r w:rsidR="00EA195B" w:rsidRPr="00F830E2">
        <w:t>several</w:t>
      </w:r>
      <w:r w:rsidRPr="00F830E2">
        <w:t xml:space="preserve"> measures to tackle the most important issues faced by communities – including unemployment, ability deficits, eviction, injustice and psychological well-being</w:t>
      </w:r>
      <w:r w:rsidR="00881D56" w:rsidRPr="00F830E2">
        <w:t xml:space="preserve"> (Hatcher and Bringle, 2020)</w:t>
      </w:r>
      <w:r w:rsidRPr="00F830E2">
        <w:t>. By 2024, effective initiatives will be extended to another 100 communities and pooled with 800 until 2026</w:t>
      </w:r>
      <w:r w:rsidR="00B248C9" w:rsidRPr="00F830E2">
        <w:t xml:space="preserve">.  </w:t>
      </w:r>
      <w:r w:rsidRPr="00F830E2">
        <w:t>Marks &amp; Spencer CEO says: "Marks &amp; Spencer have been at the vanguard of progressive transformation for three centuries, and in the coming years we are determined to keep it going by taking audacious measures to assist customers and regions; live better, better lifestyles</w:t>
      </w:r>
      <w:r w:rsidR="00881D56" w:rsidRPr="00F830E2">
        <w:t xml:space="preserve"> (Whitehead, 2020)</w:t>
      </w:r>
      <w:r w:rsidRPr="00F830E2">
        <w:t>. They see more and more evidence throughout their UK networks that localities require assistance from partnerships including M&amp;S to make significant changes. They have taken into account what's essential to populations, including accessibility to work-related training, inclusivity and psychological health awareness. In community activities, they believe that they can play an important role and lead to improvements. They begin with 10 to make it possible to learn, adjust and build an iterative methodology, enabling 80</w:t>
      </w:r>
      <w:r w:rsidR="00881D56" w:rsidRPr="00F830E2">
        <w:t>0 regions to assist until 2026 (Marks.com, 2021).</w:t>
      </w:r>
      <w:r w:rsidRPr="00F830E2">
        <w:t xml:space="preserve"> In cooperation with the Social Enterprise Joint venture, M&amp;S would then test the citizens' perceptions of their culture - how hopeful individuals are, how connected with other people are and how individuals form friendships - on a sequence of regionally customized infrastructure to ensure their mental life and </w:t>
      </w:r>
      <w:r w:rsidRPr="00F830E2">
        <w:lastRenderedPageBreak/>
        <w:t>enjoyment in these communities. M&amp;S shall cooperate to implement initiatives, particularly Businesses within the area, with local authorities and others.</w:t>
      </w:r>
    </w:p>
    <w:p w:rsidR="00640C49" w:rsidRPr="00F830E2" w:rsidRDefault="00D573D4" w:rsidP="00B248C9">
      <w:r w:rsidRPr="00F830E2">
        <w:t xml:space="preserve">Every region will get its program of activities such as encouraging entrepreneurs, concentrating on the psychological needs of the patient and offering charities for medical purposes. </w:t>
      </w:r>
      <w:r w:rsidR="00881D56" w:rsidRPr="00F830E2">
        <w:t xml:space="preserve"> </w:t>
      </w:r>
      <w:r w:rsidRPr="00F830E2">
        <w:t>Marks &amp;</w:t>
      </w:r>
      <w:r w:rsidR="00881D56" w:rsidRPr="00F830E2">
        <w:t xml:space="preserve"> </w:t>
      </w:r>
      <w:r w:rsidRPr="00F830E2">
        <w:t>Spencers held a lecture to talk to their workers about the special program. The CEOs have made a contribution of vast amounts of monitored work during the next 5 years to help M&amp;S employees globally. They are planning to remove half the trash by 2026, and a committee is set up to assure that just by 2022, 50% of the world's food purchases would originate from healthful goods. By 2026, they will give £24 million to caring organizations affected by cancer, heart disease, mental illness, homelessness and handicap</w:t>
      </w:r>
      <w:r w:rsidR="00881D56" w:rsidRPr="00F830E2">
        <w:t xml:space="preserve"> (Whitehead, 2020)</w:t>
      </w:r>
      <w:r w:rsidRPr="00F830E2">
        <w:t>. By 2026, M&amp;S plans to get sustainable resources for all key commodities; it plans to establish a green environment in the metropolis.</w:t>
      </w:r>
    </w:p>
    <w:p w:rsidR="00640C49" w:rsidRPr="00F830E2" w:rsidRDefault="00D573D4" w:rsidP="009C4E6B">
      <w:r w:rsidRPr="00F830E2">
        <w:t>They engage with providers to help employees in courses such as financial education, management and wellness. They chose to engage with an Organization named Rising Entrepreneurs that trained more than employees worldwide in their production process in several regions of the world</w:t>
      </w:r>
      <w:r w:rsidR="00881D56" w:rsidRPr="00F830E2">
        <w:t xml:space="preserve"> (Connor, 2017)</w:t>
      </w:r>
      <w:r w:rsidRPr="00F830E2">
        <w:t>. The program participants actively engage in an unbelievable trip to a fresh outlook and are encouraged to take people on the very same experience as their community members. They work with partners to help employees improve management, personal finance and wellbeing. They have selected partnerships with Emerging Entrepreneurship, an organization that has provided management to around 50,000 workers in different areas of the globe. This would give an unbelievable trip to create a new mindset and will offer the necessary guidance on the same road as the locals. Marks &amp; Spencer communicates on external networks with its partners, such as customers, the district and the government</w:t>
      </w:r>
      <w:r w:rsidR="00881D56" w:rsidRPr="00F830E2">
        <w:t xml:space="preserve"> (Dostilio and Welch, 2019).</w:t>
      </w:r>
      <w:r w:rsidRPr="00F830E2">
        <w:t xml:space="preserve"> Its characteristic in public affairs is a means to communicate its attractive image to the relevant audiences successfully. Furthermore, via discussions, advertisements and marketing initiatives, the firm communicates with its major various parties.</w:t>
      </w:r>
    </w:p>
    <w:p w:rsidR="00640C49" w:rsidRPr="00F830E2" w:rsidRDefault="00D573D4">
      <w:pPr>
        <w:spacing w:line="259" w:lineRule="auto"/>
        <w:jc w:val="left"/>
      </w:pPr>
      <w:r w:rsidRPr="00F830E2">
        <w:br w:type="page"/>
      </w:r>
    </w:p>
    <w:p w:rsidR="009C4E6B" w:rsidRPr="00F830E2" w:rsidRDefault="00D573D4" w:rsidP="00C0614F">
      <w:pPr>
        <w:pStyle w:val="Heading1"/>
      </w:pPr>
      <w:bookmarkStart w:id="3" w:name="_Toc79584504"/>
      <w:r w:rsidRPr="00F830E2">
        <w:lastRenderedPageBreak/>
        <w:t>2.</w:t>
      </w:r>
      <w:r w:rsidR="00C0614F" w:rsidRPr="00F830E2">
        <w:t xml:space="preserve"> Community engagement principles &amp; benefits of stakeholders’ participation</w:t>
      </w:r>
      <w:bookmarkEnd w:id="3"/>
    </w:p>
    <w:p w:rsidR="00E33B36" w:rsidRPr="00F830E2" w:rsidRDefault="00D573D4" w:rsidP="00D12175">
      <w:r w:rsidRPr="00F830E2">
        <w:t>It may be a useful procedure to include community actors at an early stage and throughout a community-based initiative. This is due to the ability of local communities, which corporations often lack and may contribute significantly to their efforts. The attention shown in participants and their contribution to development, execution, administration and assessment of programmes, are also important possibilities for learning</w:t>
      </w:r>
      <w:r w:rsidR="00881D56" w:rsidRPr="00F830E2">
        <w:t xml:space="preserve"> (England-Joseph, 2017)</w:t>
      </w:r>
      <w:r w:rsidRPr="00F830E2">
        <w:t>. The invitation of participants to voice their views may have a good effect on interactions, as it helps the stakeholder be recognized and respected.</w:t>
      </w:r>
    </w:p>
    <w:p w:rsidR="00E33B36" w:rsidRPr="00F830E2" w:rsidRDefault="00D573D4" w:rsidP="00D12175">
      <w:r w:rsidRPr="00F830E2">
        <w:t>Partnership and perspectives of stakeholders is a strategic move that can have a long-term influence on organizations. Partnership encourages diverse stakeholders to express their views that contribute to improvement impacts and returns on investments. It is quite beneficial for the business to recognize all stakeholders involved which can have a good effect if they consider the views of outside stakeholders</w:t>
      </w:r>
      <w:r w:rsidR="00881D56" w:rsidRPr="00F830E2">
        <w:t xml:space="preserve"> (Evans, 2018)</w:t>
      </w:r>
      <w:r w:rsidRPr="00F830E2">
        <w:t>. Furthermore, shareholder views not only lower the risk but also help improve durability.</w:t>
      </w:r>
    </w:p>
    <w:p w:rsidR="00E33B36" w:rsidRPr="00F830E2" w:rsidRDefault="00D573D4" w:rsidP="00E33B36">
      <w:r w:rsidRPr="00F830E2">
        <w:t>The strength of this commitment is an appropriate commitment from stakeholders - firms must guarantee that they devote time and money in the furtherance of ties with the particular constituents which can boost community programs.</w:t>
      </w:r>
    </w:p>
    <w:p w:rsidR="00E33B36" w:rsidRPr="00F830E2" w:rsidRDefault="00D573D4" w:rsidP="00E33B36">
      <w:r w:rsidRPr="00F830E2">
        <w:t>When the commitment expires, successful involvement with stakeholders is not concluded. Companies need to condense the engagement of their stakeholders into findings and next moves. The use of this information to assist rethink company policies, development, and collaborations hinges on the importance of engagement and developing connections. The monitoring is not confined to foreign actors</w:t>
      </w:r>
      <w:r w:rsidR="00881D56" w:rsidRPr="00F830E2">
        <w:t xml:space="preserve"> (Greenberger and McNaughton, 2019)</w:t>
      </w:r>
      <w:r w:rsidRPr="00F830E2">
        <w:t>. The internal users must capitalize on the enthusiasm and contribute to the integration of the findings collected. The strategies list enables organizations to pick the forms of commitment most adapted to the function of each partner.</w:t>
      </w:r>
    </w:p>
    <w:p w:rsidR="00E33B36" w:rsidRPr="00F830E2" w:rsidRDefault="00D573D4" w:rsidP="009C4E6B">
      <w:r w:rsidRPr="00F830E2">
        <w:t xml:space="preserve">Engagements with the community and developmental partnerships will encourage a corporation's view of social research and growth to be revised and improved. A firm may include invaluable feed-in to improve its answers even stronger by evaluating support and activities with the </w:t>
      </w:r>
      <w:r w:rsidRPr="00F830E2">
        <w:lastRenderedPageBreak/>
        <w:t>participants who profit from these offerings</w:t>
      </w:r>
      <w:r w:rsidR="00881D56" w:rsidRPr="00F830E2">
        <w:t xml:space="preserve"> (England-Joseph, 2017)</w:t>
      </w:r>
      <w:r w:rsidRPr="00F830E2">
        <w:t>. Contact with stakeholders generates a feedback loop that feeds the plan, assesses the effectiveness of technologies and improves how a firm view</w:t>
      </w:r>
      <w:r w:rsidR="00EA195B" w:rsidRPr="00F830E2">
        <w:t>s</w:t>
      </w:r>
      <w:r w:rsidRPr="00F830E2">
        <w:t xml:space="preserve"> the growth of the community inside and conveys its progressive change outside.</w:t>
      </w:r>
    </w:p>
    <w:p w:rsidR="00D12175" w:rsidRPr="00F830E2" w:rsidRDefault="00D573D4" w:rsidP="00C0614F">
      <w:pPr>
        <w:pStyle w:val="Heading1"/>
      </w:pPr>
      <w:bookmarkStart w:id="4" w:name="_Toc79584505"/>
      <w:r w:rsidRPr="00F830E2">
        <w:t xml:space="preserve">3. </w:t>
      </w:r>
      <w:r w:rsidR="00C0614F" w:rsidRPr="00F830E2">
        <w:t>Relationship between the stakeholders</w:t>
      </w:r>
      <w:bookmarkEnd w:id="4"/>
    </w:p>
    <w:p w:rsidR="00FD5DD0" w:rsidRPr="00F830E2" w:rsidRDefault="00D573D4" w:rsidP="00FD5DD0">
      <w:r w:rsidRPr="00F830E2">
        <w:t>Relationships between stakeholders are the process of building mutually advantageous relationships with third-party organizations and communities with similar interests. These ties establish connections that build legitimate, unified voices on critical topics, goods and activities of the company</w:t>
      </w:r>
      <w:r w:rsidR="00881D56" w:rsidRPr="00F830E2">
        <w:t xml:space="preserve"> (Hatcher and Bringle, 2020)</w:t>
      </w:r>
      <w:r w:rsidRPr="00F830E2">
        <w:t>. A solitary opinion by itself, from either a loss of legitimacy to a lack of loudness, might come apart for several causes. The outcome may be that a problem, a viewpoint or a driving action cannot be raised. A choir of voice, on either hand, can ascend smoothly and at the perfect moment achieve its intended consumers.</w:t>
      </w:r>
    </w:p>
    <w:p w:rsidR="00BC7715" w:rsidRPr="00F830E2" w:rsidRDefault="00D573D4" w:rsidP="00F830E2">
      <w:pPr>
        <w:keepNext/>
        <w:jc w:val="center"/>
      </w:pPr>
      <w:r w:rsidRPr="00F830E2">
        <w:rPr>
          <w:noProof/>
          <w:lang w:val="en-US"/>
        </w:rPr>
        <w:drawing>
          <wp:inline distT="0" distB="0" distL="0" distR="0">
            <wp:extent cx="3874770" cy="2906078"/>
            <wp:effectExtent l="19050" t="0" r="0" b="0"/>
            <wp:docPr id="1" name="Picture 0" descr="stakeholder-mapp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takeholder-mapping.jpg"/>
                    <pic:cNvPicPr/>
                  </pic:nvPicPr>
                  <pic:blipFill>
                    <a:blip r:embed="rId9" cstate="print"/>
                    <a:stretch>
                      <a:fillRect/>
                    </a:stretch>
                  </pic:blipFill>
                  <pic:spPr>
                    <a:xfrm>
                      <a:off x="0" y="0"/>
                      <a:ext cx="3874770" cy="2906078"/>
                    </a:xfrm>
                    <a:prstGeom prst="rect">
                      <a:avLst/>
                    </a:prstGeom>
                  </pic:spPr>
                </pic:pic>
              </a:graphicData>
            </a:graphic>
          </wp:inline>
        </w:drawing>
      </w:r>
    </w:p>
    <w:p w:rsidR="00BC7715" w:rsidRPr="00F830E2" w:rsidRDefault="00D573D4" w:rsidP="00F830E2">
      <w:pPr>
        <w:pStyle w:val="Caption"/>
        <w:jc w:val="center"/>
        <w:rPr>
          <w:i w:val="0"/>
        </w:rPr>
      </w:pPr>
      <w:bookmarkStart w:id="5" w:name="_Toc79584907"/>
      <w:r w:rsidRPr="00F830E2">
        <w:rPr>
          <w:i w:val="0"/>
        </w:rPr>
        <w:t xml:space="preserve">Figure </w:t>
      </w:r>
      <w:r w:rsidRPr="00F830E2">
        <w:rPr>
          <w:i w:val="0"/>
        </w:rPr>
        <w:fldChar w:fldCharType="begin"/>
      </w:r>
      <w:r w:rsidRPr="00F830E2">
        <w:rPr>
          <w:i w:val="0"/>
        </w:rPr>
        <w:instrText xml:space="preserve"> SEQ Figure \* ARABIC </w:instrText>
      </w:r>
      <w:r w:rsidRPr="00F830E2">
        <w:rPr>
          <w:i w:val="0"/>
        </w:rPr>
        <w:fldChar w:fldCharType="separate"/>
      </w:r>
      <w:r w:rsidRPr="00F830E2">
        <w:rPr>
          <w:i w:val="0"/>
          <w:noProof/>
        </w:rPr>
        <w:t>1</w:t>
      </w:r>
      <w:r w:rsidRPr="00F830E2">
        <w:rPr>
          <w:i w:val="0"/>
          <w:noProof/>
        </w:rPr>
        <w:fldChar w:fldCharType="end"/>
      </w:r>
      <w:r w:rsidRPr="00F830E2">
        <w:rPr>
          <w:i w:val="0"/>
        </w:rPr>
        <w:t>: Identifying Stakeholders</w:t>
      </w:r>
      <w:bookmarkEnd w:id="5"/>
    </w:p>
    <w:p w:rsidR="00881D56" w:rsidRPr="00F830E2" w:rsidRDefault="00D573D4" w:rsidP="00F830E2">
      <w:pPr>
        <w:jc w:val="center"/>
      </w:pPr>
      <w:r w:rsidRPr="00F830E2">
        <w:t>Source: (Syamsuar Abbas and Reflianto, 2018)</w:t>
      </w:r>
    </w:p>
    <w:p w:rsidR="00BC7715" w:rsidRPr="00F830E2" w:rsidRDefault="00D573D4" w:rsidP="00FD5DD0">
      <w:r w:rsidRPr="00F830E2">
        <w:t xml:space="preserve">Companies frequently discover approaches at a mitigating risk perspective in creating value derived and associated stakeholder planning processes. Engaging stakeholders immediately, </w:t>
      </w:r>
      <w:r w:rsidRPr="00F830E2">
        <w:lastRenderedPageBreak/>
        <w:t xml:space="preserve">frequently and explicitly helps to control objectives and prevent hazards, possible conflicts and production delays. </w:t>
      </w:r>
    </w:p>
    <w:p w:rsidR="00BC7715" w:rsidRPr="00F830E2" w:rsidRDefault="00D573D4" w:rsidP="00BC7715">
      <w:pPr>
        <w:keepNext/>
        <w:jc w:val="center"/>
      </w:pPr>
      <w:r w:rsidRPr="00F830E2">
        <w:rPr>
          <w:noProof/>
          <w:lang w:val="en-US"/>
        </w:rPr>
        <w:drawing>
          <wp:inline distT="0" distB="0" distL="0" distR="0">
            <wp:extent cx="2556510" cy="3388723"/>
            <wp:effectExtent l="19050" t="0" r="0" b="0"/>
            <wp:docPr id="2" name="Picture 1" descr="9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99.JPG"/>
                    <pic:cNvPicPr/>
                  </pic:nvPicPr>
                  <pic:blipFill>
                    <a:blip r:embed="rId10"/>
                    <a:stretch>
                      <a:fillRect/>
                    </a:stretch>
                  </pic:blipFill>
                  <pic:spPr>
                    <a:xfrm>
                      <a:off x="0" y="0"/>
                      <a:ext cx="2556510" cy="3388723"/>
                    </a:xfrm>
                    <a:prstGeom prst="rect">
                      <a:avLst/>
                    </a:prstGeom>
                  </pic:spPr>
                </pic:pic>
              </a:graphicData>
            </a:graphic>
          </wp:inline>
        </w:drawing>
      </w:r>
    </w:p>
    <w:p w:rsidR="00BC7715" w:rsidRPr="00F830E2" w:rsidRDefault="00D573D4" w:rsidP="00BC7715">
      <w:pPr>
        <w:pStyle w:val="Caption"/>
        <w:jc w:val="center"/>
        <w:rPr>
          <w:i w:val="0"/>
        </w:rPr>
      </w:pPr>
      <w:bookmarkStart w:id="6" w:name="_Toc79584908"/>
      <w:r w:rsidRPr="00F830E2">
        <w:rPr>
          <w:i w:val="0"/>
        </w:rPr>
        <w:t xml:space="preserve">Figure </w:t>
      </w:r>
      <w:r w:rsidRPr="00F830E2">
        <w:rPr>
          <w:i w:val="0"/>
        </w:rPr>
        <w:fldChar w:fldCharType="begin"/>
      </w:r>
      <w:r w:rsidRPr="00F830E2">
        <w:rPr>
          <w:i w:val="0"/>
        </w:rPr>
        <w:instrText xml:space="preserve"> SEQ Figure \* ARABIC </w:instrText>
      </w:r>
      <w:r w:rsidRPr="00F830E2">
        <w:rPr>
          <w:i w:val="0"/>
        </w:rPr>
        <w:fldChar w:fldCharType="separate"/>
      </w:r>
      <w:r w:rsidRPr="00F830E2">
        <w:rPr>
          <w:i w:val="0"/>
          <w:noProof/>
        </w:rPr>
        <w:t>2</w:t>
      </w:r>
      <w:r w:rsidRPr="00F830E2">
        <w:rPr>
          <w:i w:val="0"/>
          <w:noProof/>
        </w:rPr>
        <w:fldChar w:fldCharType="end"/>
      </w:r>
      <w:r w:rsidRPr="00F830E2">
        <w:rPr>
          <w:i w:val="0"/>
        </w:rPr>
        <w:t>: Creating relationships between Stakeholders</w:t>
      </w:r>
      <w:bookmarkEnd w:id="6"/>
    </w:p>
    <w:p w:rsidR="00881D56" w:rsidRPr="00F830E2" w:rsidRDefault="00D573D4" w:rsidP="00881D56">
      <w:pPr>
        <w:jc w:val="center"/>
      </w:pPr>
      <w:r w:rsidRPr="00F830E2">
        <w:t>Source: (Dostilio and Welch, 2019)</w:t>
      </w:r>
    </w:p>
    <w:p w:rsidR="001B5D7B" w:rsidRPr="00F830E2" w:rsidRDefault="00D573D4" w:rsidP="00FD5DD0">
      <w:r w:rsidRPr="00F830E2">
        <w:t>It gives a chance to establish significant asset value, improve branding in companies and generate widely distributed value for its shareholders. With this broad vision, corporations build more strong involvement programs which are developed towards fully-fledged statements and procedures on conservation</w:t>
      </w:r>
      <w:r w:rsidR="00881D56" w:rsidRPr="00F830E2">
        <w:t xml:space="preserve"> (Connor, 2017)</w:t>
      </w:r>
      <w:r w:rsidRPr="00F830E2">
        <w:t>. This begins with recognizing that participants' views and opinions often fluctuate.</w:t>
      </w:r>
      <w:r w:rsidRPr="00F830E2">
        <w:br w:type="page"/>
      </w:r>
    </w:p>
    <w:p w:rsidR="001B5D7B" w:rsidRPr="00F830E2" w:rsidRDefault="00D573D4" w:rsidP="00C0614F">
      <w:pPr>
        <w:pStyle w:val="Heading1"/>
      </w:pPr>
      <w:bookmarkStart w:id="7" w:name="_Toc79584506"/>
      <w:r w:rsidRPr="00F830E2">
        <w:lastRenderedPageBreak/>
        <w:t>4.</w:t>
      </w:r>
      <w:r w:rsidR="00C0614F" w:rsidRPr="00F830E2">
        <w:t xml:space="preserve"> Social media sites can be utilized for program assistance</w:t>
      </w:r>
      <w:bookmarkEnd w:id="7"/>
    </w:p>
    <w:p w:rsidR="00745CF2" w:rsidRPr="00F830E2" w:rsidRDefault="00D573D4" w:rsidP="009C4E6B">
      <w:r w:rsidRPr="00F830E2">
        <w:t>The utilization of web- and information devices for transforming communications into participatory discussion" alludes to social networks. It is a way for people to build online forums to share data, thoughts, private messages as well as other stuff, including photographs and films. Social media, commonly known as "Internet 2.0," fast becomes the greatest means to get in touch not only with the millennial population because for recreational or educational grounds they spent more of their time internet, but also with their families, who are already starting to use social media</w:t>
      </w:r>
      <w:r w:rsidR="00881D56" w:rsidRPr="00F830E2">
        <w:t xml:space="preserve"> (Charles, 2018)</w:t>
      </w:r>
      <w:r w:rsidRPr="00F830E2">
        <w:t>. Almost all of the sites in question provide simple and free means of interacting closely with clients, organisations and individual people in a two-way fashion. Due to the increasing use of portable devices and electronic phones, social media participation has become necessary for companies and institutions to engage completely with their audiences. Social media participation</w:t>
      </w:r>
    </w:p>
    <w:p w:rsidR="001B5D7B" w:rsidRPr="00F830E2" w:rsidRDefault="00D573D4" w:rsidP="009C4E6B">
      <w:r w:rsidRPr="00F830E2">
        <w:t>Facebook Instagram Twitter etc. social media platforms can help to promote campaigns or events within the community members and help them to share their voices and opinions regarding the issues. With the help of such social media sites, community members can invite their friends and relatives to the event concerning environmental issues and help them to know about the issue more viably and increase their social awareness</w:t>
      </w:r>
      <w:r w:rsidR="00881D56" w:rsidRPr="00F830E2">
        <w:t xml:space="preserve"> (Greenberger and McNaughton, 2019)</w:t>
      </w:r>
      <w:r w:rsidRPr="00F830E2">
        <w:t xml:space="preserve">. With the help of social media live programs on Instagram or Facebook platforms or using hashtags on Twitter they can reach more people. </w:t>
      </w:r>
    </w:p>
    <w:p w:rsidR="001834FC" w:rsidRPr="00F830E2" w:rsidRDefault="00D573D4" w:rsidP="009C4E6B">
      <w:r w:rsidRPr="00F830E2">
        <w:br w:type="page"/>
      </w:r>
    </w:p>
    <w:p w:rsidR="00597EEE" w:rsidRPr="00F830E2" w:rsidRDefault="00D573D4" w:rsidP="00C0614F">
      <w:pPr>
        <w:pStyle w:val="Heading1"/>
      </w:pPr>
      <w:bookmarkStart w:id="8" w:name="_Toc79584507"/>
      <w:r w:rsidRPr="00F830E2">
        <w:lastRenderedPageBreak/>
        <w:t>5.</w:t>
      </w:r>
      <w:r w:rsidR="00C0614F" w:rsidRPr="00F830E2">
        <w:t xml:space="preserve"> Assess why practitioners need to educate people of the community for future practice</w:t>
      </w:r>
      <w:bookmarkEnd w:id="8"/>
    </w:p>
    <w:p w:rsidR="00745CF2" w:rsidRPr="00F830E2" w:rsidRDefault="00D573D4" w:rsidP="00745CF2">
      <w:r w:rsidRPr="00F830E2">
        <w:t>Thinking forwards Community learning is an efficient approach to react to the worldwide, national and local challenges of raising standards</w:t>
      </w:r>
      <w:r w:rsidR="00881D56" w:rsidRPr="00F830E2">
        <w:t xml:space="preserve"> (England-Joseph, 2017)</w:t>
      </w:r>
      <w:r w:rsidRPr="00F830E2">
        <w:t>.  It extends the conventional function of public schools via the establishment of links between families, communities across the country.</w:t>
      </w:r>
    </w:p>
    <w:p w:rsidR="00745CF2" w:rsidRPr="00F830E2" w:rsidRDefault="00D573D4" w:rsidP="00745CF2">
      <w:r w:rsidRPr="00F830E2">
        <w:t>People better their situation and communities by providing community training and knowledge and cooperation possibilities. It affects all local representatives, institutions, governments, homes, neighbours and people</w:t>
      </w:r>
      <w:r w:rsidR="00881D56" w:rsidRPr="00F830E2">
        <w:t xml:space="preserve"> (Connor, 2017)</w:t>
      </w:r>
      <w:r w:rsidRPr="00F830E2">
        <w:t>. They also affect people.</w:t>
      </w:r>
    </w:p>
    <w:p w:rsidR="00597EEE" w:rsidRPr="00F830E2" w:rsidRDefault="00D573D4" w:rsidP="00745CF2">
      <w:r w:rsidRPr="00F830E2">
        <w:t>The potential of a single person and the entire community of becoming critical thinkers have been at the core of educational programs</w:t>
      </w:r>
      <w:r w:rsidR="00881D56" w:rsidRPr="00F830E2">
        <w:t xml:space="preserve"> (Charles, 2018)</w:t>
      </w:r>
      <w:r w:rsidRPr="00F830E2">
        <w:t>. Individuals may establish con</w:t>
      </w:r>
      <w:r w:rsidR="00881D56" w:rsidRPr="00F830E2">
        <w:t>nections and solution abilities.</w:t>
      </w:r>
    </w:p>
    <w:p w:rsidR="00745CF2" w:rsidRPr="00F830E2" w:rsidRDefault="00D573D4">
      <w:pPr>
        <w:spacing w:line="259" w:lineRule="auto"/>
        <w:jc w:val="left"/>
        <w:rPr>
          <w:rFonts w:ascii="Calibri Light" w:eastAsiaTheme="majorEastAsia" w:hAnsi="Calibri Light" w:cstheme="majorBidi"/>
          <w:b/>
          <w:sz w:val="28"/>
          <w:szCs w:val="32"/>
        </w:rPr>
      </w:pPr>
      <w:r w:rsidRPr="00F830E2">
        <w:br w:type="page"/>
      </w:r>
    </w:p>
    <w:p w:rsidR="00C26C09" w:rsidRPr="00F830E2" w:rsidRDefault="00D573D4" w:rsidP="00C26C09">
      <w:pPr>
        <w:pStyle w:val="Heading1"/>
      </w:pPr>
      <w:bookmarkStart w:id="9" w:name="_Toc79584508"/>
      <w:r w:rsidRPr="00F830E2">
        <w:lastRenderedPageBreak/>
        <w:t>Recommendation</w:t>
      </w:r>
      <w:bookmarkEnd w:id="9"/>
    </w:p>
    <w:p w:rsidR="00C26C09" w:rsidRPr="00F830E2" w:rsidRDefault="00D573D4" w:rsidP="00C26C09">
      <w:pPr>
        <w:rPr>
          <w:rFonts w:ascii="Calibri Light" w:eastAsiaTheme="majorEastAsia" w:hAnsi="Calibri Light" w:cstheme="majorBidi"/>
          <w:b/>
          <w:sz w:val="28"/>
          <w:szCs w:val="32"/>
        </w:rPr>
      </w:pPr>
      <w:r w:rsidRPr="00F830E2">
        <w:t>Marks &amp; Spencer's suggestions would inspire millions of its global customers to support a worthy cause. This will also assist the town to improve its residential image. M&amp;S can provide 1p towards the charity for which it has been selected to acquire a customer with such a Sparks Tickets as well as a Spencer</w:t>
      </w:r>
      <w:r w:rsidR="00881D56" w:rsidRPr="00F830E2">
        <w:t xml:space="preserve"> (Whitehead, 2020)</w:t>
      </w:r>
      <w:r w:rsidRPr="00F830E2">
        <w:t xml:space="preserve">. Throughout 2015 M&amp;S has given over £7m to its Spark programs. They also will increase the number of charitable organizations from 10 to 35, to offer customers a larger variety. </w:t>
      </w:r>
      <w:r w:rsidR="009E363C" w:rsidRPr="00F830E2">
        <w:t>They need to organize brainstorming meetings and communicate with executives in their main business unit to identify whatever they want to accomplish with customers and to show additional caring workers tools, knowledge, and community outreach and storage spaces. By the partnerships they build they address the demands of consumers and workers</w:t>
      </w:r>
      <w:r w:rsidR="00881D56" w:rsidRPr="00F830E2">
        <w:t xml:space="preserve"> (Hatcher and Bringle, 2020)</w:t>
      </w:r>
      <w:r w:rsidR="009E363C" w:rsidRPr="00F830E2">
        <w:t xml:space="preserve">. By being a sponsorship users can assist the World's </w:t>
      </w:r>
      <w:r w:rsidR="00B955A5" w:rsidRPr="00F830E2">
        <w:t>biggest</w:t>
      </w:r>
      <w:r w:rsidR="009E363C" w:rsidRPr="00F830E2">
        <w:t xml:space="preserve"> programmes. Their employees may compete and raise funds, get above and inspire and involve their clients. Throughout 2011 they lately have raised over £18 million to provide Macmillan's critical offer for local districts in the United Kingdom.</w:t>
      </w:r>
      <w:r w:rsidRPr="00F830E2">
        <w:br w:type="page"/>
      </w:r>
    </w:p>
    <w:p w:rsidR="001834FC" w:rsidRPr="00F830E2" w:rsidRDefault="00D573D4" w:rsidP="001834FC">
      <w:pPr>
        <w:pStyle w:val="Heading1"/>
      </w:pPr>
      <w:bookmarkStart w:id="10" w:name="_Toc79584509"/>
      <w:r w:rsidRPr="00F830E2">
        <w:lastRenderedPageBreak/>
        <w:t>Conclusion</w:t>
      </w:r>
      <w:bookmarkEnd w:id="10"/>
    </w:p>
    <w:p w:rsidR="001834FC" w:rsidRPr="00F830E2" w:rsidRDefault="00D573D4">
      <w:r w:rsidRPr="00F830E2">
        <w:t>Marks &amp; Spencer don't have to want to concentrate more on collecting community participation payments. They should rather be more motivated to empathize with the communities for their staff. It could encourage the staff and enable them to participate in the new transformation. Traditionally, the efficiency of firms has increased as they have participated more in communitarian involvement. Marks &amp; Spencer has made an income of 10.20 billion GBP by 2020 by engaging in community involvement. As a component of their programs, they accomplished 286 far-reaching humanitarian and environmental pledges, received 200 honours, and conserved around GBP 750 million through cutting energy use, cutting logistics prices, and minimizing package use.</w:t>
      </w:r>
      <w:r w:rsidRPr="00F830E2">
        <w:br w:type="page"/>
      </w:r>
    </w:p>
    <w:p w:rsidR="00D4496D" w:rsidRPr="00F830E2" w:rsidRDefault="00D573D4" w:rsidP="00D4496D">
      <w:pPr>
        <w:pStyle w:val="Heading1"/>
      </w:pPr>
      <w:bookmarkStart w:id="11" w:name="_Toc79584510"/>
      <w:r w:rsidRPr="00F830E2">
        <w:lastRenderedPageBreak/>
        <w:t>References</w:t>
      </w:r>
      <w:bookmarkEnd w:id="11"/>
    </w:p>
    <w:p w:rsidR="00D4496D" w:rsidRPr="00F830E2" w:rsidRDefault="00D573D4" w:rsidP="00D4496D">
      <w:r w:rsidRPr="00F830E2">
        <w:t>Charles, C., 2018. THE IMPORTANCE OF COMMUNITY AND INDIGENOUS ENGAGEMENT. The APPEA Journal, 46(2), p.57.</w:t>
      </w:r>
    </w:p>
    <w:p w:rsidR="00D4496D" w:rsidRPr="00F830E2" w:rsidRDefault="00D573D4" w:rsidP="00D4496D">
      <w:r w:rsidRPr="00F830E2">
        <w:t>Connor, A., 2017. Rules of community engagement. Cupertino, CA: HappyAbout.info.</w:t>
      </w:r>
    </w:p>
    <w:p w:rsidR="00D4496D" w:rsidRPr="00F830E2" w:rsidRDefault="00D573D4" w:rsidP="00D4496D">
      <w:r w:rsidRPr="00F830E2">
        <w:t>Dostilio, L. and Welch, M., 2019. The Community Engagement Professional's Guidebook. Bloomfield: Campus Compact.</w:t>
      </w:r>
    </w:p>
    <w:p w:rsidR="00D4496D" w:rsidRPr="00F830E2" w:rsidRDefault="00D573D4" w:rsidP="00D4496D">
      <w:r w:rsidRPr="00F830E2">
        <w:t>England-Joseph, J., 2017. Community development. Washington, D.C.: The Office.</w:t>
      </w:r>
    </w:p>
    <w:p w:rsidR="00D4496D" w:rsidRPr="00F830E2" w:rsidRDefault="00D573D4" w:rsidP="00D4496D">
      <w:r w:rsidRPr="00F830E2">
        <w:t>Evans, S., 2018. African Americans and community engagement in higher education. Albany: State University of New York Press.</w:t>
      </w:r>
    </w:p>
    <w:p w:rsidR="00D4496D" w:rsidRPr="00F830E2" w:rsidRDefault="00D573D4" w:rsidP="00D4496D">
      <w:r w:rsidRPr="00F830E2">
        <w:t>Greenberger, S. and McNaughton, M., 2019. The Community Engagement Portfolio: Documenting Faculty Community Engagement. Journal of Scholarly Engagement, 2(1), p.23.</w:t>
      </w:r>
    </w:p>
    <w:p w:rsidR="00D4496D" w:rsidRPr="00F830E2" w:rsidRDefault="00D573D4" w:rsidP="00D4496D">
      <w:r w:rsidRPr="00F830E2">
        <w:t>Hatcher, J. and Bringle, R., 2020. Understanding service-learning and community engagement. Charlotte, N.C.: Information Age Pub.</w:t>
      </w:r>
    </w:p>
    <w:p w:rsidR="00D4496D" w:rsidRPr="00F830E2" w:rsidRDefault="00D573D4" w:rsidP="00D4496D">
      <w:r w:rsidRPr="00F830E2">
        <w:t>Marks.com. 2021. Mark's. [online] Available at: &lt;https://www.marks.com/&gt; [Accessed 11 August 2021].</w:t>
      </w:r>
    </w:p>
    <w:p w:rsidR="00D4496D" w:rsidRPr="00F830E2" w:rsidRDefault="00D573D4" w:rsidP="00D4496D">
      <w:r w:rsidRPr="00F830E2">
        <w:t>Syamsuar Abbas and Reflianto, 2018. A Community Based Research: Building Healthy Living Community. Engagement : Jurnal Pengabdian Kepada Masyarakat, 2(2), pp.191-203.</w:t>
      </w:r>
    </w:p>
    <w:p w:rsidR="000F02BF" w:rsidRPr="00F830E2" w:rsidRDefault="00D573D4" w:rsidP="00D4496D">
      <w:r w:rsidRPr="00F830E2">
        <w:t>Whitehead, M., 2020. Marks &amp; Spencer –. Management Decision, 32(3), pp.38-41.</w:t>
      </w:r>
    </w:p>
    <w:sectPr w:rsidR="000F02BF" w:rsidRPr="00F830E2"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D1FFC" w:rsidRDefault="005D1FFC">
      <w:pPr>
        <w:spacing w:after="0" w:line="240" w:lineRule="auto"/>
      </w:pPr>
      <w:r>
        <w:separator/>
      </w:r>
    </w:p>
  </w:endnote>
  <w:endnote w:type="continuationSeparator" w:id="0">
    <w:p w:rsidR="005D1FFC" w:rsidRDefault="005D1F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70564993"/>
      <w:docPartObj>
        <w:docPartGallery w:val="Page Numbers (Bottom of Page)"/>
        <w:docPartUnique/>
      </w:docPartObj>
    </w:sdtPr>
    <w:sdtEndPr>
      <w:rPr>
        <w:noProof/>
      </w:rPr>
    </w:sdtEndPr>
    <w:sdtContent>
      <w:p w:rsidR="001834FC" w:rsidRDefault="00D573D4">
        <w:pPr>
          <w:pStyle w:val="Footer"/>
          <w:jc w:val="right"/>
        </w:pPr>
        <w:r>
          <w:fldChar w:fldCharType="begin"/>
        </w:r>
        <w:r>
          <w:instrText xml:space="preserve"> PAGE   \* MERGEFORMAT </w:instrText>
        </w:r>
        <w:r>
          <w:fldChar w:fldCharType="separate"/>
        </w:r>
        <w:r w:rsidR="00DF64E7">
          <w:rPr>
            <w:noProof/>
          </w:rPr>
          <w:t>ii</w:t>
        </w:r>
        <w:r>
          <w:rPr>
            <w:noProof/>
          </w:rPr>
          <w:fldChar w:fldCharType="end"/>
        </w:r>
      </w:p>
    </w:sdtContent>
  </w:sdt>
  <w:p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D1FFC" w:rsidRDefault="005D1FFC">
      <w:pPr>
        <w:spacing w:after="0" w:line="240" w:lineRule="auto"/>
      </w:pPr>
      <w:r>
        <w:separator/>
      </w:r>
    </w:p>
  </w:footnote>
  <w:footnote w:type="continuationSeparator" w:id="0">
    <w:p w:rsidR="005D1FFC" w:rsidRDefault="005D1F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a0sDAyNTY1NDexNLEwNzJQ0lEKTi0uzszPAykwqwUAzy9IRywAAAA="/>
  </w:docVars>
  <w:rsids>
    <w:rsidRoot w:val="00A60069"/>
    <w:rsid w:val="000E047C"/>
    <w:rsid w:val="000F02BF"/>
    <w:rsid w:val="001834FC"/>
    <w:rsid w:val="001B5D7B"/>
    <w:rsid w:val="001D16F6"/>
    <w:rsid w:val="0022399E"/>
    <w:rsid w:val="002515A9"/>
    <w:rsid w:val="00252195"/>
    <w:rsid w:val="002B5CFF"/>
    <w:rsid w:val="00303FA6"/>
    <w:rsid w:val="00387612"/>
    <w:rsid w:val="003D31F3"/>
    <w:rsid w:val="00453D4C"/>
    <w:rsid w:val="00474105"/>
    <w:rsid w:val="00490718"/>
    <w:rsid w:val="00597EEE"/>
    <w:rsid w:val="005D1FFC"/>
    <w:rsid w:val="00640C49"/>
    <w:rsid w:val="006F3E7B"/>
    <w:rsid w:val="006F4DA5"/>
    <w:rsid w:val="00745CF2"/>
    <w:rsid w:val="00795E07"/>
    <w:rsid w:val="007B4A1D"/>
    <w:rsid w:val="007B7B60"/>
    <w:rsid w:val="007F12E9"/>
    <w:rsid w:val="00825641"/>
    <w:rsid w:val="00881D56"/>
    <w:rsid w:val="00913C8F"/>
    <w:rsid w:val="00953358"/>
    <w:rsid w:val="0095392B"/>
    <w:rsid w:val="00975554"/>
    <w:rsid w:val="009C4E6B"/>
    <w:rsid w:val="009E363C"/>
    <w:rsid w:val="009F29B1"/>
    <w:rsid w:val="00A30F28"/>
    <w:rsid w:val="00A60069"/>
    <w:rsid w:val="00B248C9"/>
    <w:rsid w:val="00B955A5"/>
    <w:rsid w:val="00BB6D54"/>
    <w:rsid w:val="00BC7715"/>
    <w:rsid w:val="00BE1F2A"/>
    <w:rsid w:val="00C019A6"/>
    <w:rsid w:val="00C0614F"/>
    <w:rsid w:val="00C10D02"/>
    <w:rsid w:val="00C221CE"/>
    <w:rsid w:val="00C26C09"/>
    <w:rsid w:val="00C46F3D"/>
    <w:rsid w:val="00C54CFD"/>
    <w:rsid w:val="00D12175"/>
    <w:rsid w:val="00D31725"/>
    <w:rsid w:val="00D40F4E"/>
    <w:rsid w:val="00D4496D"/>
    <w:rsid w:val="00D573D4"/>
    <w:rsid w:val="00D9652D"/>
    <w:rsid w:val="00DF64E7"/>
    <w:rsid w:val="00E33B36"/>
    <w:rsid w:val="00E6326A"/>
    <w:rsid w:val="00EA195B"/>
    <w:rsid w:val="00EB7A2D"/>
    <w:rsid w:val="00EC16C3"/>
    <w:rsid w:val="00EC3745"/>
    <w:rsid w:val="00F830E2"/>
    <w:rsid w:val="00F86B55"/>
    <w:rsid w:val="00FA369C"/>
    <w:rsid w:val="00FD5DD0"/>
    <w:rsid w:val="00FF23A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D5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6F4DA5"/>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25641"/>
    <w:pPr>
      <w:keepNext/>
      <w:keepLines/>
      <w:spacing w:before="40" w:after="0"/>
      <w:outlineLvl w:val="1"/>
    </w:pPr>
    <w:rPr>
      <w:rFonts w:ascii="Calibri Light" w:eastAsiaTheme="majorEastAsia" w:hAnsi="Calibri Light" w:cstheme="majorBidi"/>
      <w:b/>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25641"/>
    <w:rPr>
      <w:rFonts w:ascii="Calibri Light" w:eastAsiaTheme="majorEastAsia" w:hAnsi="Calibri Light" w:cstheme="majorBidi"/>
      <w:b/>
      <w:color w:val="000000" w:themeColor="text1"/>
      <w:sz w:val="26"/>
      <w:szCs w:val="26"/>
    </w:rPr>
  </w:style>
  <w:style w:type="character" w:customStyle="1" w:styleId="Heading1Char">
    <w:name w:val="Heading 1 Char"/>
    <w:basedOn w:val="DefaultParagraphFont"/>
    <w:link w:val="Heading1"/>
    <w:uiPriority w:val="9"/>
    <w:rsid w:val="006F4DA5"/>
    <w:rPr>
      <w:rFonts w:ascii="Times New Roman" w:eastAsiaTheme="majorEastAsia" w:hAnsi="Times New Roman" w:cstheme="majorBidi"/>
      <w:b/>
      <w:color w:val="000000" w:themeColor="text1"/>
      <w:sz w:val="28"/>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BalloonText">
    <w:name w:val="Balloon Text"/>
    <w:basedOn w:val="Normal"/>
    <w:link w:val="BalloonTextChar"/>
    <w:uiPriority w:val="99"/>
    <w:semiHidden/>
    <w:unhideWhenUsed/>
    <w:rsid w:val="009C4E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4E6B"/>
    <w:rPr>
      <w:rFonts w:ascii="Tahoma" w:hAnsi="Tahoma" w:cs="Tahoma"/>
      <w:color w:val="000000" w:themeColor="text1"/>
      <w:sz w:val="16"/>
      <w:szCs w:val="16"/>
      <w:lang w:val="en-GB"/>
    </w:rPr>
  </w:style>
  <w:style w:type="paragraph" w:styleId="TableofFigures">
    <w:name w:val="table of figures"/>
    <w:basedOn w:val="Normal"/>
    <w:next w:val="Normal"/>
    <w:uiPriority w:val="99"/>
    <w:unhideWhenUsed/>
    <w:rsid w:val="00D31725"/>
    <w:pPr>
      <w:spacing w:after="0"/>
    </w:pPr>
  </w:style>
  <w:style w:type="paragraph" w:styleId="NoSpacing">
    <w:name w:val="No Spacing"/>
    <w:link w:val="NoSpacingChar"/>
    <w:uiPriority w:val="1"/>
    <w:qFormat/>
    <w:rsid w:val="003D31F3"/>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3D31F3"/>
    <w:rPr>
      <w:rFonts w:eastAsiaTheme="minorEastAsia"/>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8E0BA7D-C250-4A9A-AB5C-0BA9F1482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2629</Words>
  <Characters>14986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2020-06-20T09:46:00Z</dcterms:created>
  <dcterms:modified xsi:type="dcterms:W3CDTF">2021-09-07T07:45:00Z</dcterms:modified>
</cp:coreProperties>
</file>