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9E67EB" w14:textId="40C12ED0" w:rsidR="0B64876F" w:rsidRPr="00C82993" w:rsidRDefault="240C3856" w:rsidP="00C82993">
      <w:pPr>
        <w:spacing w:line="480" w:lineRule="auto"/>
        <w:jc w:val="both"/>
        <w:rPr>
          <w:rFonts w:ascii="Arial" w:eastAsia="Times New Roman" w:hAnsi="Arial" w:cs="Arial"/>
          <w:b/>
          <w:bCs/>
          <w:color w:val="000000" w:themeColor="text1"/>
          <w:u w:val="single"/>
        </w:rPr>
      </w:pPr>
      <w:r w:rsidRPr="00C82993">
        <w:rPr>
          <w:rFonts w:ascii="Arial" w:hAnsi="Arial" w:cs="Arial"/>
          <w:b/>
          <w:bCs/>
        </w:rPr>
        <w:t>Critically evaluate the difficulties vulnerable victims may encounter within the criminal justice system</w:t>
      </w:r>
    </w:p>
    <w:p w14:paraId="3C31967F" w14:textId="0C361FF2" w:rsidR="759405EA" w:rsidRPr="00C82993" w:rsidRDefault="759405EA" w:rsidP="00C82993">
      <w:pPr>
        <w:spacing w:line="480" w:lineRule="auto"/>
        <w:jc w:val="both"/>
        <w:rPr>
          <w:rFonts w:ascii="Arial" w:hAnsi="Arial" w:cs="Arial"/>
        </w:rPr>
      </w:pPr>
    </w:p>
    <w:p w14:paraId="17B18254" w14:textId="382B97FC" w:rsidR="7B484A7B" w:rsidRPr="00C82993" w:rsidRDefault="49F8372D" w:rsidP="00C82993">
      <w:pPr>
        <w:spacing w:line="480" w:lineRule="auto"/>
        <w:jc w:val="both"/>
        <w:rPr>
          <w:rFonts w:ascii="Arial" w:hAnsi="Arial" w:cs="Arial"/>
        </w:rPr>
      </w:pPr>
      <w:r w:rsidRPr="00C82993">
        <w:rPr>
          <w:rFonts w:ascii="Arial" w:hAnsi="Arial" w:cs="Arial"/>
        </w:rPr>
        <w:t>T</w:t>
      </w:r>
      <w:r w:rsidR="3DA6C1E9" w:rsidRPr="00C82993">
        <w:rPr>
          <w:rFonts w:ascii="Arial" w:hAnsi="Arial" w:cs="Arial"/>
        </w:rPr>
        <w:t xml:space="preserve">he treatment of vulnerable victims within the </w:t>
      </w:r>
      <w:r w:rsidR="00F1473E" w:rsidRPr="00C82993">
        <w:rPr>
          <w:rFonts w:ascii="Arial" w:hAnsi="Arial" w:cs="Arial"/>
        </w:rPr>
        <w:t>C</w:t>
      </w:r>
      <w:r w:rsidR="3DA6C1E9" w:rsidRPr="00C82993">
        <w:rPr>
          <w:rFonts w:ascii="Arial" w:hAnsi="Arial" w:cs="Arial"/>
        </w:rPr>
        <w:t>rimin</w:t>
      </w:r>
      <w:r w:rsidR="4E611C17" w:rsidRPr="00C82993">
        <w:rPr>
          <w:rFonts w:ascii="Arial" w:hAnsi="Arial" w:cs="Arial"/>
        </w:rPr>
        <w:t xml:space="preserve">al </w:t>
      </w:r>
      <w:r w:rsidR="00F1473E" w:rsidRPr="00C82993">
        <w:rPr>
          <w:rFonts w:ascii="Arial" w:hAnsi="Arial" w:cs="Arial"/>
        </w:rPr>
        <w:t>J</w:t>
      </w:r>
      <w:r w:rsidR="4E611C17" w:rsidRPr="00C82993">
        <w:rPr>
          <w:rFonts w:ascii="Arial" w:hAnsi="Arial" w:cs="Arial"/>
        </w:rPr>
        <w:t xml:space="preserve">ustice </w:t>
      </w:r>
      <w:r w:rsidR="00F1473E" w:rsidRPr="00C82993">
        <w:rPr>
          <w:rFonts w:ascii="Arial" w:hAnsi="Arial" w:cs="Arial"/>
        </w:rPr>
        <w:t>S</w:t>
      </w:r>
      <w:r w:rsidR="4E611C17" w:rsidRPr="00C82993">
        <w:rPr>
          <w:rFonts w:ascii="Arial" w:hAnsi="Arial" w:cs="Arial"/>
        </w:rPr>
        <w:t xml:space="preserve">ystem (CJS) remains a central concern in contemporary victimological and policy debates. Vulnerability in this </w:t>
      </w:r>
      <w:r w:rsidR="736FCFC9" w:rsidRPr="00C82993">
        <w:rPr>
          <w:rFonts w:ascii="Arial" w:hAnsi="Arial" w:cs="Arial"/>
        </w:rPr>
        <w:t>context is best understood not as a fixed personal attribute, but as a socially</w:t>
      </w:r>
      <w:r w:rsidR="0D1E7216" w:rsidRPr="00C82993">
        <w:rPr>
          <w:rFonts w:ascii="Arial" w:hAnsi="Arial" w:cs="Arial"/>
        </w:rPr>
        <w:t xml:space="preserve"> constructed and legally operationalised condition. It is socially constructed in that vulnerability emerges </w:t>
      </w:r>
      <w:r w:rsidR="00C075C3" w:rsidRPr="00C82993">
        <w:rPr>
          <w:rFonts w:ascii="Arial" w:hAnsi="Arial" w:cs="Arial"/>
        </w:rPr>
        <w:t>through</w:t>
      </w:r>
      <w:r w:rsidR="0D1E7216" w:rsidRPr="00C82993">
        <w:rPr>
          <w:rFonts w:ascii="Arial" w:hAnsi="Arial" w:cs="Arial"/>
        </w:rPr>
        <w:t xml:space="preserve"> structural inequalities and lived </w:t>
      </w:r>
      <w:r w:rsidR="00C075C3" w:rsidRPr="00C82993">
        <w:rPr>
          <w:rFonts w:ascii="Arial" w:hAnsi="Arial" w:cs="Arial"/>
        </w:rPr>
        <w:t>circumstances</w:t>
      </w:r>
      <w:r w:rsidR="1A1B51AF" w:rsidRPr="00C82993">
        <w:rPr>
          <w:rFonts w:ascii="Arial" w:hAnsi="Arial" w:cs="Arial"/>
        </w:rPr>
        <w:t xml:space="preserve">, including disability, age, coercive control, and socio-economic marginalisation, which </w:t>
      </w:r>
      <w:r w:rsidR="00C25348" w:rsidRPr="00C82993">
        <w:rPr>
          <w:rFonts w:ascii="Arial" w:hAnsi="Arial" w:cs="Arial"/>
        </w:rPr>
        <w:t>both expose individuals to victimisation and enable them</w:t>
      </w:r>
      <w:r w:rsidR="276B5F9D" w:rsidRPr="00C82993">
        <w:rPr>
          <w:rFonts w:ascii="Arial" w:hAnsi="Arial" w:cs="Arial"/>
        </w:rPr>
        <w:t xml:space="preserve"> to engage effectively with justice </w:t>
      </w:r>
      <w:r w:rsidR="00C075C3" w:rsidRPr="00C82993">
        <w:rPr>
          <w:rFonts w:ascii="Arial" w:hAnsi="Arial" w:cs="Arial"/>
        </w:rPr>
        <w:t>processes</w:t>
      </w:r>
      <w:r w:rsidR="4EF1C4CF" w:rsidRPr="00C82993">
        <w:rPr>
          <w:rFonts w:ascii="Arial" w:hAnsi="Arial" w:cs="Arial"/>
        </w:rPr>
        <w:t xml:space="preserve"> (Kösl, Korntheuer and Surzykiewicz, 2025). At the same time, vulnerability is legally operationalised through policy frameworks that identify certain cat</w:t>
      </w:r>
      <w:r w:rsidR="6D800EAB" w:rsidRPr="00C82993">
        <w:rPr>
          <w:rFonts w:ascii="Arial" w:hAnsi="Arial" w:cs="Arial"/>
        </w:rPr>
        <w:t>egories of victim</w:t>
      </w:r>
      <w:r w:rsidR="00C25348" w:rsidRPr="00C82993">
        <w:rPr>
          <w:rFonts w:ascii="Arial" w:hAnsi="Arial" w:cs="Arial"/>
        </w:rPr>
        <w:t>s</w:t>
      </w:r>
      <w:r w:rsidR="6D800EAB" w:rsidRPr="00C82993">
        <w:rPr>
          <w:rFonts w:ascii="Arial" w:hAnsi="Arial" w:cs="Arial"/>
        </w:rPr>
        <w:t xml:space="preserve"> for procedural protection.</w:t>
      </w:r>
    </w:p>
    <w:p w14:paraId="05C7B741" w14:textId="71C5746B" w:rsidR="2DF306C0" w:rsidRPr="00C82993" w:rsidRDefault="56EDECD5" w:rsidP="00C82993">
      <w:pPr>
        <w:spacing w:line="480" w:lineRule="auto"/>
        <w:ind w:firstLine="720"/>
        <w:jc w:val="both"/>
        <w:rPr>
          <w:rFonts w:ascii="Arial" w:eastAsia="Calibri" w:hAnsi="Arial" w:cs="Arial"/>
        </w:rPr>
      </w:pPr>
      <w:r w:rsidRPr="00C82993">
        <w:rPr>
          <w:rFonts w:ascii="Arial" w:hAnsi="Arial" w:cs="Arial"/>
        </w:rPr>
        <w:t xml:space="preserve">A central tension within the </w:t>
      </w:r>
      <w:r w:rsidR="00A60F2C" w:rsidRPr="00C82993">
        <w:rPr>
          <w:rFonts w:ascii="Arial" w:hAnsi="Arial" w:cs="Arial"/>
        </w:rPr>
        <w:t>CJS</w:t>
      </w:r>
      <w:r w:rsidRPr="00C82993">
        <w:rPr>
          <w:rFonts w:ascii="Arial" w:hAnsi="Arial" w:cs="Arial"/>
        </w:rPr>
        <w:t xml:space="preserve"> lies in the gap between the formal </w:t>
      </w:r>
      <w:r w:rsidR="00C25348" w:rsidRPr="00C82993">
        <w:rPr>
          <w:rFonts w:ascii="Arial" w:hAnsi="Arial" w:cs="Arial"/>
        </w:rPr>
        <w:t>rights</w:t>
      </w:r>
      <w:r w:rsidRPr="00C82993">
        <w:rPr>
          <w:rFonts w:ascii="Arial" w:hAnsi="Arial" w:cs="Arial"/>
        </w:rPr>
        <w:t xml:space="preserve"> afforded to vulnerab</w:t>
      </w:r>
      <w:r w:rsidR="54C9DA18" w:rsidRPr="00C82993">
        <w:rPr>
          <w:rFonts w:ascii="Arial" w:hAnsi="Arial" w:cs="Arial"/>
        </w:rPr>
        <w:t>le victims and their lived experiences in practice. While contemporary legal frameworks and policy instruments, such as the Victims’ Code, emphasise fairness, dignity, and support, evidence suggests that these rights are not consistently realised in practice (Ministry of Justice, 2020). Many vulnerable victims continue to encounter barriers,</w:t>
      </w:r>
      <w:r w:rsidR="00C075C3" w:rsidRPr="00C82993">
        <w:rPr>
          <w:rFonts w:ascii="Arial" w:hAnsi="Arial" w:cs="Arial"/>
        </w:rPr>
        <w:t xml:space="preserve"> </w:t>
      </w:r>
      <w:r w:rsidR="54C9DA18" w:rsidRPr="00C82993">
        <w:rPr>
          <w:rFonts w:ascii="Arial" w:hAnsi="Arial" w:cs="Arial"/>
        </w:rPr>
        <w:t xml:space="preserve">including delays, inadequate communication, and limited access to support services, which undermine their ability to participate effectively in the justice process. Recent findings from the Victims’ Commissioner for England and Wales further indicate that a significant proportion of victims lack confidence in the system’s ability to deliver justice, illustrating a persistent disconnect between policy commitments and experiential </w:t>
      </w:r>
      <w:r w:rsidR="54C9DA18" w:rsidRPr="00C82993">
        <w:rPr>
          <w:rFonts w:ascii="Arial" w:hAnsi="Arial" w:cs="Arial"/>
        </w:rPr>
        <w:lastRenderedPageBreak/>
        <w:t xml:space="preserve">realities (Murray, </w:t>
      </w:r>
      <w:proofErr w:type="spellStart"/>
      <w:r w:rsidR="54C9DA18" w:rsidRPr="00C82993">
        <w:rPr>
          <w:rFonts w:ascii="Arial" w:hAnsi="Arial" w:cs="Arial"/>
        </w:rPr>
        <w:t>Welland</w:t>
      </w:r>
      <w:proofErr w:type="spellEnd"/>
      <w:r w:rsidR="54C9DA18" w:rsidRPr="00C82993">
        <w:rPr>
          <w:rFonts w:ascii="Arial" w:hAnsi="Arial" w:cs="Arial"/>
        </w:rPr>
        <w:t xml:space="preserve"> and Storry, 2024). This disparity suggests that rights-based frameworks often symbolically recognise vulnerability while failing to address the structural and institutional conditions that shape victims’ actual experiences, particularly for those who fall outside dominant constructions of the “ideal victim</w:t>
      </w:r>
      <w:r w:rsidR="1AC2C6EB" w:rsidRPr="00C82993">
        <w:rPr>
          <w:rFonts w:ascii="Arial" w:hAnsi="Arial" w:cs="Arial"/>
        </w:rPr>
        <w:t>”</w:t>
      </w:r>
      <w:r w:rsidR="00C25348" w:rsidRPr="00C82993">
        <w:rPr>
          <w:rFonts w:ascii="Arial" w:hAnsi="Arial" w:cs="Arial"/>
        </w:rPr>
        <w:t xml:space="preserve"> (</w:t>
      </w:r>
      <w:r w:rsidR="00C25348" w:rsidRPr="00C82993">
        <w:rPr>
          <w:rFonts w:ascii="Arial" w:hAnsi="Arial" w:cs="Arial"/>
        </w:rPr>
        <w:t>Cuppini</w:t>
      </w:r>
      <w:r w:rsidR="00C25348" w:rsidRPr="00C82993">
        <w:rPr>
          <w:rFonts w:ascii="Arial" w:hAnsi="Arial" w:cs="Arial"/>
        </w:rPr>
        <w:t xml:space="preserve">, </w:t>
      </w:r>
      <w:r w:rsidR="00C25348" w:rsidRPr="00C82993">
        <w:rPr>
          <w:rFonts w:ascii="Arial" w:hAnsi="Arial" w:cs="Arial"/>
        </w:rPr>
        <w:t>2024</w:t>
      </w:r>
      <w:r w:rsidR="00C25348" w:rsidRPr="00C82993">
        <w:rPr>
          <w:rFonts w:ascii="Arial" w:hAnsi="Arial" w:cs="Arial"/>
        </w:rPr>
        <w:t>)</w:t>
      </w:r>
      <w:r w:rsidR="00C25348" w:rsidRPr="00C82993">
        <w:rPr>
          <w:rFonts w:ascii="Arial" w:hAnsi="Arial" w:cs="Arial"/>
          <w:color w:val="FF0000"/>
        </w:rPr>
        <w:t>.</w:t>
      </w:r>
    </w:p>
    <w:p w14:paraId="06D02ED3" w14:textId="56CB59F9" w:rsidR="759405EA" w:rsidRPr="00C82993" w:rsidRDefault="42270BCD" w:rsidP="00C82993">
      <w:pPr>
        <w:spacing w:line="480" w:lineRule="auto"/>
        <w:ind w:firstLine="720"/>
        <w:jc w:val="both"/>
        <w:rPr>
          <w:rFonts w:ascii="Arial" w:hAnsi="Arial" w:cs="Arial"/>
        </w:rPr>
      </w:pPr>
      <w:r w:rsidRPr="00C82993">
        <w:rPr>
          <w:rFonts w:ascii="Arial" w:hAnsi="Arial" w:cs="Arial"/>
        </w:rPr>
        <w:t xml:space="preserve">This essay argues that, despite the expansion of rights-based frameworks and procedural safeguards, the criminal justice system remains structurally limited in its ability to accommodate vulnerability. Institutional practices, credibility assessments, and the adversarial nature of proceedings continue to reproduce inequalities for vulnerable victims. The essay will first examine the concept of vulnerability and its legal construction, before analysing key difficulties at the </w:t>
      </w:r>
      <w:r w:rsidR="009E4727" w:rsidRPr="00C82993">
        <w:rPr>
          <w:rFonts w:ascii="Arial" w:hAnsi="Arial" w:cs="Arial"/>
        </w:rPr>
        <w:t>reporting, investigation, and trial stages</w:t>
      </w:r>
      <w:r w:rsidRPr="00C82993">
        <w:rPr>
          <w:rFonts w:ascii="Arial" w:hAnsi="Arial" w:cs="Arial"/>
        </w:rPr>
        <w:t>. It will then critically evaluate the effectiveness of existing safeguards, concluding that current reforms, while symbolically significant, fail to address the deeper structural barriers embedded within the criminal justice system.</w:t>
      </w:r>
    </w:p>
    <w:p w14:paraId="49656453" w14:textId="4C0FCC51" w:rsidR="40EB54E0" w:rsidRPr="00C82993" w:rsidRDefault="41209EA2" w:rsidP="00C82993">
      <w:pPr>
        <w:spacing w:line="480" w:lineRule="auto"/>
        <w:ind w:firstLine="720"/>
        <w:jc w:val="both"/>
        <w:rPr>
          <w:rFonts w:ascii="Arial" w:eastAsia="Arial" w:hAnsi="Arial" w:cs="Arial"/>
          <w:sz w:val="22"/>
          <w:szCs w:val="22"/>
        </w:rPr>
      </w:pPr>
      <w:r w:rsidRPr="00C82993">
        <w:rPr>
          <w:rFonts w:ascii="Arial" w:hAnsi="Arial" w:cs="Arial"/>
        </w:rPr>
        <w:t xml:space="preserve">Conceptualising vulnerability within the </w:t>
      </w:r>
      <w:r w:rsidR="00C075C3" w:rsidRPr="00C82993">
        <w:rPr>
          <w:rFonts w:ascii="Arial" w:hAnsi="Arial" w:cs="Arial"/>
        </w:rPr>
        <w:t>criminal</w:t>
      </w:r>
      <w:r w:rsidRPr="00C82993">
        <w:rPr>
          <w:rFonts w:ascii="Arial" w:hAnsi="Arial" w:cs="Arial"/>
        </w:rPr>
        <w:t xml:space="preserve"> justice system </w:t>
      </w:r>
      <w:r w:rsidR="0B64E3FF" w:rsidRPr="00C82993">
        <w:rPr>
          <w:rFonts w:ascii="Arial" w:hAnsi="Arial" w:cs="Arial"/>
        </w:rPr>
        <w:t xml:space="preserve">requires moving beyond narrow definitional </w:t>
      </w:r>
      <w:r w:rsidR="00C075C3" w:rsidRPr="00C82993">
        <w:rPr>
          <w:rFonts w:ascii="Arial" w:hAnsi="Arial" w:cs="Arial"/>
        </w:rPr>
        <w:t>approaches</w:t>
      </w:r>
      <w:r w:rsidR="0B64E3FF" w:rsidRPr="00C82993">
        <w:rPr>
          <w:rFonts w:ascii="Arial" w:hAnsi="Arial" w:cs="Arial"/>
        </w:rPr>
        <w:t xml:space="preserve"> to </w:t>
      </w:r>
      <w:r w:rsidR="009E4727" w:rsidRPr="00C82993">
        <w:rPr>
          <w:rFonts w:ascii="Arial" w:hAnsi="Arial" w:cs="Arial"/>
        </w:rPr>
        <w:t>recognise</w:t>
      </w:r>
      <w:r w:rsidR="0B64E3FF" w:rsidRPr="00C82993">
        <w:rPr>
          <w:rFonts w:ascii="Arial" w:hAnsi="Arial" w:cs="Arial"/>
        </w:rPr>
        <w:t xml:space="preserve"> its dual character as both a legal category and a socially constructed cond</w:t>
      </w:r>
      <w:r w:rsidR="562C44BB" w:rsidRPr="00C82993">
        <w:rPr>
          <w:rFonts w:ascii="Arial" w:hAnsi="Arial" w:cs="Arial"/>
        </w:rPr>
        <w:t xml:space="preserve">ition. </w:t>
      </w:r>
      <w:r w:rsidR="46905FBC" w:rsidRPr="00C82993">
        <w:rPr>
          <w:rFonts w:ascii="Arial" w:hAnsi="Arial" w:cs="Arial"/>
        </w:rPr>
        <w:t>In legal terms, vulnerability is operationalised through statutory frameworks</w:t>
      </w:r>
      <w:r w:rsidR="0E23C083" w:rsidRPr="00C82993">
        <w:rPr>
          <w:rFonts w:ascii="Arial" w:hAnsi="Arial" w:cs="Arial"/>
        </w:rPr>
        <w:t xml:space="preserve"> such as the </w:t>
      </w:r>
      <w:r w:rsidR="1B407160" w:rsidRPr="00C82993">
        <w:rPr>
          <w:rFonts w:ascii="Arial" w:hAnsi="Arial" w:cs="Arial"/>
        </w:rPr>
        <w:t>Youth J</w:t>
      </w:r>
      <w:r w:rsidR="0E23C083" w:rsidRPr="00C82993">
        <w:rPr>
          <w:rFonts w:ascii="Arial" w:hAnsi="Arial" w:cs="Arial"/>
        </w:rPr>
        <w:t xml:space="preserve">ustice and </w:t>
      </w:r>
      <w:r w:rsidR="1B072323" w:rsidRPr="00C82993">
        <w:rPr>
          <w:rFonts w:ascii="Arial" w:hAnsi="Arial" w:cs="Arial"/>
        </w:rPr>
        <w:t>C</w:t>
      </w:r>
      <w:r w:rsidR="0E23C083" w:rsidRPr="00C82993">
        <w:rPr>
          <w:rFonts w:ascii="Arial" w:hAnsi="Arial" w:cs="Arial"/>
        </w:rPr>
        <w:t xml:space="preserve">riminal </w:t>
      </w:r>
      <w:r w:rsidR="640491E8" w:rsidRPr="00C82993">
        <w:rPr>
          <w:rFonts w:ascii="Arial" w:hAnsi="Arial" w:cs="Arial"/>
        </w:rPr>
        <w:t>E</w:t>
      </w:r>
      <w:r w:rsidR="0E23C083" w:rsidRPr="00C82993">
        <w:rPr>
          <w:rFonts w:ascii="Arial" w:hAnsi="Arial" w:cs="Arial"/>
        </w:rPr>
        <w:t xml:space="preserve">vidence </w:t>
      </w:r>
      <w:r w:rsidR="21A1840B" w:rsidRPr="00C82993">
        <w:rPr>
          <w:rFonts w:ascii="Arial" w:hAnsi="Arial" w:cs="Arial"/>
        </w:rPr>
        <w:t>A</w:t>
      </w:r>
      <w:r w:rsidR="0E23C083" w:rsidRPr="00C82993">
        <w:rPr>
          <w:rFonts w:ascii="Arial" w:hAnsi="Arial" w:cs="Arial"/>
        </w:rPr>
        <w:t>ct 1999</w:t>
      </w:r>
      <w:r w:rsidR="006C8DA5" w:rsidRPr="00C82993">
        <w:rPr>
          <w:rFonts w:ascii="Arial" w:hAnsi="Arial" w:cs="Arial"/>
        </w:rPr>
        <w:t xml:space="preserve"> (Gov.UK, 1999)</w:t>
      </w:r>
      <w:r w:rsidR="0E23C083" w:rsidRPr="00C82993">
        <w:rPr>
          <w:rFonts w:ascii="Arial" w:hAnsi="Arial" w:cs="Arial"/>
        </w:rPr>
        <w:t xml:space="preserve">, which </w:t>
      </w:r>
      <w:r w:rsidR="00C075C3" w:rsidRPr="00C82993">
        <w:rPr>
          <w:rFonts w:ascii="Arial" w:hAnsi="Arial" w:cs="Arial"/>
        </w:rPr>
        <w:t>identifies</w:t>
      </w:r>
      <w:r w:rsidR="0E23C083" w:rsidRPr="00C82993">
        <w:rPr>
          <w:rFonts w:ascii="Arial" w:hAnsi="Arial" w:cs="Arial"/>
        </w:rPr>
        <w:t xml:space="preserve"> specific groups, such as children and individuals with mental or physic</w:t>
      </w:r>
      <w:r w:rsidR="71FD2D02" w:rsidRPr="00C82993">
        <w:rPr>
          <w:rFonts w:ascii="Arial" w:hAnsi="Arial" w:cs="Arial"/>
        </w:rPr>
        <w:t>al impairment</w:t>
      </w:r>
      <w:r w:rsidR="009E4727" w:rsidRPr="00C82993">
        <w:rPr>
          <w:rFonts w:ascii="Arial" w:hAnsi="Arial" w:cs="Arial"/>
        </w:rPr>
        <w:t>,</w:t>
      </w:r>
      <w:r w:rsidR="71FD2D02" w:rsidRPr="00C82993">
        <w:rPr>
          <w:rFonts w:ascii="Arial" w:hAnsi="Arial" w:cs="Arial"/>
        </w:rPr>
        <w:t xml:space="preserve"> as eligible for procedural </w:t>
      </w:r>
      <w:r w:rsidR="00C075C3" w:rsidRPr="00C82993">
        <w:rPr>
          <w:rFonts w:ascii="Arial" w:hAnsi="Arial" w:cs="Arial"/>
        </w:rPr>
        <w:t>safeguards</w:t>
      </w:r>
      <w:r w:rsidR="71FD2D02" w:rsidRPr="00C82993">
        <w:rPr>
          <w:rFonts w:ascii="Arial" w:hAnsi="Arial" w:cs="Arial"/>
        </w:rPr>
        <w:t>, including special measures in court (Ministry of Justice, 2020). While this cate</w:t>
      </w:r>
      <w:r w:rsidR="0930508F" w:rsidRPr="00C82993">
        <w:rPr>
          <w:rFonts w:ascii="Arial" w:hAnsi="Arial" w:cs="Arial"/>
        </w:rPr>
        <w:t xml:space="preserve">gorisation </w:t>
      </w:r>
      <w:r w:rsidR="00C075C3" w:rsidRPr="00C82993">
        <w:rPr>
          <w:rFonts w:ascii="Arial" w:hAnsi="Arial" w:cs="Arial"/>
        </w:rPr>
        <w:t>facilitates</w:t>
      </w:r>
      <w:r w:rsidR="0930508F" w:rsidRPr="00C82993">
        <w:rPr>
          <w:rFonts w:ascii="Arial" w:hAnsi="Arial" w:cs="Arial"/>
        </w:rPr>
        <w:t xml:space="preserve"> access to support, it necessarily relies on fixed criteria that may fail to capture the fluid and context-dependent nature of </w:t>
      </w:r>
      <w:r w:rsidR="00C075C3" w:rsidRPr="00C82993">
        <w:rPr>
          <w:rFonts w:ascii="Arial" w:hAnsi="Arial" w:cs="Arial"/>
        </w:rPr>
        <w:t>vulnerability</w:t>
      </w:r>
      <w:r w:rsidR="32C7BC1B" w:rsidRPr="00C82993">
        <w:rPr>
          <w:rFonts w:ascii="Arial" w:hAnsi="Arial" w:cs="Arial"/>
        </w:rPr>
        <w:t>.</w:t>
      </w:r>
    </w:p>
    <w:p w14:paraId="65D876A7" w14:textId="77777777" w:rsidR="009E4727" w:rsidRPr="00C82993" w:rsidRDefault="32C7BC1B" w:rsidP="00C82993">
      <w:pPr>
        <w:spacing w:line="480" w:lineRule="auto"/>
        <w:ind w:firstLine="720"/>
        <w:jc w:val="both"/>
        <w:rPr>
          <w:rFonts w:ascii="Arial" w:eastAsia="Arial" w:hAnsi="Arial" w:cs="Arial"/>
          <w:sz w:val="22"/>
          <w:szCs w:val="22"/>
        </w:rPr>
      </w:pPr>
      <w:r w:rsidRPr="00C82993">
        <w:rPr>
          <w:rFonts w:ascii="Arial" w:hAnsi="Arial" w:cs="Arial"/>
        </w:rPr>
        <w:lastRenderedPageBreak/>
        <w:t xml:space="preserve">From a socio-legal perspective, vulnerability is more accurately understood as shaped by </w:t>
      </w:r>
      <w:r w:rsidR="1F23AB21" w:rsidRPr="00C82993">
        <w:rPr>
          <w:rFonts w:ascii="Arial" w:hAnsi="Arial" w:cs="Arial"/>
        </w:rPr>
        <w:t>intersecting structural inequalities, including gender, race, class, and disability. An interse</w:t>
      </w:r>
      <w:r w:rsidR="1546F79D" w:rsidRPr="00C82993">
        <w:rPr>
          <w:rFonts w:ascii="Arial" w:hAnsi="Arial" w:cs="Arial"/>
        </w:rPr>
        <w:t xml:space="preserve">ctional approach </w:t>
      </w:r>
      <w:r w:rsidR="00C075C3" w:rsidRPr="00C82993">
        <w:rPr>
          <w:rFonts w:ascii="Arial" w:hAnsi="Arial" w:cs="Arial"/>
        </w:rPr>
        <w:t>highlights</w:t>
      </w:r>
      <w:r w:rsidR="1546F79D" w:rsidRPr="00C82993">
        <w:rPr>
          <w:rFonts w:ascii="Arial" w:hAnsi="Arial" w:cs="Arial"/>
        </w:rPr>
        <w:t xml:space="preserve"> how individuals </w:t>
      </w:r>
      <w:r w:rsidR="4D24A536" w:rsidRPr="00C82993">
        <w:rPr>
          <w:rFonts w:ascii="Arial" w:hAnsi="Arial" w:cs="Arial"/>
        </w:rPr>
        <w:t xml:space="preserve">may experience </w:t>
      </w:r>
      <w:r w:rsidR="00C075C3" w:rsidRPr="00C82993">
        <w:rPr>
          <w:rFonts w:ascii="Arial" w:hAnsi="Arial" w:cs="Arial"/>
        </w:rPr>
        <w:t>compounded</w:t>
      </w:r>
      <w:r w:rsidR="4D24A536" w:rsidRPr="00C82993">
        <w:rPr>
          <w:rFonts w:ascii="Arial" w:hAnsi="Arial" w:cs="Arial"/>
        </w:rPr>
        <w:t xml:space="preserve"> disadvantage within the criminal justice process, particularly </w:t>
      </w:r>
      <w:r w:rsidR="009E4727" w:rsidRPr="00C82993">
        <w:rPr>
          <w:rFonts w:ascii="Arial" w:hAnsi="Arial" w:cs="Arial"/>
        </w:rPr>
        <w:t xml:space="preserve">when multiple forms of marginalisation intersect (Burman and Chantler, </w:t>
      </w:r>
      <w:r w:rsidR="79E547A3" w:rsidRPr="00C82993">
        <w:rPr>
          <w:rFonts w:ascii="Arial" w:hAnsi="Arial" w:cs="Arial"/>
        </w:rPr>
        <w:t>2020)</w:t>
      </w:r>
      <w:r w:rsidR="009E4727" w:rsidRPr="00C82993">
        <w:rPr>
          <w:rFonts w:ascii="Arial" w:hAnsi="Arial" w:cs="Arial"/>
        </w:rPr>
        <w:t xml:space="preserve">. </w:t>
      </w:r>
      <w:r w:rsidR="79E547A3" w:rsidRPr="00C82993">
        <w:rPr>
          <w:rFonts w:ascii="Arial" w:hAnsi="Arial" w:cs="Arial"/>
        </w:rPr>
        <w:t>For example</w:t>
      </w:r>
      <w:r w:rsidR="009E4727" w:rsidRPr="00C82993">
        <w:rPr>
          <w:rFonts w:ascii="Arial" w:hAnsi="Arial" w:cs="Arial"/>
        </w:rPr>
        <w:t>, victims of domestic abuse from minority ethnic groups distrust the</w:t>
      </w:r>
      <w:r w:rsidR="1115E9DE" w:rsidRPr="00C82993">
        <w:rPr>
          <w:rFonts w:ascii="Arial" w:hAnsi="Arial" w:cs="Arial"/>
        </w:rPr>
        <w:t xml:space="preserve"> authorities.</w:t>
      </w:r>
      <w:r w:rsidR="2BF3FBB3" w:rsidRPr="00C82993">
        <w:rPr>
          <w:rFonts w:ascii="Arial" w:hAnsi="Arial" w:cs="Arial"/>
        </w:rPr>
        <w:t xml:space="preserve"> This broader conceptualisation challenges the adequacy of legal def</w:t>
      </w:r>
      <w:r w:rsidR="22DE442D" w:rsidRPr="00C82993">
        <w:rPr>
          <w:rFonts w:ascii="Arial" w:hAnsi="Arial" w:cs="Arial"/>
        </w:rPr>
        <w:t>initions, suggesting that vulnerability is not simpl</w:t>
      </w:r>
      <w:r w:rsidR="009E4727" w:rsidRPr="00C82993">
        <w:rPr>
          <w:rFonts w:ascii="Arial" w:hAnsi="Arial" w:cs="Arial"/>
        </w:rPr>
        <w:t>y</w:t>
      </w:r>
      <w:r w:rsidR="22DE442D" w:rsidRPr="00C82993">
        <w:rPr>
          <w:rFonts w:ascii="Arial" w:hAnsi="Arial" w:cs="Arial"/>
        </w:rPr>
        <w:t xml:space="preserve"> a status assigned by </w:t>
      </w:r>
      <w:r w:rsidR="009E4727" w:rsidRPr="00C82993">
        <w:rPr>
          <w:rFonts w:ascii="Arial" w:hAnsi="Arial" w:cs="Arial"/>
        </w:rPr>
        <w:t>law,</w:t>
      </w:r>
      <w:r w:rsidR="22DE442D" w:rsidRPr="00C82993">
        <w:rPr>
          <w:rFonts w:ascii="Arial" w:hAnsi="Arial" w:cs="Arial"/>
        </w:rPr>
        <w:t xml:space="preserve"> but an evolving condition shape</w:t>
      </w:r>
      <w:r w:rsidR="4CA79C4D" w:rsidRPr="00C82993">
        <w:rPr>
          <w:rFonts w:ascii="Arial" w:hAnsi="Arial" w:cs="Arial"/>
        </w:rPr>
        <w:t>d by social context.</w:t>
      </w:r>
    </w:p>
    <w:p w14:paraId="57882402" w14:textId="77777777" w:rsidR="009E4727" w:rsidRPr="00C82993" w:rsidRDefault="4CA79C4D" w:rsidP="00C82993">
      <w:pPr>
        <w:spacing w:line="480" w:lineRule="auto"/>
        <w:ind w:firstLine="720"/>
        <w:jc w:val="both"/>
        <w:rPr>
          <w:rFonts w:ascii="Arial" w:eastAsia="Arial" w:hAnsi="Arial" w:cs="Arial"/>
          <w:sz w:val="22"/>
          <w:szCs w:val="22"/>
        </w:rPr>
      </w:pPr>
      <w:r w:rsidRPr="00C82993">
        <w:rPr>
          <w:rFonts w:ascii="Arial" w:hAnsi="Arial" w:cs="Arial"/>
        </w:rPr>
        <w:t>Critically, the distinction between legal and social cons</w:t>
      </w:r>
      <w:r w:rsidR="0DD477E7" w:rsidRPr="00C82993">
        <w:rPr>
          <w:rFonts w:ascii="Arial" w:hAnsi="Arial" w:cs="Arial"/>
        </w:rPr>
        <w:t xml:space="preserve">truction of </w:t>
      </w:r>
      <w:r w:rsidR="00C075C3" w:rsidRPr="00C82993">
        <w:rPr>
          <w:rFonts w:ascii="Arial" w:hAnsi="Arial" w:cs="Arial"/>
        </w:rPr>
        <w:t>vulnerability</w:t>
      </w:r>
      <w:r w:rsidR="0DD477E7" w:rsidRPr="00C82993">
        <w:rPr>
          <w:rFonts w:ascii="Arial" w:hAnsi="Arial" w:cs="Arial"/>
        </w:rPr>
        <w:t xml:space="preserve"> exposes a </w:t>
      </w:r>
      <w:r w:rsidR="00C075C3" w:rsidRPr="00C82993">
        <w:rPr>
          <w:rFonts w:ascii="Arial" w:hAnsi="Arial" w:cs="Arial"/>
        </w:rPr>
        <w:t>fundamental</w:t>
      </w:r>
      <w:r w:rsidR="0DD477E7" w:rsidRPr="00C82993">
        <w:rPr>
          <w:rFonts w:ascii="Arial" w:hAnsi="Arial" w:cs="Arial"/>
        </w:rPr>
        <w:t xml:space="preserve"> limitat</w:t>
      </w:r>
      <w:r w:rsidR="00F1473E" w:rsidRPr="00C82993">
        <w:rPr>
          <w:rFonts w:ascii="Arial" w:hAnsi="Arial" w:cs="Arial"/>
        </w:rPr>
        <w:t>i</w:t>
      </w:r>
      <w:r w:rsidR="0DD477E7" w:rsidRPr="00C82993">
        <w:rPr>
          <w:rFonts w:ascii="Arial" w:hAnsi="Arial" w:cs="Arial"/>
        </w:rPr>
        <w:t xml:space="preserve">on within the criminal justice system. While legal frameworks </w:t>
      </w:r>
      <w:r w:rsidR="009E4727" w:rsidRPr="00C82993">
        <w:rPr>
          <w:rFonts w:ascii="Arial" w:hAnsi="Arial" w:cs="Arial"/>
        </w:rPr>
        <w:t>aim to standardise vulnerability to deliver procedural fairness, they risk oversimplifying complex lived realities and excluding those who do not neatly fit</w:t>
      </w:r>
      <w:r w:rsidR="7053F8B0" w:rsidRPr="00C82993">
        <w:rPr>
          <w:rFonts w:ascii="Arial" w:hAnsi="Arial" w:cs="Arial"/>
        </w:rPr>
        <w:t xml:space="preserve"> predefined categories. As a result, </w:t>
      </w:r>
      <w:r w:rsidR="624DA0B1" w:rsidRPr="00C82993">
        <w:rPr>
          <w:rFonts w:ascii="Arial" w:hAnsi="Arial" w:cs="Arial"/>
        </w:rPr>
        <w:t xml:space="preserve">individuals </w:t>
      </w:r>
      <w:r w:rsidR="5FCFA3EE" w:rsidRPr="00C82993">
        <w:rPr>
          <w:rFonts w:ascii="Arial" w:hAnsi="Arial" w:cs="Arial"/>
        </w:rPr>
        <w:t xml:space="preserve">who are situationally or contextually vulnerable may be overlooked, </w:t>
      </w:r>
      <w:r w:rsidR="00C075C3" w:rsidRPr="00C82993">
        <w:rPr>
          <w:rFonts w:ascii="Arial" w:hAnsi="Arial" w:cs="Arial"/>
        </w:rPr>
        <w:t>reinforcing</w:t>
      </w:r>
      <w:r w:rsidR="5FCFA3EE" w:rsidRPr="00C82993">
        <w:rPr>
          <w:rFonts w:ascii="Arial" w:hAnsi="Arial" w:cs="Arial"/>
        </w:rPr>
        <w:t xml:space="preserve"> inequalities in access to justice </w:t>
      </w:r>
      <w:r w:rsidR="48669CBA" w:rsidRPr="00C82993">
        <w:rPr>
          <w:rFonts w:ascii="Arial" w:hAnsi="Arial" w:cs="Arial"/>
        </w:rPr>
        <w:t>(Metson and Willmott, 2024)</w:t>
      </w:r>
      <w:r w:rsidR="009E4727" w:rsidRPr="00C82993">
        <w:rPr>
          <w:rFonts w:ascii="Arial" w:hAnsi="Arial" w:cs="Arial"/>
        </w:rPr>
        <w:t xml:space="preserve">. </w:t>
      </w:r>
      <w:r w:rsidR="15E698DC" w:rsidRPr="00C82993">
        <w:rPr>
          <w:rFonts w:ascii="Arial" w:hAnsi="Arial" w:cs="Arial"/>
        </w:rPr>
        <w:t xml:space="preserve">This tension underscores the need to critically assess whether existing legal mechanisms are sufficiently responsive to the diverse and dynamic nature of </w:t>
      </w:r>
      <w:r w:rsidR="00C075C3" w:rsidRPr="00C82993">
        <w:rPr>
          <w:rFonts w:ascii="Arial" w:hAnsi="Arial" w:cs="Arial"/>
        </w:rPr>
        <w:t>vulnerability</w:t>
      </w:r>
      <w:r w:rsidR="15E698DC" w:rsidRPr="00C82993">
        <w:rPr>
          <w:rFonts w:ascii="Arial" w:hAnsi="Arial" w:cs="Arial"/>
        </w:rPr>
        <w:t>.</w:t>
      </w:r>
    </w:p>
    <w:p w14:paraId="21321AE5" w14:textId="77777777" w:rsidR="005C17BE" w:rsidRPr="00C82993" w:rsidRDefault="4889DFB7" w:rsidP="00C82993">
      <w:pPr>
        <w:spacing w:line="480" w:lineRule="auto"/>
        <w:ind w:firstLine="720"/>
        <w:jc w:val="both"/>
        <w:rPr>
          <w:rFonts w:ascii="Arial" w:hAnsi="Arial" w:cs="Arial"/>
          <w:color w:val="FF0000"/>
          <w:lang w:val="en-GB"/>
        </w:rPr>
      </w:pPr>
      <w:r w:rsidRPr="00C82993">
        <w:rPr>
          <w:rFonts w:ascii="Arial" w:hAnsi="Arial" w:cs="Arial"/>
        </w:rPr>
        <w:t xml:space="preserve">Nils Christie’s (1986) concept of the “ideal victim” remains central to understanding how victimhood is socially constructed within the </w:t>
      </w:r>
      <w:r w:rsidR="00F1473E" w:rsidRPr="00C82993">
        <w:rPr>
          <w:rFonts w:ascii="Arial" w:hAnsi="Arial" w:cs="Arial"/>
        </w:rPr>
        <w:t>C</w:t>
      </w:r>
      <w:r w:rsidRPr="00C82993">
        <w:rPr>
          <w:rFonts w:ascii="Arial" w:hAnsi="Arial" w:cs="Arial"/>
        </w:rPr>
        <w:t xml:space="preserve">riminal </w:t>
      </w:r>
      <w:r w:rsidR="00F1473E" w:rsidRPr="00C82993">
        <w:rPr>
          <w:rFonts w:ascii="Arial" w:hAnsi="Arial" w:cs="Arial"/>
        </w:rPr>
        <w:t>J</w:t>
      </w:r>
      <w:r w:rsidRPr="00C82993">
        <w:rPr>
          <w:rFonts w:ascii="Arial" w:hAnsi="Arial" w:cs="Arial"/>
        </w:rPr>
        <w:t xml:space="preserve">ustice </w:t>
      </w:r>
      <w:r w:rsidR="00F1473E" w:rsidRPr="00C82993">
        <w:rPr>
          <w:rFonts w:ascii="Arial" w:hAnsi="Arial" w:cs="Arial"/>
        </w:rPr>
        <w:t>S</w:t>
      </w:r>
      <w:r w:rsidRPr="00C82993">
        <w:rPr>
          <w:rFonts w:ascii="Arial" w:hAnsi="Arial" w:cs="Arial"/>
        </w:rPr>
        <w:t>ystem</w:t>
      </w:r>
      <w:r w:rsidR="00F1473E" w:rsidRPr="00C82993">
        <w:rPr>
          <w:rFonts w:ascii="Arial" w:hAnsi="Arial" w:cs="Arial"/>
        </w:rPr>
        <w:t>.</w:t>
      </w:r>
      <w:r w:rsidRPr="00C82993">
        <w:rPr>
          <w:rFonts w:ascii="Arial" w:hAnsi="Arial" w:cs="Arial"/>
        </w:rPr>
        <w:t xml:space="preserve"> Christie (1986) argues that individuals are more likely to be recognised as legitimate victims when they conform to socially valued characteristics such as vulnerability, innocence and respectability. These include being weak, engaged in legitimate activity, and victimised by a clearly deviant stranger (Christie, 1986). As a result, a hierarchy of victimhood is </w:t>
      </w:r>
      <w:r w:rsidRPr="00C82993">
        <w:rPr>
          <w:rFonts w:ascii="Arial" w:hAnsi="Arial" w:cs="Arial"/>
        </w:rPr>
        <w:lastRenderedPageBreak/>
        <w:t>created in which certain victims are afforded greater credibility and institutional support than others (Walklate, 2017</w:t>
      </w:r>
      <w:r w:rsidR="009E4727" w:rsidRPr="00C82993">
        <w:rPr>
          <w:rFonts w:ascii="Arial" w:hAnsi="Arial" w:cs="Arial"/>
        </w:rPr>
        <w:t xml:space="preserve">; </w:t>
      </w:r>
      <w:r w:rsidR="009E4727" w:rsidRPr="00C82993">
        <w:rPr>
          <w:rFonts w:ascii="Arial" w:hAnsi="Arial" w:cs="Arial"/>
          <w:lang w:val="en-GB"/>
        </w:rPr>
        <w:t>Levine, 2025)</w:t>
      </w:r>
      <w:r w:rsidR="009E4727" w:rsidRPr="00C82993">
        <w:rPr>
          <w:rFonts w:ascii="Arial" w:hAnsi="Arial" w:cs="Arial"/>
          <w:lang w:val="en-GB"/>
        </w:rPr>
        <w:t>.</w:t>
      </w:r>
    </w:p>
    <w:p w14:paraId="4366AA21" w14:textId="77777777" w:rsidR="005C17BE" w:rsidRPr="00C82993" w:rsidRDefault="4889DFB7" w:rsidP="00C82993">
      <w:pPr>
        <w:spacing w:line="480" w:lineRule="auto"/>
        <w:ind w:firstLine="720"/>
        <w:jc w:val="both"/>
        <w:rPr>
          <w:rFonts w:ascii="Arial" w:hAnsi="Arial" w:cs="Arial"/>
          <w:color w:val="FF0000"/>
          <w:lang w:val="en-GB"/>
        </w:rPr>
      </w:pPr>
      <w:r w:rsidRPr="00C82993">
        <w:rPr>
          <w:rFonts w:ascii="Arial" w:hAnsi="Arial" w:cs="Arial"/>
        </w:rPr>
        <w:t>This framework is particularly useful in explaining the difficulties faced by vulnerable victims, as those who fall outside the “ideal” construct, such as victims of domestic abuse or sexual violence, are often subject to increased scrutiny and disbelief (Walklate, 2011; Taylor, 2022). For example, research indicates that rape victims whose experiences do not align with stereotypical expectations are less likely to be believed and more likely to have their cases discontinued (Taylor, 2022). This demonstrates how the “ideal victim” functions not only as a cultural stereotype but also as a practical mechanism influencing police investigations and prosecutorial decisions (Walklate, 2017).</w:t>
      </w:r>
    </w:p>
    <w:p w14:paraId="28634B5D" w14:textId="77777777" w:rsidR="005C17BE" w:rsidRPr="00C82993" w:rsidRDefault="4889DFB7" w:rsidP="00C82993">
      <w:pPr>
        <w:spacing w:line="480" w:lineRule="auto"/>
        <w:ind w:firstLine="720"/>
        <w:jc w:val="both"/>
        <w:rPr>
          <w:rFonts w:ascii="Arial" w:hAnsi="Arial" w:cs="Arial"/>
          <w:color w:val="FF0000"/>
          <w:lang w:val="en-GB"/>
        </w:rPr>
      </w:pPr>
      <w:r w:rsidRPr="00C82993">
        <w:rPr>
          <w:rFonts w:ascii="Arial" w:hAnsi="Arial" w:cs="Arial"/>
        </w:rPr>
        <w:t xml:space="preserve">In the UK context, these issues are reflected in official data and policy concerns. The Office for National Statistics (ONS, 2023) highlights significant under-reporting of crimes such as sexual violence and domestic abuse, particularly among vulnerable groups. Similarly, the Home Office (2022) acknowledges that victim engagement with the CJS is often hindered by </w:t>
      </w:r>
      <w:r w:rsidR="005C17BE" w:rsidRPr="00C82993">
        <w:rPr>
          <w:rFonts w:ascii="Arial" w:hAnsi="Arial" w:cs="Arial"/>
        </w:rPr>
        <w:t xml:space="preserve">a </w:t>
      </w:r>
      <w:r w:rsidRPr="00C82993">
        <w:rPr>
          <w:rFonts w:ascii="Arial" w:hAnsi="Arial" w:cs="Arial"/>
        </w:rPr>
        <w:t>lack of confidence, fear of not being believed, and previous negative experiences with authorities. These findings reinforce Christie’s (1986) argument that recognition as a “legitimate” victim is unevenly distributed.</w:t>
      </w:r>
    </w:p>
    <w:p w14:paraId="5E6BBD21" w14:textId="77777777" w:rsidR="005C17BE" w:rsidRPr="00C82993" w:rsidRDefault="4889DFB7" w:rsidP="00C82993">
      <w:pPr>
        <w:spacing w:line="480" w:lineRule="auto"/>
        <w:ind w:firstLine="720"/>
        <w:jc w:val="both"/>
        <w:rPr>
          <w:rFonts w:ascii="Arial" w:hAnsi="Arial" w:cs="Arial"/>
          <w:color w:val="FF0000"/>
          <w:lang w:val="en-GB"/>
        </w:rPr>
      </w:pPr>
      <w:r w:rsidRPr="00C82993">
        <w:rPr>
          <w:rFonts w:ascii="Arial" w:hAnsi="Arial" w:cs="Arial"/>
        </w:rPr>
        <w:t>However, Christie’s framework has been widely critiqued for its limitations. Sandra Walklate argues that the concept of the “ideal victim” is overly simplistic and fails to account for the structural and institutional dimensions of victimisation (Walklate, 2011). From a critical victimology perspective</w:t>
      </w:r>
      <w:r w:rsidR="005C17BE" w:rsidRPr="00C82993">
        <w:rPr>
          <w:rFonts w:ascii="Arial" w:hAnsi="Arial" w:cs="Arial"/>
        </w:rPr>
        <w:t xml:space="preserve"> (Walklate 2011,</w:t>
      </w:r>
      <w:r w:rsidRPr="00C82993">
        <w:rPr>
          <w:rFonts w:ascii="Arial" w:hAnsi="Arial" w:cs="Arial"/>
        </w:rPr>
        <w:t xml:space="preserve"> 2017) contends that victim status is shaped not only by social perceptions but also by power relations embedded within criminal justice processes, including policing practices and prosecutorial discretion.</w:t>
      </w:r>
    </w:p>
    <w:p w14:paraId="5BBE124F" w14:textId="77777777" w:rsidR="005C17BE" w:rsidRPr="00C82993" w:rsidRDefault="4889DFB7" w:rsidP="00C82993">
      <w:pPr>
        <w:spacing w:line="480" w:lineRule="auto"/>
        <w:ind w:firstLine="720"/>
        <w:jc w:val="both"/>
        <w:rPr>
          <w:rFonts w:ascii="Arial" w:hAnsi="Arial" w:cs="Arial"/>
          <w:color w:val="FF0000"/>
          <w:lang w:val="en-GB"/>
        </w:rPr>
      </w:pPr>
      <w:r w:rsidRPr="00C82993">
        <w:rPr>
          <w:rFonts w:ascii="Arial" w:hAnsi="Arial" w:cs="Arial"/>
        </w:rPr>
        <w:lastRenderedPageBreak/>
        <w:t>Walklate (2017) further emphasises the importance of intersectionality, arguing that vulnerability is shaped by overlapping social inequalities such as gender, race and class. For example, minority ethnic victims may face additional barriers, including mistrust of authorities and discriminatory treatment, which can discourage reporting and engagement with the CJS (Walklate, 2017; Home Office, 2022). This extends Christie’s (1986) framework by demonstrating that victimhood is not simply a matter of fitting an “ideal type,” but is instead structured by broader systems of inequality.</w:t>
      </w:r>
    </w:p>
    <w:p w14:paraId="5C209D94" w14:textId="77777777" w:rsidR="005C17BE" w:rsidRPr="00C82993" w:rsidRDefault="4889DFB7" w:rsidP="00C82993">
      <w:pPr>
        <w:spacing w:line="480" w:lineRule="auto"/>
        <w:ind w:firstLine="720"/>
        <w:jc w:val="both"/>
        <w:rPr>
          <w:rFonts w:ascii="Arial" w:hAnsi="Arial" w:cs="Arial"/>
          <w:color w:val="FF0000"/>
          <w:lang w:val="en-GB"/>
        </w:rPr>
      </w:pPr>
      <w:r w:rsidRPr="00C82993">
        <w:rPr>
          <w:rFonts w:ascii="Arial" w:hAnsi="Arial" w:cs="Arial"/>
        </w:rPr>
        <w:t xml:space="preserve">These issues are also evident in the implementation of </w:t>
      </w:r>
      <w:r w:rsidR="005C17BE" w:rsidRPr="00C82993">
        <w:rPr>
          <w:rFonts w:ascii="Arial" w:hAnsi="Arial" w:cs="Arial"/>
        </w:rPr>
        <w:t xml:space="preserve">the </w:t>
      </w:r>
      <w:r w:rsidRPr="00C82993">
        <w:rPr>
          <w:rFonts w:ascii="Arial" w:hAnsi="Arial" w:cs="Arial"/>
        </w:rPr>
        <w:t>victim policy. While the Victims’ Code (Ministry of Justice, 2020) sets out clear rights for victims, evidence suggests that these rights are not consistently realised in practice (Victims’ Commissioner, 2021). The Crown Prosecution Service has also acknowledged challenges in prosecuting complex cases, particularly those involving vulnerable victims, where issues of credibility and evidence are more contested (CPS, 2023). This supports Walklate’s (2011) argument that victimhood is institutionally mediated, rather than neutrally recognised.</w:t>
      </w:r>
    </w:p>
    <w:p w14:paraId="1D5D6206" w14:textId="77777777" w:rsidR="005C17BE" w:rsidRPr="00C82993" w:rsidRDefault="4889DFB7" w:rsidP="00C82993">
      <w:pPr>
        <w:spacing w:line="480" w:lineRule="auto"/>
        <w:ind w:firstLine="720"/>
        <w:jc w:val="both"/>
        <w:rPr>
          <w:rFonts w:ascii="Arial" w:hAnsi="Arial" w:cs="Arial"/>
          <w:color w:val="FF0000"/>
          <w:lang w:val="en-GB"/>
        </w:rPr>
      </w:pPr>
      <w:r w:rsidRPr="00C82993">
        <w:rPr>
          <w:rFonts w:ascii="Arial" w:hAnsi="Arial" w:cs="Arial"/>
        </w:rPr>
        <w:t>Critically, while Christie (1986) provides a valuable framework for understanding how victim hierarchies are constructed,</w:t>
      </w:r>
      <w:r w:rsidR="005C17BE" w:rsidRPr="00C82993">
        <w:rPr>
          <w:rFonts w:ascii="Arial" w:hAnsi="Arial" w:cs="Arial"/>
        </w:rPr>
        <w:t xml:space="preserve"> </w:t>
      </w:r>
      <w:r w:rsidRPr="00C82993">
        <w:rPr>
          <w:rFonts w:ascii="Arial" w:hAnsi="Arial" w:cs="Arial"/>
        </w:rPr>
        <w:t xml:space="preserve">Walklate </w:t>
      </w:r>
      <w:r w:rsidR="005C17BE" w:rsidRPr="00C82993">
        <w:rPr>
          <w:rFonts w:ascii="Arial" w:hAnsi="Arial" w:cs="Arial"/>
        </w:rPr>
        <w:t>(</w:t>
      </w:r>
      <w:r w:rsidRPr="00C82993">
        <w:rPr>
          <w:rFonts w:ascii="Arial" w:hAnsi="Arial" w:cs="Arial"/>
        </w:rPr>
        <w:t>2011</w:t>
      </w:r>
      <w:r w:rsidR="005C17BE" w:rsidRPr="00C82993">
        <w:rPr>
          <w:rFonts w:ascii="Arial" w:hAnsi="Arial" w:cs="Arial"/>
        </w:rPr>
        <w:t>,</w:t>
      </w:r>
      <w:r w:rsidRPr="00C82993">
        <w:rPr>
          <w:rFonts w:ascii="Arial" w:hAnsi="Arial" w:cs="Arial"/>
        </w:rPr>
        <w:t>2017)</w:t>
      </w:r>
      <w:r w:rsidR="005C17BE" w:rsidRPr="00C82993">
        <w:rPr>
          <w:rFonts w:ascii="Arial" w:hAnsi="Arial" w:cs="Arial"/>
        </w:rPr>
        <w:t xml:space="preserve"> </w:t>
      </w:r>
      <w:r w:rsidRPr="00C82993">
        <w:rPr>
          <w:rFonts w:ascii="Arial" w:hAnsi="Arial" w:cs="Arial"/>
        </w:rPr>
        <w:t>demonstrates how these hierarchies are reproduced through structural inequalities and institutional practices. Together, these perspectives highlight that the difficulties faced by vulnerable victims</w:t>
      </w:r>
      <w:r w:rsidR="0E9C56E4" w:rsidRPr="00C82993">
        <w:rPr>
          <w:rFonts w:ascii="Arial" w:hAnsi="Arial" w:cs="Arial"/>
        </w:rPr>
        <w:t>,</w:t>
      </w:r>
      <w:r w:rsidR="00861C13" w:rsidRPr="00C82993">
        <w:rPr>
          <w:rFonts w:ascii="Arial" w:hAnsi="Arial" w:cs="Arial"/>
        </w:rPr>
        <w:t xml:space="preserve"> </w:t>
      </w:r>
      <w:r w:rsidRPr="00C82993">
        <w:rPr>
          <w:rFonts w:ascii="Arial" w:hAnsi="Arial" w:cs="Arial"/>
        </w:rPr>
        <w:t>such as under-reporting, lack of credibility, and unequal access to justice</w:t>
      </w:r>
      <w:r w:rsidR="7DB9D758" w:rsidRPr="00C82993">
        <w:rPr>
          <w:rFonts w:ascii="Arial" w:hAnsi="Arial" w:cs="Arial"/>
        </w:rPr>
        <w:t>, a</w:t>
      </w:r>
      <w:r w:rsidRPr="00C82993">
        <w:rPr>
          <w:rFonts w:ascii="Arial" w:hAnsi="Arial" w:cs="Arial"/>
        </w:rPr>
        <w:t>re not incidental but are embedded within the functioning of the criminal justice system itself (ONS, 2023; Home Office, 2022).</w:t>
      </w:r>
    </w:p>
    <w:p w14:paraId="5CDDDDFB" w14:textId="392D14AC" w:rsidR="005C17BE" w:rsidRPr="00C82993" w:rsidRDefault="005C17BE" w:rsidP="00C82993">
      <w:pPr>
        <w:spacing w:line="480" w:lineRule="auto"/>
        <w:ind w:firstLine="720"/>
        <w:jc w:val="both"/>
        <w:rPr>
          <w:rFonts w:ascii="Arial" w:hAnsi="Arial" w:cs="Arial"/>
          <w:color w:val="FF0000"/>
          <w:lang w:val="en-GB"/>
        </w:rPr>
      </w:pPr>
      <w:r w:rsidRPr="00C82993">
        <w:rPr>
          <w:rFonts w:ascii="Arial" w:hAnsi="Arial" w:cs="Arial"/>
          <w:lang w:val="en-GB"/>
        </w:rPr>
        <w:t>T</w:t>
      </w:r>
      <w:r w:rsidR="7E374DC5" w:rsidRPr="00C82993">
        <w:rPr>
          <w:rFonts w:ascii="Arial" w:hAnsi="Arial" w:cs="Arial"/>
        </w:rPr>
        <w:t xml:space="preserve">he policing of </w:t>
      </w:r>
      <w:r w:rsidRPr="00C82993">
        <w:rPr>
          <w:rFonts w:ascii="Arial" w:hAnsi="Arial" w:cs="Arial"/>
        </w:rPr>
        <w:t>c</w:t>
      </w:r>
      <w:r w:rsidR="007E46F8" w:rsidRPr="00C82993">
        <w:rPr>
          <w:rFonts w:ascii="Arial" w:hAnsi="Arial" w:cs="Arial"/>
        </w:rPr>
        <w:t xml:space="preserve">ounty </w:t>
      </w:r>
      <w:r w:rsidRPr="00C82993">
        <w:rPr>
          <w:rFonts w:ascii="Arial" w:hAnsi="Arial" w:cs="Arial"/>
        </w:rPr>
        <w:t>l</w:t>
      </w:r>
      <w:r w:rsidR="007E46F8" w:rsidRPr="00C82993">
        <w:rPr>
          <w:rFonts w:ascii="Arial" w:hAnsi="Arial" w:cs="Arial"/>
        </w:rPr>
        <w:t>ine</w:t>
      </w:r>
      <w:r w:rsidR="7E374DC5" w:rsidRPr="00C82993">
        <w:rPr>
          <w:rFonts w:ascii="Arial" w:hAnsi="Arial" w:cs="Arial"/>
        </w:rPr>
        <w:t xml:space="preserve"> drug distributions </w:t>
      </w:r>
      <w:r w:rsidRPr="00C82993">
        <w:rPr>
          <w:rFonts w:ascii="Arial" w:hAnsi="Arial" w:cs="Arial"/>
        </w:rPr>
        <w:t>provides</w:t>
      </w:r>
      <w:r w:rsidR="7E374DC5" w:rsidRPr="00C82993">
        <w:rPr>
          <w:rFonts w:ascii="Arial" w:hAnsi="Arial" w:cs="Arial"/>
        </w:rPr>
        <w:t xml:space="preserve"> a clear example of the difficulties that vulnerable victims may encounter within the criminal justice system. Whilst </w:t>
      </w:r>
      <w:r w:rsidR="7E374DC5" w:rsidRPr="00C82993">
        <w:rPr>
          <w:rFonts w:ascii="Arial" w:hAnsi="Arial" w:cs="Arial"/>
        </w:rPr>
        <w:lastRenderedPageBreak/>
        <w:t xml:space="preserve">the UK policy </w:t>
      </w:r>
      <w:r w:rsidRPr="00C82993">
        <w:rPr>
          <w:rFonts w:ascii="Arial" w:hAnsi="Arial" w:cs="Arial"/>
        </w:rPr>
        <w:t>defines county lines as involving the criminal exploitation of children and vulnerable adults, in particular, many individuals are not considered victims</w:t>
      </w:r>
      <w:r w:rsidR="45FBEAD1" w:rsidRPr="00C82993">
        <w:rPr>
          <w:rFonts w:ascii="Arial" w:hAnsi="Arial" w:cs="Arial"/>
        </w:rPr>
        <w:t xml:space="preserve"> (HM </w:t>
      </w:r>
      <w:r w:rsidR="00861C13" w:rsidRPr="00C82993">
        <w:rPr>
          <w:rFonts w:ascii="Arial" w:hAnsi="Arial" w:cs="Arial"/>
        </w:rPr>
        <w:t>Government</w:t>
      </w:r>
      <w:r w:rsidR="45FBEAD1" w:rsidRPr="00C82993">
        <w:rPr>
          <w:rFonts w:ascii="Arial" w:hAnsi="Arial" w:cs="Arial"/>
        </w:rPr>
        <w:t>,2023)</w:t>
      </w:r>
      <w:r w:rsidR="7A34EE34" w:rsidRPr="00C82993">
        <w:rPr>
          <w:rFonts w:ascii="Arial" w:hAnsi="Arial" w:cs="Arial"/>
        </w:rPr>
        <w:t xml:space="preserve">. </w:t>
      </w:r>
      <w:r w:rsidR="04DBA82E" w:rsidRPr="00C82993">
        <w:rPr>
          <w:rFonts w:ascii="Arial" w:hAnsi="Arial" w:cs="Arial"/>
        </w:rPr>
        <w:t xml:space="preserve">This creates a significant barrier at the initial stage of </w:t>
      </w:r>
      <w:r w:rsidRPr="00C82993">
        <w:rPr>
          <w:rFonts w:ascii="Arial" w:hAnsi="Arial" w:cs="Arial"/>
        </w:rPr>
        <w:t xml:space="preserve">the </w:t>
      </w:r>
      <w:r w:rsidR="04DBA82E" w:rsidRPr="00C82993">
        <w:rPr>
          <w:rFonts w:ascii="Arial" w:hAnsi="Arial" w:cs="Arial"/>
        </w:rPr>
        <w:t xml:space="preserve">criminal justice </w:t>
      </w:r>
      <w:r w:rsidRPr="00C82993">
        <w:rPr>
          <w:rFonts w:ascii="Arial" w:hAnsi="Arial" w:cs="Arial"/>
        </w:rPr>
        <w:t>process</w:t>
      </w:r>
      <w:r w:rsidR="04DBA82E" w:rsidRPr="00C82993">
        <w:rPr>
          <w:rFonts w:ascii="Arial" w:hAnsi="Arial" w:cs="Arial"/>
        </w:rPr>
        <w:t xml:space="preserve">, where exploited individuals may be treated primarily as a defender rather than a victim. </w:t>
      </w:r>
      <w:r w:rsidRPr="00C82993">
        <w:rPr>
          <w:rFonts w:ascii="Arial" w:hAnsi="Arial" w:cs="Arial"/>
        </w:rPr>
        <w:t>As</w:t>
      </w:r>
      <w:r w:rsidR="04DBA82E" w:rsidRPr="00C82993">
        <w:rPr>
          <w:rFonts w:ascii="Arial" w:hAnsi="Arial" w:cs="Arial"/>
        </w:rPr>
        <w:t xml:space="preserve"> a result</w:t>
      </w:r>
      <w:r w:rsidRPr="00C82993">
        <w:rPr>
          <w:rFonts w:ascii="Arial" w:hAnsi="Arial" w:cs="Arial"/>
        </w:rPr>
        <w:t>, young people involved in county lines are frequently arrested and prosecuted for drug offences despite evidence of exploitation and grooming (Commber,2020; Robinson,</w:t>
      </w:r>
      <w:r w:rsidR="18245BC5" w:rsidRPr="00C82993">
        <w:rPr>
          <w:rFonts w:ascii="Arial" w:hAnsi="Arial" w:cs="Arial"/>
        </w:rPr>
        <w:t xml:space="preserve"> 2021</w:t>
      </w:r>
      <w:r w:rsidR="264CB259" w:rsidRPr="00C82993">
        <w:rPr>
          <w:rFonts w:ascii="Arial" w:hAnsi="Arial" w:cs="Arial"/>
        </w:rPr>
        <w:t>)</w:t>
      </w:r>
      <w:r w:rsidR="52F3D51F" w:rsidRPr="00C82993">
        <w:rPr>
          <w:rFonts w:ascii="Arial" w:hAnsi="Arial" w:cs="Arial"/>
        </w:rPr>
        <w:t>. This reflects a broad</w:t>
      </w:r>
      <w:r w:rsidR="394691DE" w:rsidRPr="00C82993">
        <w:rPr>
          <w:rFonts w:ascii="Arial" w:hAnsi="Arial" w:cs="Arial"/>
        </w:rPr>
        <w:t xml:space="preserve"> </w:t>
      </w:r>
      <w:r w:rsidR="00861C13" w:rsidRPr="00C82993">
        <w:rPr>
          <w:rFonts w:ascii="Arial" w:hAnsi="Arial" w:cs="Arial"/>
        </w:rPr>
        <w:t>difficulty</w:t>
      </w:r>
      <w:r w:rsidR="394691DE" w:rsidRPr="00C82993">
        <w:rPr>
          <w:rFonts w:ascii="Arial" w:hAnsi="Arial" w:cs="Arial"/>
        </w:rPr>
        <w:t xml:space="preserve"> within the system. The failure to effectively accommodate the </w:t>
      </w:r>
      <w:r w:rsidRPr="00C82993">
        <w:rPr>
          <w:rFonts w:ascii="Arial" w:hAnsi="Arial" w:cs="Arial"/>
        </w:rPr>
        <w:t xml:space="preserve">victim-offender </w:t>
      </w:r>
      <w:proofErr w:type="gramStart"/>
      <w:r w:rsidRPr="00C82993">
        <w:rPr>
          <w:rFonts w:ascii="Arial" w:hAnsi="Arial" w:cs="Arial"/>
        </w:rPr>
        <w:t>overlap</w:t>
      </w:r>
      <w:proofErr w:type="gramEnd"/>
      <w:r w:rsidRPr="00C82993">
        <w:rPr>
          <w:rFonts w:ascii="Arial" w:hAnsi="Arial" w:cs="Arial"/>
        </w:rPr>
        <w:t>, in which</w:t>
      </w:r>
      <w:r w:rsidR="394691DE" w:rsidRPr="00C82993">
        <w:rPr>
          <w:rFonts w:ascii="Arial" w:hAnsi="Arial" w:cs="Arial"/>
        </w:rPr>
        <w:t xml:space="preserve"> individuals simultan</w:t>
      </w:r>
      <w:r w:rsidR="56408572" w:rsidRPr="00C82993">
        <w:rPr>
          <w:rFonts w:ascii="Arial" w:hAnsi="Arial" w:cs="Arial"/>
        </w:rPr>
        <w:t xml:space="preserve">eously occupy both </w:t>
      </w:r>
      <w:r w:rsidRPr="00C82993">
        <w:rPr>
          <w:rFonts w:ascii="Arial" w:hAnsi="Arial" w:cs="Arial"/>
        </w:rPr>
        <w:t>roles</w:t>
      </w:r>
      <w:r w:rsidR="56408572" w:rsidRPr="00C82993">
        <w:rPr>
          <w:rFonts w:ascii="Arial" w:hAnsi="Arial" w:cs="Arial"/>
        </w:rPr>
        <w:t xml:space="preserve"> but are </w:t>
      </w:r>
      <w:r w:rsidR="00ED0145" w:rsidRPr="00C82993">
        <w:rPr>
          <w:rFonts w:ascii="Arial" w:hAnsi="Arial" w:cs="Arial"/>
        </w:rPr>
        <w:t xml:space="preserve">not treated </w:t>
      </w:r>
      <w:r w:rsidR="56408572" w:rsidRPr="00C82993">
        <w:rPr>
          <w:rFonts w:ascii="Arial" w:hAnsi="Arial" w:cs="Arial"/>
        </w:rPr>
        <w:t>as such in practice.</w:t>
      </w:r>
    </w:p>
    <w:p w14:paraId="3A2E93B6" w14:textId="77777777" w:rsidR="005C17BE" w:rsidRPr="00C82993" w:rsidRDefault="00880828" w:rsidP="00C82993">
      <w:pPr>
        <w:spacing w:line="480" w:lineRule="auto"/>
        <w:ind w:firstLine="720"/>
        <w:jc w:val="both"/>
        <w:rPr>
          <w:rFonts w:ascii="Arial" w:hAnsi="Arial" w:cs="Arial"/>
          <w:color w:val="FF0000"/>
          <w:lang w:val="en-GB"/>
        </w:rPr>
      </w:pPr>
      <w:r w:rsidRPr="00C82993">
        <w:rPr>
          <w:rFonts w:ascii="Arial" w:hAnsi="Arial" w:cs="Arial"/>
        </w:rPr>
        <w:t>Furthermore</w:t>
      </w:r>
      <w:r w:rsidR="224AA0CE" w:rsidRPr="00C82993">
        <w:rPr>
          <w:rFonts w:ascii="Arial" w:hAnsi="Arial" w:cs="Arial"/>
        </w:rPr>
        <w:t xml:space="preserve">, </w:t>
      </w:r>
      <w:r w:rsidR="005C17BE" w:rsidRPr="00C82993">
        <w:rPr>
          <w:rFonts w:ascii="Arial" w:hAnsi="Arial" w:cs="Arial"/>
        </w:rPr>
        <w:t xml:space="preserve">the inconsistent application of the </w:t>
      </w:r>
      <w:r w:rsidR="00861C13" w:rsidRPr="00C82993">
        <w:rPr>
          <w:rFonts w:ascii="Arial" w:hAnsi="Arial" w:cs="Arial"/>
        </w:rPr>
        <w:t>vulnerability</w:t>
      </w:r>
      <w:r w:rsidR="224AA0CE" w:rsidRPr="00C82993">
        <w:rPr>
          <w:rFonts w:ascii="Arial" w:hAnsi="Arial" w:cs="Arial"/>
        </w:rPr>
        <w:t xml:space="preserve"> framework</w:t>
      </w:r>
      <w:r w:rsidR="5D2695E7" w:rsidRPr="00C82993">
        <w:rPr>
          <w:rFonts w:ascii="Arial" w:hAnsi="Arial" w:cs="Arial"/>
        </w:rPr>
        <w:t xml:space="preserve"> </w:t>
      </w:r>
      <w:r w:rsidR="005C17BE" w:rsidRPr="00C82993">
        <w:rPr>
          <w:rFonts w:ascii="Arial" w:hAnsi="Arial" w:cs="Arial"/>
        </w:rPr>
        <w:t>results in uneven access to safeguarding and support,</w:t>
      </w:r>
      <w:r w:rsidR="5D2695E7" w:rsidRPr="00C82993">
        <w:rPr>
          <w:rFonts w:ascii="Arial" w:hAnsi="Arial" w:cs="Arial"/>
        </w:rPr>
        <w:t xml:space="preserve"> often dependent on </w:t>
      </w:r>
      <w:r w:rsidR="00270267" w:rsidRPr="00C82993">
        <w:rPr>
          <w:rFonts w:ascii="Arial" w:hAnsi="Arial" w:cs="Arial"/>
        </w:rPr>
        <w:t xml:space="preserve">professional </w:t>
      </w:r>
      <w:r w:rsidR="5D2695E7" w:rsidRPr="00C82993">
        <w:rPr>
          <w:rFonts w:ascii="Arial" w:hAnsi="Arial" w:cs="Arial"/>
        </w:rPr>
        <w:t>discretion</w:t>
      </w:r>
      <w:r w:rsidR="16925637" w:rsidRPr="00C82993">
        <w:rPr>
          <w:rFonts w:ascii="Arial" w:hAnsi="Arial" w:cs="Arial"/>
        </w:rPr>
        <w:t xml:space="preserve">. </w:t>
      </w:r>
      <w:r w:rsidR="005C17BE" w:rsidRPr="00C82993">
        <w:rPr>
          <w:rFonts w:ascii="Arial" w:hAnsi="Arial" w:cs="Arial"/>
        </w:rPr>
        <w:t>(HM</w:t>
      </w:r>
      <w:r w:rsidR="16925637" w:rsidRPr="00C82993">
        <w:rPr>
          <w:rFonts w:ascii="Arial" w:hAnsi="Arial" w:cs="Arial"/>
        </w:rPr>
        <w:t xml:space="preserve"> Government, 2023). This can lead to unequal treatment, where some individuals r</w:t>
      </w:r>
      <w:r w:rsidR="27D94506" w:rsidRPr="00C82993">
        <w:rPr>
          <w:rFonts w:ascii="Arial" w:hAnsi="Arial" w:cs="Arial"/>
        </w:rPr>
        <w:t>ece</w:t>
      </w:r>
      <w:r w:rsidR="22B1C8AA" w:rsidRPr="00C82993">
        <w:rPr>
          <w:rFonts w:ascii="Arial" w:hAnsi="Arial" w:cs="Arial"/>
        </w:rPr>
        <w:t xml:space="preserve">ive protection whilst other </w:t>
      </w:r>
      <w:r w:rsidR="00861C13" w:rsidRPr="00C82993">
        <w:rPr>
          <w:rFonts w:ascii="Arial" w:hAnsi="Arial" w:cs="Arial"/>
        </w:rPr>
        <w:t>expense</w:t>
      </w:r>
      <w:r w:rsidR="22B1C8AA" w:rsidRPr="00C82993">
        <w:rPr>
          <w:rFonts w:ascii="Arial" w:hAnsi="Arial" w:cs="Arial"/>
        </w:rPr>
        <w:t xml:space="preserve"> punitive </w:t>
      </w:r>
      <w:r w:rsidR="005C17BE" w:rsidRPr="00C82993">
        <w:rPr>
          <w:rFonts w:ascii="Arial" w:hAnsi="Arial" w:cs="Arial"/>
        </w:rPr>
        <w:t>responses</w:t>
      </w:r>
      <w:r w:rsidR="22B1C8AA" w:rsidRPr="00C82993">
        <w:rPr>
          <w:rFonts w:ascii="Arial" w:hAnsi="Arial" w:cs="Arial"/>
        </w:rPr>
        <w:t xml:space="preserve">. Such </w:t>
      </w:r>
      <w:r w:rsidR="042C795C" w:rsidRPr="00C82993">
        <w:rPr>
          <w:rFonts w:ascii="Arial" w:hAnsi="Arial" w:cs="Arial"/>
        </w:rPr>
        <w:t>inconsistency undermines trust in criminal justice institutions and may discour</w:t>
      </w:r>
      <w:r w:rsidR="32E009FE" w:rsidRPr="00C82993">
        <w:rPr>
          <w:rFonts w:ascii="Arial" w:hAnsi="Arial" w:cs="Arial"/>
        </w:rPr>
        <w:t xml:space="preserve">age </w:t>
      </w:r>
      <w:r w:rsidR="3779220E" w:rsidRPr="00C82993">
        <w:rPr>
          <w:rFonts w:ascii="Arial" w:hAnsi="Arial" w:cs="Arial"/>
        </w:rPr>
        <w:t>engagement with authorities. In addition,</w:t>
      </w:r>
      <w:r w:rsidR="005C17BE" w:rsidRPr="00C82993">
        <w:rPr>
          <w:rFonts w:ascii="Arial" w:hAnsi="Arial" w:cs="Arial"/>
        </w:rPr>
        <w:t xml:space="preserve"> categorising individuals as vulnerable does not guarantee empowerment within the system;</w:t>
      </w:r>
      <w:r w:rsidR="08D310F2" w:rsidRPr="00C82993">
        <w:rPr>
          <w:rFonts w:ascii="Arial" w:hAnsi="Arial" w:cs="Arial"/>
        </w:rPr>
        <w:t xml:space="preserve"> </w:t>
      </w:r>
      <w:r w:rsidR="005C17BE" w:rsidRPr="00C82993">
        <w:rPr>
          <w:rFonts w:ascii="Arial" w:hAnsi="Arial" w:cs="Arial"/>
        </w:rPr>
        <w:t>it can result in decisions being made on their behalf, limiting their agency in legal processes</w:t>
      </w:r>
      <w:r w:rsidR="04657AD6" w:rsidRPr="00C82993">
        <w:rPr>
          <w:rFonts w:ascii="Arial" w:hAnsi="Arial" w:cs="Arial"/>
        </w:rPr>
        <w:t xml:space="preserve">. </w:t>
      </w:r>
      <w:r w:rsidR="7A117D19" w:rsidRPr="00C82993">
        <w:rPr>
          <w:rFonts w:ascii="Arial" w:hAnsi="Arial" w:cs="Arial"/>
        </w:rPr>
        <w:t>C</w:t>
      </w:r>
      <w:r w:rsidR="04657AD6" w:rsidRPr="00C82993">
        <w:rPr>
          <w:rFonts w:ascii="Arial" w:hAnsi="Arial" w:cs="Arial"/>
        </w:rPr>
        <w:t>onsequently</w:t>
      </w:r>
      <w:r w:rsidR="4F68D383" w:rsidRPr="00C82993">
        <w:rPr>
          <w:rFonts w:ascii="Arial" w:hAnsi="Arial" w:cs="Arial"/>
        </w:rPr>
        <w:t xml:space="preserve">, </w:t>
      </w:r>
      <w:r w:rsidR="00861C13" w:rsidRPr="00C82993">
        <w:rPr>
          <w:rFonts w:ascii="Arial" w:hAnsi="Arial" w:cs="Arial"/>
        </w:rPr>
        <w:t>although</w:t>
      </w:r>
      <w:r w:rsidR="4F68D383" w:rsidRPr="00C82993">
        <w:rPr>
          <w:rFonts w:ascii="Arial" w:hAnsi="Arial" w:cs="Arial"/>
        </w:rPr>
        <w:t xml:space="preserve"> the </w:t>
      </w:r>
      <w:r w:rsidR="58A12DD4" w:rsidRPr="00C82993">
        <w:rPr>
          <w:rFonts w:ascii="Arial" w:hAnsi="Arial" w:cs="Arial"/>
        </w:rPr>
        <w:t xml:space="preserve">label of vulnerability is intended to facilitate support, </w:t>
      </w:r>
      <w:r w:rsidR="00270267" w:rsidRPr="00C82993">
        <w:rPr>
          <w:rFonts w:ascii="Arial" w:hAnsi="Arial" w:cs="Arial"/>
        </w:rPr>
        <w:t xml:space="preserve">in practice </w:t>
      </w:r>
      <w:r w:rsidR="58A12DD4" w:rsidRPr="00C82993">
        <w:rPr>
          <w:rFonts w:ascii="Arial" w:hAnsi="Arial" w:cs="Arial"/>
        </w:rPr>
        <w:t xml:space="preserve">it can </w:t>
      </w:r>
      <w:r w:rsidR="00270267" w:rsidRPr="00C82993">
        <w:rPr>
          <w:rFonts w:ascii="Arial" w:hAnsi="Arial" w:cs="Arial"/>
        </w:rPr>
        <w:t xml:space="preserve">contribute </w:t>
      </w:r>
      <w:r w:rsidR="58A12DD4" w:rsidRPr="00C82993">
        <w:rPr>
          <w:rFonts w:ascii="Arial" w:hAnsi="Arial" w:cs="Arial"/>
        </w:rPr>
        <w:t xml:space="preserve">to </w:t>
      </w:r>
      <w:r w:rsidR="005C17BE" w:rsidRPr="00C82993">
        <w:rPr>
          <w:rFonts w:ascii="Arial" w:hAnsi="Arial" w:cs="Arial"/>
        </w:rPr>
        <w:t>a range of difficulties, including misidentification</w:t>
      </w:r>
      <w:r w:rsidR="46ECCF71" w:rsidRPr="00C82993">
        <w:rPr>
          <w:rFonts w:ascii="Arial" w:hAnsi="Arial" w:cs="Arial"/>
        </w:rPr>
        <w:t>,</w:t>
      </w:r>
      <w:r w:rsidR="46ECCF71" w:rsidRPr="00C82993">
        <w:rPr>
          <w:rFonts w:ascii="Arial" w:hAnsi="Arial" w:cs="Arial"/>
          <w:color w:val="FF0000"/>
        </w:rPr>
        <w:t xml:space="preserve"> </w:t>
      </w:r>
      <w:r w:rsidR="46ECCF71" w:rsidRPr="00C82993">
        <w:rPr>
          <w:rFonts w:ascii="Arial" w:hAnsi="Arial" w:cs="Arial"/>
        </w:rPr>
        <w:t xml:space="preserve">criminalisation and unequal access to justice. This demonstrates that the </w:t>
      </w:r>
      <w:r w:rsidR="00FC6C29" w:rsidRPr="00C82993">
        <w:rPr>
          <w:rFonts w:ascii="Arial" w:hAnsi="Arial" w:cs="Arial"/>
        </w:rPr>
        <w:t xml:space="preserve">CJS </w:t>
      </w:r>
      <w:r w:rsidR="46ECCF71" w:rsidRPr="00C82993">
        <w:rPr>
          <w:rFonts w:ascii="Arial" w:hAnsi="Arial" w:cs="Arial"/>
        </w:rPr>
        <w:t xml:space="preserve">continues to struggle to reconcile its dual role of protection and </w:t>
      </w:r>
      <w:r w:rsidR="00FC6C29" w:rsidRPr="00C82993">
        <w:rPr>
          <w:rFonts w:ascii="Arial" w:hAnsi="Arial" w:cs="Arial"/>
        </w:rPr>
        <w:t xml:space="preserve">enforcement </w:t>
      </w:r>
      <w:r w:rsidR="3D98643B" w:rsidRPr="00C82993">
        <w:rPr>
          <w:rFonts w:ascii="Arial" w:hAnsi="Arial" w:cs="Arial"/>
        </w:rPr>
        <w:t>when dealing with vulnerable victims.</w:t>
      </w:r>
    </w:p>
    <w:p w14:paraId="6621E3CF" w14:textId="77777777" w:rsidR="00E6342D" w:rsidRPr="00C82993" w:rsidRDefault="48D169BD" w:rsidP="00C82993">
      <w:pPr>
        <w:spacing w:line="480" w:lineRule="auto"/>
        <w:ind w:firstLine="720"/>
        <w:jc w:val="both"/>
        <w:rPr>
          <w:rFonts w:ascii="Arial" w:hAnsi="Arial" w:cs="Arial"/>
          <w:color w:val="FF0000"/>
          <w:lang w:val="en-GB"/>
        </w:rPr>
      </w:pPr>
      <w:r w:rsidRPr="00C82993">
        <w:rPr>
          <w:rFonts w:ascii="Arial" w:hAnsi="Arial" w:cs="Arial"/>
        </w:rPr>
        <w:t xml:space="preserve">Underreporting </w:t>
      </w:r>
      <w:r w:rsidR="13BA9B6E" w:rsidRPr="00C82993">
        <w:rPr>
          <w:rFonts w:ascii="Arial" w:hAnsi="Arial" w:cs="Arial"/>
        </w:rPr>
        <w:t>remains</w:t>
      </w:r>
      <w:r w:rsidRPr="00C82993">
        <w:rPr>
          <w:rFonts w:ascii="Arial" w:hAnsi="Arial" w:cs="Arial"/>
        </w:rPr>
        <w:t xml:space="preserve"> a significant issue for vulnerable victims, </w:t>
      </w:r>
      <w:r w:rsidR="2F4B7402" w:rsidRPr="00C82993">
        <w:rPr>
          <w:rFonts w:ascii="Arial" w:hAnsi="Arial" w:cs="Arial"/>
        </w:rPr>
        <w:t>particularly</w:t>
      </w:r>
      <w:r w:rsidRPr="00C82993">
        <w:rPr>
          <w:rFonts w:ascii="Arial" w:hAnsi="Arial" w:cs="Arial"/>
        </w:rPr>
        <w:t xml:space="preserve"> in cases of sexual</w:t>
      </w:r>
      <w:r w:rsidR="2047FE89" w:rsidRPr="00C82993">
        <w:rPr>
          <w:rFonts w:ascii="Arial" w:hAnsi="Arial" w:cs="Arial"/>
        </w:rPr>
        <w:t xml:space="preserve"> </w:t>
      </w:r>
      <w:r w:rsidR="00C075C3" w:rsidRPr="00C82993">
        <w:rPr>
          <w:rFonts w:ascii="Arial" w:hAnsi="Arial" w:cs="Arial"/>
        </w:rPr>
        <w:t>violence</w:t>
      </w:r>
      <w:r w:rsidR="2047FE89" w:rsidRPr="00C82993">
        <w:rPr>
          <w:rFonts w:ascii="Arial" w:hAnsi="Arial" w:cs="Arial"/>
        </w:rPr>
        <w:t xml:space="preserve"> and domestic abuse, where </w:t>
      </w:r>
      <w:r w:rsidR="005C17BE" w:rsidRPr="00C82993">
        <w:rPr>
          <w:rFonts w:ascii="Arial" w:hAnsi="Arial" w:cs="Arial"/>
        </w:rPr>
        <w:t xml:space="preserve">a substantial proportion of offences </w:t>
      </w:r>
      <w:r w:rsidR="005C17BE" w:rsidRPr="00C82993">
        <w:rPr>
          <w:rFonts w:ascii="Arial" w:hAnsi="Arial" w:cs="Arial"/>
        </w:rPr>
        <w:lastRenderedPageBreak/>
        <w:t>are never reported</w:t>
      </w:r>
      <w:r w:rsidR="2047FE89" w:rsidRPr="00C82993">
        <w:rPr>
          <w:rFonts w:ascii="Arial" w:hAnsi="Arial" w:cs="Arial"/>
        </w:rPr>
        <w:t xml:space="preserve"> </w:t>
      </w:r>
      <w:r w:rsidR="71E5FF28" w:rsidRPr="00C82993">
        <w:rPr>
          <w:rFonts w:ascii="Arial" w:hAnsi="Arial" w:cs="Arial"/>
        </w:rPr>
        <w:t xml:space="preserve">to the police (Office for National </w:t>
      </w:r>
      <w:r w:rsidR="00861C13" w:rsidRPr="00C82993">
        <w:rPr>
          <w:rFonts w:ascii="Arial" w:hAnsi="Arial" w:cs="Arial"/>
        </w:rPr>
        <w:t>Statistics</w:t>
      </w:r>
      <w:r w:rsidR="71E5FF28" w:rsidRPr="00C82993">
        <w:rPr>
          <w:rFonts w:ascii="Arial" w:hAnsi="Arial" w:cs="Arial"/>
        </w:rPr>
        <w:t>, 2023). Research indicates that victims often avoid reporting</w:t>
      </w:r>
      <w:r w:rsidR="466A076C" w:rsidRPr="00C82993">
        <w:rPr>
          <w:rFonts w:ascii="Arial" w:hAnsi="Arial" w:cs="Arial"/>
        </w:rPr>
        <w:t xml:space="preserve"> due to fear of not being </w:t>
      </w:r>
      <w:r w:rsidR="00861C13" w:rsidRPr="00C82993">
        <w:rPr>
          <w:rFonts w:ascii="Arial" w:hAnsi="Arial" w:cs="Arial"/>
        </w:rPr>
        <w:t>believed</w:t>
      </w:r>
      <w:r w:rsidR="466A076C" w:rsidRPr="00C82993">
        <w:rPr>
          <w:rFonts w:ascii="Arial" w:hAnsi="Arial" w:cs="Arial"/>
        </w:rPr>
        <w:t xml:space="preserve">, feeling shame and concerns about the </w:t>
      </w:r>
      <w:r w:rsidR="00214C1B" w:rsidRPr="00C82993">
        <w:rPr>
          <w:rFonts w:ascii="Arial" w:hAnsi="Arial" w:cs="Arial"/>
        </w:rPr>
        <w:t xml:space="preserve">criminal justice </w:t>
      </w:r>
      <w:r w:rsidR="466A076C" w:rsidRPr="00C82993">
        <w:rPr>
          <w:rFonts w:ascii="Arial" w:hAnsi="Arial" w:cs="Arial"/>
        </w:rPr>
        <w:t>process itself (Victim Support, 202</w:t>
      </w:r>
      <w:r w:rsidR="164221D6" w:rsidRPr="00C82993">
        <w:rPr>
          <w:rFonts w:ascii="Arial" w:hAnsi="Arial" w:cs="Arial"/>
        </w:rPr>
        <w:t>0</w:t>
      </w:r>
      <w:r w:rsidR="466A076C" w:rsidRPr="00C82993">
        <w:rPr>
          <w:rFonts w:ascii="Arial" w:hAnsi="Arial" w:cs="Arial"/>
        </w:rPr>
        <w:t>)</w:t>
      </w:r>
      <w:r w:rsidR="78161D31" w:rsidRPr="00C82993">
        <w:rPr>
          <w:rFonts w:ascii="Arial" w:hAnsi="Arial" w:cs="Arial"/>
        </w:rPr>
        <w:t xml:space="preserve">. In the context of domestic abuse, underreporting is </w:t>
      </w:r>
      <w:r w:rsidR="00861C13" w:rsidRPr="00C82993">
        <w:rPr>
          <w:rFonts w:ascii="Arial" w:hAnsi="Arial" w:cs="Arial"/>
        </w:rPr>
        <w:t>further</w:t>
      </w:r>
      <w:r w:rsidR="78161D31" w:rsidRPr="00C82993">
        <w:rPr>
          <w:rFonts w:ascii="Arial" w:hAnsi="Arial" w:cs="Arial"/>
        </w:rPr>
        <w:t xml:space="preserve"> exacerbated by coercive control and dependency on the perpetra</w:t>
      </w:r>
      <w:r w:rsidR="6F1C3A59" w:rsidRPr="00C82993">
        <w:rPr>
          <w:rFonts w:ascii="Arial" w:hAnsi="Arial" w:cs="Arial"/>
        </w:rPr>
        <w:t>tor</w:t>
      </w:r>
      <w:r w:rsidR="00E6342D" w:rsidRPr="00C82993">
        <w:rPr>
          <w:rFonts w:ascii="Arial" w:hAnsi="Arial" w:cs="Arial"/>
        </w:rPr>
        <w:t>, which can limit the victim's</w:t>
      </w:r>
      <w:r w:rsidR="6F1C3A59" w:rsidRPr="00C82993">
        <w:rPr>
          <w:rFonts w:ascii="Arial" w:hAnsi="Arial" w:cs="Arial"/>
        </w:rPr>
        <w:t xml:space="preserve"> ability to seek help </w:t>
      </w:r>
      <w:r w:rsidR="68EDCFEA" w:rsidRPr="00C82993">
        <w:rPr>
          <w:rFonts w:ascii="Arial" w:hAnsi="Arial" w:cs="Arial"/>
        </w:rPr>
        <w:t>(Safe Lives, 2021).</w:t>
      </w:r>
    </w:p>
    <w:p w14:paraId="3214ADE4" w14:textId="77777777" w:rsidR="00E6342D" w:rsidRPr="00C82993" w:rsidRDefault="7B549913" w:rsidP="00C82993">
      <w:pPr>
        <w:spacing w:line="480" w:lineRule="auto"/>
        <w:ind w:firstLine="720"/>
        <w:jc w:val="both"/>
        <w:rPr>
          <w:rFonts w:ascii="Arial" w:hAnsi="Arial" w:cs="Arial"/>
          <w:color w:val="FF0000"/>
          <w:lang w:val="en-GB"/>
        </w:rPr>
      </w:pPr>
      <w:r w:rsidRPr="00C82993">
        <w:rPr>
          <w:rFonts w:ascii="Arial" w:hAnsi="Arial" w:cs="Arial"/>
        </w:rPr>
        <w:t xml:space="preserve">Distrust of criminal justice </w:t>
      </w:r>
      <w:r w:rsidR="3CE662FC" w:rsidRPr="00C82993">
        <w:rPr>
          <w:rFonts w:ascii="Arial" w:hAnsi="Arial" w:cs="Arial"/>
        </w:rPr>
        <w:t>institutions</w:t>
      </w:r>
      <w:r w:rsidRPr="00C82993">
        <w:rPr>
          <w:rFonts w:ascii="Arial" w:hAnsi="Arial" w:cs="Arial"/>
        </w:rPr>
        <w:t xml:space="preserve"> also presents a major barrier</w:t>
      </w:r>
      <w:r w:rsidR="303ED26F" w:rsidRPr="00C82993">
        <w:rPr>
          <w:rFonts w:ascii="Arial" w:hAnsi="Arial" w:cs="Arial"/>
        </w:rPr>
        <w:t>, particularly among marginalised groups who may perceive the police and courts as ineffective or biased (</w:t>
      </w:r>
      <w:r w:rsidR="63712BF4" w:rsidRPr="00C82993">
        <w:rPr>
          <w:rFonts w:ascii="Arial" w:hAnsi="Arial" w:cs="Arial"/>
        </w:rPr>
        <w:t>Centre for Women’s Justice, 20</w:t>
      </w:r>
      <w:r w:rsidR="5AA33A2A" w:rsidRPr="00C82993">
        <w:rPr>
          <w:rFonts w:ascii="Arial" w:hAnsi="Arial" w:cs="Arial"/>
        </w:rPr>
        <w:t>14</w:t>
      </w:r>
      <w:r w:rsidR="63712BF4" w:rsidRPr="00C82993">
        <w:rPr>
          <w:rFonts w:ascii="Arial" w:hAnsi="Arial" w:cs="Arial"/>
        </w:rPr>
        <w:t xml:space="preserve">). Studies have shown that previous negative </w:t>
      </w:r>
      <w:r w:rsidR="00E6342D" w:rsidRPr="00C82993">
        <w:rPr>
          <w:rFonts w:ascii="Arial" w:hAnsi="Arial" w:cs="Arial"/>
        </w:rPr>
        <w:t>experiences</w:t>
      </w:r>
      <w:r w:rsidR="7B518DAF" w:rsidRPr="00C82993">
        <w:rPr>
          <w:rFonts w:ascii="Arial" w:hAnsi="Arial" w:cs="Arial"/>
        </w:rPr>
        <w:t xml:space="preserve">, including perceived inaction or dismissive </w:t>
      </w:r>
      <w:r w:rsidR="4E3D5201" w:rsidRPr="00C82993">
        <w:rPr>
          <w:rFonts w:ascii="Arial" w:hAnsi="Arial" w:cs="Arial"/>
        </w:rPr>
        <w:t>attitudes from authorities</w:t>
      </w:r>
      <w:r w:rsidR="151F426E" w:rsidRPr="00C82993">
        <w:rPr>
          <w:rFonts w:ascii="Arial" w:hAnsi="Arial" w:cs="Arial"/>
        </w:rPr>
        <w:t>,</w:t>
      </w:r>
      <w:r w:rsidR="4E3D5201" w:rsidRPr="00C82993">
        <w:rPr>
          <w:rFonts w:ascii="Arial" w:hAnsi="Arial" w:cs="Arial"/>
        </w:rPr>
        <w:t xml:space="preserve"> can discourage victims from engaging with the system</w:t>
      </w:r>
      <w:r w:rsidR="3A134A45" w:rsidRPr="00C82993">
        <w:rPr>
          <w:rFonts w:ascii="Arial" w:hAnsi="Arial" w:cs="Arial"/>
        </w:rPr>
        <w:t xml:space="preserve"> (HMICFRS, 2021)</w:t>
      </w:r>
      <w:r w:rsidR="76BC5246" w:rsidRPr="00C82993">
        <w:rPr>
          <w:rFonts w:ascii="Arial" w:hAnsi="Arial" w:cs="Arial"/>
        </w:rPr>
        <w:t xml:space="preserve">. This lack of trust is particularly </w:t>
      </w:r>
      <w:r w:rsidR="00880828" w:rsidRPr="00C82993">
        <w:rPr>
          <w:rFonts w:ascii="Arial" w:hAnsi="Arial" w:cs="Arial"/>
        </w:rPr>
        <w:t>pronounced</w:t>
      </w:r>
      <w:r w:rsidR="76BC5246" w:rsidRPr="00C82993">
        <w:rPr>
          <w:rFonts w:ascii="Arial" w:hAnsi="Arial" w:cs="Arial"/>
        </w:rPr>
        <w:t xml:space="preserve"> among victims from minority et</w:t>
      </w:r>
      <w:r w:rsidR="78793CB5" w:rsidRPr="00C82993">
        <w:rPr>
          <w:rFonts w:ascii="Arial" w:hAnsi="Arial" w:cs="Arial"/>
        </w:rPr>
        <w:t xml:space="preserve">hnic </w:t>
      </w:r>
      <w:r w:rsidR="00E6342D" w:rsidRPr="00C82993">
        <w:rPr>
          <w:rFonts w:ascii="Arial" w:hAnsi="Arial" w:cs="Arial"/>
        </w:rPr>
        <w:t>backgrounds</w:t>
      </w:r>
      <w:r w:rsidR="78793CB5" w:rsidRPr="00C82993">
        <w:rPr>
          <w:rFonts w:ascii="Arial" w:hAnsi="Arial" w:cs="Arial"/>
        </w:rPr>
        <w:t xml:space="preserve">, who may also fear discrimination or unequal treatment within the justice process </w:t>
      </w:r>
      <w:r w:rsidR="0C2FBE83" w:rsidRPr="00C82993">
        <w:rPr>
          <w:rFonts w:ascii="Arial" w:hAnsi="Arial" w:cs="Arial"/>
        </w:rPr>
        <w:t>(Equality and Human Rights Commission, 2022).</w:t>
      </w:r>
    </w:p>
    <w:p w14:paraId="01D58032" w14:textId="77777777" w:rsidR="00E6342D" w:rsidRPr="00C82993" w:rsidRDefault="3B89B1CB" w:rsidP="00C82993">
      <w:pPr>
        <w:spacing w:line="480" w:lineRule="auto"/>
        <w:ind w:firstLine="720"/>
        <w:jc w:val="both"/>
        <w:rPr>
          <w:rFonts w:ascii="Arial" w:hAnsi="Arial" w:cs="Arial"/>
          <w:color w:val="FF0000"/>
          <w:lang w:val="en-GB"/>
        </w:rPr>
      </w:pPr>
      <w:r w:rsidRPr="00C82993">
        <w:rPr>
          <w:rFonts w:ascii="Arial" w:hAnsi="Arial" w:cs="Arial"/>
        </w:rPr>
        <w:t>Fear of criminalisation represents an additional and distinct difficulty,</w:t>
      </w:r>
      <w:r w:rsidR="7F0DCA32" w:rsidRPr="00C82993">
        <w:rPr>
          <w:rFonts w:ascii="Arial" w:hAnsi="Arial" w:cs="Arial"/>
        </w:rPr>
        <w:t xml:space="preserve"> especially </w:t>
      </w:r>
      <w:r w:rsidR="1687969C" w:rsidRPr="00C82993">
        <w:rPr>
          <w:rFonts w:ascii="Arial" w:hAnsi="Arial" w:cs="Arial"/>
        </w:rPr>
        <w:t>for migrants and individuals with insecure immigration status, who may be reluctant to report crimes due</w:t>
      </w:r>
      <w:r w:rsidR="37613ADB" w:rsidRPr="00C82993">
        <w:rPr>
          <w:rFonts w:ascii="Arial" w:hAnsi="Arial" w:cs="Arial"/>
        </w:rPr>
        <w:t xml:space="preserve"> to concern about data sharing between police and immigration enforcement </w:t>
      </w:r>
      <w:r w:rsidR="311A4D1B" w:rsidRPr="00C82993">
        <w:rPr>
          <w:rFonts w:ascii="Arial" w:hAnsi="Arial" w:cs="Arial"/>
        </w:rPr>
        <w:t>(Home Office, 2021)</w:t>
      </w:r>
      <w:r w:rsidR="0F8B0249" w:rsidRPr="00C82993">
        <w:rPr>
          <w:rFonts w:ascii="Arial" w:hAnsi="Arial" w:cs="Arial"/>
        </w:rPr>
        <w:t xml:space="preserve">. Evidence </w:t>
      </w:r>
      <w:r w:rsidR="00E6342D" w:rsidRPr="00C82993">
        <w:rPr>
          <w:rFonts w:ascii="Arial" w:hAnsi="Arial" w:cs="Arial"/>
        </w:rPr>
        <w:t>suggests</w:t>
      </w:r>
      <w:r w:rsidR="0F8B0249" w:rsidRPr="00C82993">
        <w:rPr>
          <w:rFonts w:ascii="Arial" w:hAnsi="Arial" w:cs="Arial"/>
        </w:rPr>
        <w:t xml:space="preserve"> that </w:t>
      </w:r>
      <w:r w:rsidR="00E6342D" w:rsidRPr="00C82993">
        <w:rPr>
          <w:rFonts w:ascii="Arial" w:hAnsi="Arial" w:cs="Arial"/>
        </w:rPr>
        <w:t xml:space="preserve">the </w:t>
      </w:r>
      <w:r w:rsidR="0F8B0249" w:rsidRPr="00C82993">
        <w:rPr>
          <w:rFonts w:ascii="Arial" w:hAnsi="Arial" w:cs="Arial"/>
        </w:rPr>
        <w:t>same victims of domestic abuse have avoided contacting the police altogether due to fear of detention or de</w:t>
      </w:r>
      <w:r w:rsidR="28C1DEBF" w:rsidRPr="00C82993">
        <w:rPr>
          <w:rFonts w:ascii="Arial" w:hAnsi="Arial" w:cs="Arial"/>
        </w:rPr>
        <w:t xml:space="preserve">portation, even when experiencing serious harm </w:t>
      </w:r>
      <w:r w:rsidR="7E1FCD83" w:rsidRPr="00C82993">
        <w:rPr>
          <w:rFonts w:ascii="Arial" w:hAnsi="Arial" w:cs="Arial"/>
        </w:rPr>
        <w:t>(Southall Black Sisters, 2023)</w:t>
      </w:r>
      <w:r w:rsidR="28C1DEBF" w:rsidRPr="00C82993">
        <w:rPr>
          <w:rFonts w:ascii="Arial" w:hAnsi="Arial" w:cs="Arial"/>
        </w:rPr>
        <w:t>. This creates a signi</w:t>
      </w:r>
      <w:r w:rsidR="6944125D" w:rsidRPr="00C82993">
        <w:rPr>
          <w:rFonts w:ascii="Arial" w:hAnsi="Arial" w:cs="Arial"/>
        </w:rPr>
        <w:t xml:space="preserve">ficant structural barrier to justice as victims are effectively excluded from protection </w:t>
      </w:r>
      <w:r w:rsidR="00E6342D" w:rsidRPr="00C82993">
        <w:rPr>
          <w:rFonts w:ascii="Arial" w:hAnsi="Arial" w:cs="Arial"/>
        </w:rPr>
        <w:t>mechanisms</w:t>
      </w:r>
      <w:r w:rsidR="6944125D" w:rsidRPr="00C82993">
        <w:rPr>
          <w:rFonts w:ascii="Arial" w:hAnsi="Arial" w:cs="Arial"/>
        </w:rPr>
        <w:t xml:space="preserve"> due to their legal or social status </w:t>
      </w:r>
      <w:r w:rsidR="354DF46C" w:rsidRPr="00C82993">
        <w:rPr>
          <w:rFonts w:ascii="Arial" w:hAnsi="Arial" w:cs="Arial"/>
        </w:rPr>
        <w:t>(Step Up Migrant Women, 2021)</w:t>
      </w:r>
    </w:p>
    <w:p w14:paraId="007273B0" w14:textId="41CCD0AC" w:rsidR="00E6342D" w:rsidRPr="00C82993" w:rsidRDefault="09D41F01" w:rsidP="00C82993">
      <w:pPr>
        <w:spacing w:line="480" w:lineRule="auto"/>
        <w:ind w:firstLine="720"/>
        <w:jc w:val="both"/>
        <w:rPr>
          <w:rFonts w:ascii="Arial" w:hAnsi="Arial" w:cs="Arial"/>
          <w:color w:val="FF0000"/>
          <w:lang w:val="en-GB"/>
        </w:rPr>
      </w:pPr>
      <w:r w:rsidRPr="00C82993">
        <w:rPr>
          <w:rFonts w:ascii="Arial" w:hAnsi="Arial" w:cs="Arial"/>
        </w:rPr>
        <w:lastRenderedPageBreak/>
        <w:t xml:space="preserve">The difficulties experienced by vulnerable </w:t>
      </w:r>
      <w:r w:rsidR="00E6342D" w:rsidRPr="00C82993">
        <w:rPr>
          <w:rFonts w:ascii="Arial" w:hAnsi="Arial" w:cs="Arial"/>
        </w:rPr>
        <w:t xml:space="preserve">victims can be better understood through Procedural Justice Theory, which </w:t>
      </w:r>
      <w:proofErr w:type="spellStart"/>
      <w:r w:rsidR="00E6342D" w:rsidRPr="00C82993">
        <w:rPr>
          <w:rFonts w:ascii="Arial" w:hAnsi="Arial" w:cs="Arial"/>
        </w:rPr>
        <w:t>emphasises</w:t>
      </w:r>
      <w:proofErr w:type="spellEnd"/>
      <w:r w:rsidR="00E6342D" w:rsidRPr="00C82993">
        <w:rPr>
          <w:rFonts w:ascii="Arial" w:hAnsi="Arial" w:cs="Arial"/>
        </w:rPr>
        <w:t xml:space="preserve"> that individuals are more likely to engage with the criminal justice system when they perceive the processes as fair, respectful and legitimate (Tyler</w:t>
      </w:r>
      <w:r w:rsidR="474EDC8E" w:rsidRPr="00C82993">
        <w:rPr>
          <w:rFonts w:ascii="Arial" w:hAnsi="Arial" w:cs="Arial"/>
        </w:rPr>
        <w:t>, 2023)</w:t>
      </w:r>
      <w:r w:rsidR="4781BFCB" w:rsidRPr="00C82993">
        <w:rPr>
          <w:rFonts w:ascii="Arial" w:hAnsi="Arial" w:cs="Arial"/>
        </w:rPr>
        <w:t xml:space="preserve">. Empirical research demonstrates that perceptions of </w:t>
      </w:r>
      <w:r w:rsidR="6B0B3DFB" w:rsidRPr="00C82993">
        <w:rPr>
          <w:rFonts w:ascii="Arial" w:hAnsi="Arial" w:cs="Arial"/>
        </w:rPr>
        <w:t>procedural fairness, such as being listened to</w:t>
      </w:r>
      <w:r w:rsidR="00E6342D" w:rsidRPr="00C82993">
        <w:rPr>
          <w:rFonts w:ascii="Arial" w:hAnsi="Arial" w:cs="Arial"/>
        </w:rPr>
        <w:t>, treated with dignity, and taken seriously, are strongly linked to victims'</w:t>
      </w:r>
      <w:r w:rsidR="3F0A440A" w:rsidRPr="00C82993">
        <w:rPr>
          <w:rFonts w:ascii="Arial" w:hAnsi="Arial" w:cs="Arial"/>
        </w:rPr>
        <w:t xml:space="preserve"> </w:t>
      </w:r>
      <w:r w:rsidR="00861C13" w:rsidRPr="00C82993">
        <w:rPr>
          <w:rFonts w:ascii="Arial" w:hAnsi="Arial" w:cs="Arial"/>
        </w:rPr>
        <w:t>willingness</w:t>
      </w:r>
      <w:r w:rsidR="3F0A440A" w:rsidRPr="00C82993">
        <w:rPr>
          <w:rFonts w:ascii="Arial" w:hAnsi="Arial" w:cs="Arial"/>
        </w:rPr>
        <w:t xml:space="preserve"> to report crime and cooperate with authorities (College of Police, 202</w:t>
      </w:r>
      <w:r w:rsidR="43A8CFF3" w:rsidRPr="00C82993">
        <w:rPr>
          <w:rFonts w:ascii="Arial" w:hAnsi="Arial" w:cs="Arial"/>
        </w:rPr>
        <w:t>4</w:t>
      </w:r>
      <w:r w:rsidR="3F0A440A" w:rsidRPr="00C82993">
        <w:rPr>
          <w:rFonts w:ascii="Arial" w:hAnsi="Arial" w:cs="Arial"/>
        </w:rPr>
        <w:t xml:space="preserve">). However, </w:t>
      </w:r>
      <w:r w:rsidR="7F26012F" w:rsidRPr="00C82993">
        <w:rPr>
          <w:rFonts w:ascii="Arial" w:hAnsi="Arial" w:cs="Arial"/>
        </w:rPr>
        <w:t>where vulnerable victims anticipate or experience dismissive or biased tre</w:t>
      </w:r>
      <w:r w:rsidR="72C35CF5" w:rsidRPr="00C82993">
        <w:rPr>
          <w:rFonts w:ascii="Arial" w:hAnsi="Arial" w:cs="Arial"/>
        </w:rPr>
        <w:t xml:space="preserve">atment, trust in institutions is undermined, reinforcing patterns of underreporting and disengagement </w:t>
      </w:r>
      <w:r w:rsidR="3185E6B8" w:rsidRPr="00C82993">
        <w:rPr>
          <w:rFonts w:ascii="Arial" w:hAnsi="Arial" w:cs="Arial"/>
        </w:rPr>
        <w:t>(HMICFRS, 2021)</w:t>
      </w:r>
      <w:r w:rsidR="00E6342D" w:rsidRPr="00C82993">
        <w:rPr>
          <w:rFonts w:ascii="Arial" w:hAnsi="Arial" w:cs="Arial"/>
        </w:rPr>
        <w:t>.</w:t>
      </w:r>
    </w:p>
    <w:p w14:paraId="411B308A" w14:textId="77777777" w:rsidR="00E6342D" w:rsidRPr="00C82993" w:rsidRDefault="337AFA58" w:rsidP="00C82993">
      <w:pPr>
        <w:spacing w:line="480" w:lineRule="auto"/>
        <w:ind w:firstLine="720"/>
        <w:jc w:val="both"/>
        <w:rPr>
          <w:rFonts w:ascii="Arial" w:hAnsi="Arial" w:cs="Arial"/>
        </w:rPr>
      </w:pPr>
      <w:r w:rsidRPr="00C82993">
        <w:rPr>
          <w:rFonts w:ascii="Arial" w:hAnsi="Arial" w:cs="Arial"/>
        </w:rPr>
        <w:t>Feminist critiques offer an additional perspective to assess these matters, contending that governmental reactions to violence, especially in cases of domestic and sexual abuse</w:t>
      </w:r>
      <w:r w:rsidR="59B93424" w:rsidRPr="00C82993">
        <w:rPr>
          <w:rFonts w:ascii="Arial" w:hAnsi="Arial" w:cs="Arial"/>
        </w:rPr>
        <w:t>,</w:t>
      </w:r>
      <w:r w:rsidRPr="00C82993">
        <w:rPr>
          <w:rFonts w:ascii="Arial" w:hAnsi="Arial" w:cs="Arial"/>
        </w:rPr>
        <w:t xml:space="preserve"> have traditionally downplayed the experiences of victims and perpetuated gender-based power imbalances</w:t>
      </w:r>
      <w:r w:rsidR="41DB1969" w:rsidRPr="00C82993">
        <w:rPr>
          <w:rFonts w:ascii="Arial" w:hAnsi="Arial" w:cs="Arial"/>
        </w:rPr>
        <w:t xml:space="preserve"> (Walklate, 2018)</w:t>
      </w:r>
      <w:r w:rsidRPr="00C82993">
        <w:rPr>
          <w:rFonts w:ascii="Arial" w:hAnsi="Arial" w:cs="Arial"/>
        </w:rPr>
        <w:t>.</w:t>
      </w:r>
    </w:p>
    <w:p w14:paraId="29D9CE91" w14:textId="77777777" w:rsidR="00E6342D" w:rsidRPr="00C82993" w:rsidRDefault="337AFA58" w:rsidP="00C82993">
      <w:pPr>
        <w:spacing w:line="480" w:lineRule="auto"/>
        <w:ind w:firstLine="720"/>
        <w:jc w:val="both"/>
        <w:rPr>
          <w:rFonts w:ascii="Arial" w:hAnsi="Arial" w:cs="Arial"/>
          <w:color w:val="FF0000"/>
          <w:lang w:val="en-GB"/>
        </w:rPr>
      </w:pPr>
      <w:r w:rsidRPr="00C82993">
        <w:rPr>
          <w:rFonts w:ascii="Arial" w:hAnsi="Arial" w:cs="Arial"/>
        </w:rPr>
        <w:t xml:space="preserve">Modern feminist research </w:t>
      </w:r>
      <w:proofErr w:type="spellStart"/>
      <w:r w:rsidRPr="00C82993">
        <w:rPr>
          <w:rFonts w:ascii="Arial" w:hAnsi="Arial" w:cs="Arial"/>
        </w:rPr>
        <w:t>emphasises</w:t>
      </w:r>
      <w:proofErr w:type="spellEnd"/>
      <w:r w:rsidR="2486C945" w:rsidRPr="00C82993">
        <w:rPr>
          <w:rFonts w:ascii="Arial" w:hAnsi="Arial" w:cs="Arial"/>
        </w:rPr>
        <w:t xml:space="preserve"> t</w:t>
      </w:r>
      <w:r w:rsidRPr="00C82993">
        <w:rPr>
          <w:rFonts w:ascii="Arial" w:hAnsi="Arial" w:cs="Arial"/>
        </w:rPr>
        <w:t>hat criminal justice systems frequently place greater importance on evidentiary standards and procedural protocols than on the actual experiences of victims. This tendency can result in a decrease in the number of reported cases of sexual violence (End Violence Against Women Coalition, 2021). This analysis indicates that despite efforts to enhance victim involvement, inherent biases within the system persist in determining which victims are acknowledged, supported, and able to obtain justice (Crown Prosecution Service, 2023).</w:t>
      </w:r>
    </w:p>
    <w:p w14:paraId="169DEC73" w14:textId="77777777" w:rsidR="00E6342D" w:rsidRPr="00C82993" w:rsidRDefault="56923E91" w:rsidP="00C82993">
      <w:pPr>
        <w:spacing w:line="480" w:lineRule="auto"/>
        <w:ind w:firstLine="720"/>
        <w:jc w:val="both"/>
        <w:rPr>
          <w:rFonts w:ascii="Arial" w:hAnsi="Arial" w:cs="Arial"/>
        </w:rPr>
      </w:pPr>
      <w:r w:rsidRPr="00C82993">
        <w:rPr>
          <w:rFonts w:ascii="Arial" w:hAnsi="Arial" w:cs="Arial"/>
        </w:rPr>
        <w:t xml:space="preserve">From a critical standpoint, these frameworks demonstrate that </w:t>
      </w:r>
      <w:r w:rsidR="00E6342D" w:rsidRPr="00C82993">
        <w:rPr>
          <w:rFonts w:ascii="Arial" w:hAnsi="Arial" w:cs="Arial"/>
        </w:rPr>
        <w:t>initial access to justice is inherently unequal, as the likelihood of victims engaging is influenced by their past experiences, social status, and perceptions</w:t>
      </w:r>
      <w:r w:rsidRPr="00C82993">
        <w:rPr>
          <w:rFonts w:ascii="Arial" w:hAnsi="Arial" w:cs="Arial"/>
        </w:rPr>
        <w:t xml:space="preserve"> of the legitimacy of institutions </w:t>
      </w:r>
      <w:r w:rsidR="5F80074A" w:rsidRPr="00C82993">
        <w:rPr>
          <w:rFonts w:ascii="Arial" w:hAnsi="Arial" w:cs="Arial"/>
        </w:rPr>
        <w:t xml:space="preserve">(HM </w:t>
      </w:r>
      <w:r w:rsidR="5F80074A" w:rsidRPr="00C82993">
        <w:rPr>
          <w:rFonts w:ascii="Arial" w:hAnsi="Arial" w:cs="Arial"/>
        </w:rPr>
        <w:lastRenderedPageBreak/>
        <w:t>Government, 2018</w:t>
      </w:r>
      <w:r w:rsidRPr="00C82993">
        <w:rPr>
          <w:rFonts w:ascii="Arial" w:hAnsi="Arial" w:cs="Arial"/>
        </w:rPr>
        <w:t>). This disparity is further strengthened by the ongoing presence of the "ideal victim" concept, first introduced by Nils Christie in 1986. According to this idea, individuals who align with societal standards of innocence and fragility are more likely to</w:t>
      </w:r>
      <w:r w:rsidR="00E6342D" w:rsidRPr="00C82993">
        <w:rPr>
          <w:rFonts w:ascii="Arial" w:hAnsi="Arial" w:cs="Arial"/>
        </w:rPr>
        <w:t xml:space="preserve"> </w:t>
      </w:r>
      <w:r w:rsidRPr="00C82993">
        <w:rPr>
          <w:rFonts w:ascii="Arial" w:hAnsi="Arial" w:cs="Arial"/>
        </w:rPr>
        <w:t>gain</w:t>
      </w:r>
      <w:r w:rsidR="00E6342D" w:rsidRPr="00C82993">
        <w:rPr>
          <w:rFonts w:ascii="Arial" w:hAnsi="Arial" w:cs="Arial"/>
        </w:rPr>
        <w:t xml:space="preserve"> acknowledgement</w:t>
      </w:r>
      <w:r w:rsidRPr="00C82993">
        <w:rPr>
          <w:rFonts w:ascii="Arial" w:hAnsi="Arial" w:cs="Arial"/>
        </w:rPr>
        <w:t xml:space="preserve"> and assistance.</w:t>
      </w:r>
      <w:r w:rsidR="00E6342D" w:rsidRPr="00C82993">
        <w:rPr>
          <w:rFonts w:ascii="Arial" w:hAnsi="Arial" w:cs="Arial"/>
        </w:rPr>
        <w:t xml:space="preserve"> </w:t>
      </w:r>
    </w:p>
    <w:p w14:paraId="64138A69" w14:textId="2B059809" w:rsidR="00E6342D" w:rsidRPr="00C82993" w:rsidRDefault="56923E91" w:rsidP="00C82993">
      <w:pPr>
        <w:spacing w:line="480" w:lineRule="auto"/>
        <w:ind w:firstLine="720"/>
        <w:jc w:val="both"/>
        <w:rPr>
          <w:rFonts w:ascii="Arial" w:hAnsi="Arial" w:cs="Arial"/>
        </w:rPr>
      </w:pPr>
      <w:r w:rsidRPr="00C82993">
        <w:rPr>
          <w:rFonts w:ascii="Arial" w:hAnsi="Arial" w:cs="Arial"/>
        </w:rPr>
        <w:t xml:space="preserve">Recent studies suggest that individuals who do not conform to this stereotype, such as those with uncertain immigration status, a history of criminal behaviour, or </w:t>
      </w:r>
      <w:r w:rsidR="00E6342D" w:rsidRPr="00C82993">
        <w:rPr>
          <w:rFonts w:ascii="Arial" w:hAnsi="Arial" w:cs="Arial"/>
        </w:rPr>
        <w:t>complex personal situations, encounter greater obstacles to being taken</w:t>
      </w:r>
      <w:r w:rsidRPr="00C82993">
        <w:rPr>
          <w:rFonts w:ascii="Arial" w:hAnsi="Arial" w:cs="Arial"/>
        </w:rPr>
        <w:t xml:space="preserve"> seriously by the criminal justice system </w:t>
      </w:r>
      <w:r w:rsidR="491C0FEF" w:rsidRPr="00C82993">
        <w:rPr>
          <w:rFonts w:ascii="Arial" w:hAnsi="Arial" w:cs="Arial"/>
        </w:rPr>
        <w:t>(Centre for Women's Justice, 2014)</w:t>
      </w:r>
      <w:r w:rsidRPr="00C82993">
        <w:rPr>
          <w:rFonts w:ascii="Arial" w:hAnsi="Arial" w:cs="Arial"/>
        </w:rPr>
        <w:t xml:space="preserve">. As a result, the system functions not as an impartial justice mechanism but as a selective framework that favours specific types of victimhood while sidelining others, </w:t>
      </w:r>
      <w:r w:rsidR="00E6342D" w:rsidRPr="00C82993">
        <w:rPr>
          <w:rFonts w:ascii="Arial" w:hAnsi="Arial" w:cs="Arial"/>
        </w:rPr>
        <w:t>thereby</w:t>
      </w:r>
      <w:r w:rsidRPr="00C82993">
        <w:rPr>
          <w:rFonts w:ascii="Arial" w:hAnsi="Arial" w:cs="Arial"/>
        </w:rPr>
        <w:t xml:space="preserve"> perpetuating existing social inequities.</w:t>
      </w:r>
    </w:p>
    <w:p w14:paraId="2B984850" w14:textId="77777777" w:rsidR="00E6342D" w:rsidRPr="00C82993" w:rsidRDefault="3F12DE16" w:rsidP="00C82993">
      <w:pPr>
        <w:spacing w:line="480" w:lineRule="auto"/>
        <w:ind w:firstLine="720"/>
        <w:jc w:val="both"/>
        <w:rPr>
          <w:rFonts w:ascii="Arial" w:hAnsi="Arial" w:cs="Arial"/>
          <w:color w:val="FF0000"/>
          <w:lang w:val="en-GB"/>
        </w:rPr>
      </w:pPr>
      <w:r w:rsidRPr="00C82993">
        <w:rPr>
          <w:rFonts w:ascii="Arial" w:hAnsi="Arial" w:cs="Arial"/>
        </w:rPr>
        <w:t xml:space="preserve">Discretion in </w:t>
      </w:r>
      <w:r w:rsidR="69E1DFC5" w:rsidRPr="00C82993">
        <w:rPr>
          <w:rFonts w:ascii="Arial" w:hAnsi="Arial" w:cs="Arial"/>
        </w:rPr>
        <w:t>policing</w:t>
      </w:r>
      <w:r w:rsidRPr="00C82993">
        <w:rPr>
          <w:rFonts w:ascii="Arial" w:hAnsi="Arial" w:cs="Arial"/>
        </w:rPr>
        <w:t xml:space="preserve"> plays a central role in shaping how vulnerable victims are identified and treated, yet research shows that</w:t>
      </w:r>
      <w:r w:rsidR="73620FF1" w:rsidRPr="00C82993">
        <w:rPr>
          <w:rFonts w:ascii="Arial" w:hAnsi="Arial" w:cs="Arial"/>
        </w:rPr>
        <w:t xml:space="preserve"> fro</w:t>
      </w:r>
      <w:r w:rsidR="006649CF" w:rsidRPr="00C82993">
        <w:rPr>
          <w:rFonts w:ascii="Arial" w:hAnsi="Arial" w:cs="Arial"/>
        </w:rPr>
        <w:t xml:space="preserve">ntline </w:t>
      </w:r>
      <w:r w:rsidR="00E6342D" w:rsidRPr="00C82993">
        <w:rPr>
          <w:rFonts w:ascii="Arial" w:hAnsi="Arial" w:cs="Arial"/>
        </w:rPr>
        <w:t xml:space="preserve">decision-making is often influenced by individual judgment rather than consistent application of a </w:t>
      </w:r>
      <w:r w:rsidR="59D0334C" w:rsidRPr="00C82993">
        <w:rPr>
          <w:rFonts w:ascii="Arial" w:hAnsi="Arial" w:cs="Arial"/>
        </w:rPr>
        <w:t xml:space="preserve">policy framework </w:t>
      </w:r>
      <w:r w:rsidR="2F419B7A" w:rsidRPr="00C82993">
        <w:rPr>
          <w:rFonts w:ascii="Arial" w:hAnsi="Arial" w:cs="Arial"/>
        </w:rPr>
        <w:t>(Myhill, 2018). This</w:t>
      </w:r>
      <w:r w:rsidR="03ABA958" w:rsidRPr="00C82993">
        <w:rPr>
          <w:rFonts w:ascii="Arial" w:hAnsi="Arial" w:cs="Arial"/>
        </w:rPr>
        <w:t xml:space="preserve"> reliance on discretion can lead to uneven</w:t>
      </w:r>
      <w:r w:rsidR="2F419B7A" w:rsidRPr="00C82993">
        <w:rPr>
          <w:rFonts w:ascii="Arial" w:hAnsi="Arial" w:cs="Arial"/>
        </w:rPr>
        <w:t xml:space="preserve"> </w:t>
      </w:r>
      <w:r w:rsidR="5AAB62FF" w:rsidRPr="00C82993">
        <w:rPr>
          <w:rFonts w:ascii="Arial" w:hAnsi="Arial" w:cs="Arial"/>
        </w:rPr>
        <w:t>outcomes, as officers may prioritise certain case</w:t>
      </w:r>
      <w:r w:rsidR="5DDFE8D3" w:rsidRPr="00C82993">
        <w:rPr>
          <w:rFonts w:ascii="Arial" w:hAnsi="Arial" w:cs="Arial"/>
        </w:rPr>
        <w:t xml:space="preserve">s or interpret vulnerability differently </w:t>
      </w:r>
      <w:r w:rsidR="00E6342D" w:rsidRPr="00C82993">
        <w:rPr>
          <w:rFonts w:ascii="Arial" w:hAnsi="Arial" w:cs="Arial"/>
        </w:rPr>
        <w:t>under varying situational pressures and experiences</w:t>
      </w:r>
      <w:r w:rsidR="192CC476" w:rsidRPr="00C82993">
        <w:rPr>
          <w:rFonts w:ascii="Arial" w:hAnsi="Arial" w:cs="Arial"/>
        </w:rPr>
        <w:t xml:space="preserve"> (Keay, 2023).</w:t>
      </w:r>
      <w:r w:rsidR="523FD4CD" w:rsidRPr="00C82993">
        <w:rPr>
          <w:rFonts w:ascii="Arial" w:hAnsi="Arial" w:cs="Arial"/>
        </w:rPr>
        <w:t xml:space="preserve"> Risk assessment </w:t>
      </w:r>
      <w:r w:rsidR="00E6342D" w:rsidRPr="00C82993">
        <w:rPr>
          <w:rFonts w:ascii="Arial" w:hAnsi="Arial" w:cs="Arial"/>
        </w:rPr>
        <w:t>tools</w:t>
      </w:r>
      <w:r w:rsidR="523FD4CD" w:rsidRPr="00C82993">
        <w:rPr>
          <w:rFonts w:ascii="Arial" w:hAnsi="Arial" w:cs="Arial"/>
        </w:rPr>
        <w:t xml:space="preserve"> promoted by institutions</w:t>
      </w:r>
      <w:r w:rsidR="7CC653A1" w:rsidRPr="00C82993">
        <w:rPr>
          <w:rFonts w:ascii="Arial" w:hAnsi="Arial" w:cs="Arial"/>
        </w:rPr>
        <w:t xml:space="preserve"> such as the </w:t>
      </w:r>
      <w:r w:rsidR="00E6342D" w:rsidRPr="00C82993">
        <w:rPr>
          <w:rFonts w:ascii="Arial" w:hAnsi="Arial" w:cs="Arial"/>
        </w:rPr>
        <w:t>College of Policing</w:t>
      </w:r>
      <w:r w:rsidR="7CC653A1" w:rsidRPr="00C82993">
        <w:rPr>
          <w:rFonts w:ascii="Arial" w:hAnsi="Arial" w:cs="Arial"/>
        </w:rPr>
        <w:t xml:space="preserve"> are intended to standardise </w:t>
      </w:r>
      <w:r w:rsidR="00880828" w:rsidRPr="00C82993">
        <w:rPr>
          <w:rFonts w:ascii="Arial" w:hAnsi="Arial" w:cs="Arial"/>
        </w:rPr>
        <w:t>responses</w:t>
      </w:r>
      <w:r w:rsidR="0F076D3A" w:rsidRPr="00C82993">
        <w:rPr>
          <w:rFonts w:ascii="Arial" w:hAnsi="Arial" w:cs="Arial"/>
        </w:rPr>
        <w:t xml:space="preserve"> to vulnerability and improve safeguarding outcomes</w:t>
      </w:r>
      <w:r w:rsidR="66780AB8" w:rsidRPr="00C82993">
        <w:rPr>
          <w:rFonts w:ascii="Arial" w:hAnsi="Arial" w:cs="Arial"/>
        </w:rPr>
        <w:t xml:space="preserve"> (College of Policing, 2022)</w:t>
      </w:r>
      <w:r w:rsidR="4B05F5CB" w:rsidRPr="00C82993">
        <w:rPr>
          <w:rFonts w:ascii="Arial" w:hAnsi="Arial" w:cs="Arial"/>
        </w:rPr>
        <w:t xml:space="preserve">. Nevertheless, reviews of </w:t>
      </w:r>
      <w:r w:rsidR="00E6342D" w:rsidRPr="00C82993">
        <w:rPr>
          <w:rFonts w:ascii="Arial" w:hAnsi="Arial" w:cs="Arial"/>
        </w:rPr>
        <w:t>the evidence suggest that many tools lack strong empirical validation and are utilised inconsistently across</w:t>
      </w:r>
      <w:r w:rsidR="4B05F5CB" w:rsidRPr="00C82993">
        <w:rPr>
          <w:rFonts w:ascii="Arial" w:hAnsi="Arial" w:cs="Arial"/>
        </w:rPr>
        <w:t xml:space="preserve"> various forces, which diminishes their reliability in practical applications (College of Policing, 2022). Additionally, research on frontline policing has demonstrated that risk assessment tools may be </w:t>
      </w:r>
      <w:r w:rsidR="00E6342D" w:rsidRPr="00C82993">
        <w:rPr>
          <w:rFonts w:ascii="Arial" w:hAnsi="Arial" w:cs="Arial"/>
        </w:rPr>
        <w:t xml:space="preserve">used to address organisational demand </w:t>
      </w:r>
      <w:r w:rsidR="00E6342D" w:rsidRPr="00C82993">
        <w:rPr>
          <w:rFonts w:ascii="Arial" w:hAnsi="Arial" w:cs="Arial"/>
        </w:rPr>
        <w:lastRenderedPageBreak/>
        <w:t>rather than customising responses to victims' needs, thereby limiting</w:t>
      </w:r>
      <w:r w:rsidR="4B05F5CB" w:rsidRPr="00C82993">
        <w:rPr>
          <w:rFonts w:ascii="Arial" w:hAnsi="Arial" w:cs="Arial"/>
        </w:rPr>
        <w:t xml:space="preserve"> their efficacy as protective measures</w:t>
      </w:r>
      <w:r w:rsidR="57189328" w:rsidRPr="00C82993">
        <w:rPr>
          <w:rFonts w:ascii="Arial" w:hAnsi="Arial" w:cs="Arial"/>
        </w:rPr>
        <w:t xml:space="preserve"> (Critchfield, Kennedy and Myhill, 2021)</w:t>
      </w:r>
      <w:r w:rsidR="78418689" w:rsidRPr="00C82993">
        <w:rPr>
          <w:rFonts w:ascii="Arial" w:hAnsi="Arial" w:cs="Arial"/>
        </w:rPr>
        <w:t>.</w:t>
      </w:r>
    </w:p>
    <w:p w14:paraId="1B14F7F2" w14:textId="77777777" w:rsidR="00E6342D" w:rsidRPr="00C82993" w:rsidRDefault="78418689" w:rsidP="00C82993">
      <w:pPr>
        <w:spacing w:line="480" w:lineRule="auto"/>
        <w:ind w:firstLine="720"/>
        <w:jc w:val="both"/>
        <w:rPr>
          <w:rFonts w:ascii="Arial" w:hAnsi="Arial" w:cs="Arial"/>
          <w:color w:val="FF0000"/>
          <w:lang w:val="en-GB"/>
        </w:rPr>
      </w:pPr>
      <w:r w:rsidRPr="00C82993">
        <w:rPr>
          <w:rFonts w:ascii="Arial" w:hAnsi="Arial" w:cs="Arial"/>
        </w:rPr>
        <w:t xml:space="preserve">Attrition rates provide further evidence of systemic difficulty, particularly in cases involving vulnerable victims such as sexual offences, where a significant proportion of cases drop out before reaching prosecution (Crown Prosecution Service, 2022). Academic research highlights that attrition is often linked to evidential challenges, victim withdrawal, and lack of confidence in the justice process, all of which disproportionately affect vulnerable groups (Walklate, </w:t>
      </w:r>
      <w:proofErr w:type="gramStart"/>
      <w:r w:rsidRPr="00C82993">
        <w:rPr>
          <w:rFonts w:ascii="Arial" w:hAnsi="Arial" w:cs="Arial"/>
        </w:rPr>
        <w:t>201</w:t>
      </w:r>
      <w:r w:rsidR="00E6342D" w:rsidRPr="00C82993">
        <w:rPr>
          <w:rFonts w:ascii="Arial" w:hAnsi="Arial" w:cs="Arial"/>
        </w:rPr>
        <w:t>7</w:t>
      </w:r>
      <w:r w:rsidR="00550F2C" w:rsidRPr="00C82993">
        <w:rPr>
          <w:rFonts w:ascii="Arial" w:hAnsi="Arial" w:cs="Arial"/>
          <w:color w:val="FF0000"/>
        </w:rPr>
        <w:t xml:space="preserve"> </w:t>
      </w:r>
      <w:r w:rsidRPr="00C82993">
        <w:rPr>
          <w:rFonts w:ascii="Arial" w:hAnsi="Arial" w:cs="Arial"/>
        </w:rPr>
        <w:t>)</w:t>
      </w:r>
      <w:proofErr w:type="gramEnd"/>
      <w:r w:rsidRPr="00C82993">
        <w:rPr>
          <w:rFonts w:ascii="Arial" w:hAnsi="Arial" w:cs="Arial"/>
        </w:rPr>
        <w:t>. This suggests that despite policy commitments to supporting vulnerable victims, the system continues to struggle to translate these principles into consistent outcomes.</w:t>
      </w:r>
      <w:r w:rsidR="00550F2C" w:rsidRPr="00C82993">
        <w:rPr>
          <w:rFonts w:ascii="Arial" w:hAnsi="Arial" w:cs="Arial"/>
        </w:rPr>
        <w:t xml:space="preserve">  </w:t>
      </w:r>
    </w:p>
    <w:p w14:paraId="27F4CEBA" w14:textId="4E4847BE" w:rsidR="00E6342D" w:rsidRPr="00C82993" w:rsidRDefault="0888DBFD" w:rsidP="00C82993">
      <w:pPr>
        <w:spacing w:line="480" w:lineRule="auto"/>
        <w:ind w:firstLine="720"/>
        <w:jc w:val="both"/>
        <w:rPr>
          <w:rFonts w:ascii="Arial" w:hAnsi="Arial" w:cs="Arial"/>
          <w:color w:val="FF0000"/>
          <w:lang w:val="en-GB"/>
        </w:rPr>
      </w:pPr>
      <w:r w:rsidRPr="00C82993">
        <w:rPr>
          <w:rFonts w:ascii="Arial" w:hAnsi="Arial" w:cs="Arial"/>
        </w:rPr>
        <w:t xml:space="preserve">A key difficulty for vulnerable victims lies in the structure of the adversarial criminal justice system itself, which may be inherently incompatible with vulnerability. The </w:t>
      </w:r>
      <w:r w:rsidR="003D0A47" w:rsidRPr="00C82993">
        <w:rPr>
          <w:rFonts w:ascii="Arial" w:hAnsi="Arial" w:cs="Arial"/>
        </w:rPr>
        <w:t>A</w:t>
      </w:r>
      <w:r w:rsidRPr="00C82993">
        <w:rPr>
          <w:rFonts w:ascii="Arial" w:hAnsi="Arial" w:cs="Arial"/>
        </w:rPr>
        <w:t xml:space="preserve">dversarial </w:t>
      </w:r>
      <w:r w:rsidR="003D0A47" w:rsidRPr="00C82993">
        <w:rPr>
          <w:rFonts w:ascii="Arial" w:hAnsi="Arial" w:cs="Arial"/>
        </w:rPr>
        <w:t>M</w:t>
      </w:r>
      <w:r w:rsidRPr="00C82993">
        <w:rPr>
          <w:rFonts w:ascii="Arial" w:hAnsi="Arial" w:cs="Arial"/>
        </w:rPr>
        <w:t>odel</w:t>
      </w:r>
      <w:r w:rsidR="00880828" w:rsidRPr="00C82993">
        <w:rPr>
          <w:rFonts w:ascii="Arial" w:hAnsi="Arial" w:cs="Arial"/>
        </w:rPr>
        <w:t xml:space="preserve"> </w:t>
      </w:r>
      <w:r w:rsidR="00E6342D" w:rsidRPr="00C82993">
        <w:rPr>
          <w:rFonts w:ascii="Arial" w:hAnsi="Arial" w:cs="Arial"/>
        </w:rPr>
        <w:t>priorities</w:t>
      </w:r>
      <w:r w:rsidRPr="00C82993">
        <w:rPr>
          <w:rFonts w:ascii="Arial" w:hAnsi="Arial" w:cs="Arial"/>
        </w:rPr>
        <w:t xml:space="preserve"> the testing of evidence through confrontation and cross-examination, yet research shows that this process can intensify trauma rather than facilitate justice, particularly in cases of sexual violence</w:t>
      </w:r>
      <w:r w:rsidR="2F7F6BFE" w:rsidRPr="00C82993">
        <w:rPr>
          <w:rFonts w:ascii="Arial" w:hAnsi="Arial" w:cs="Arial"/>
        </w:rPr>
        <w:t xml:space="preserve"> (Ellison and Munro, 2013).</w:t>
      </w:r>
    </w:p>
    <w:p w14:paraId="1EA207A3" w14:textId="77777777" w:rsidR="00E6342D" w:rsidRPr="00C82993" w:rsidRDefault="00E6342D" w:rsidP="00C82993">
      <w:pPr>
        <w:spacing w:line="480" w:lineRule="auto"/>
        <w:ind w:firstLine="720"/>
        <w:jc w:val="both"/>
        <w:rPr>
          <w:rFonts w:ascii="Arial" w:hAnsi="Arial" w:cs="Arial"/>
          <w:color w:val="FF0000"/>
          <w:lang w:val="en-GB"/>
        </w:rPr>
      </w:pPr>
      <w:r w:rsidRPr="00C82993">
        <w:rPr>
          <w:rFonts w:ascii="Arial" w:hAnsi="Arial" w:cs="Arial"/>
        </w:rPr>
        <w:t xml:space="preserve">Cross </w:t>
      </w:r>
      <w:proofErr w:type="gramStart"/>
      <w:r w:rsidRPr="00C82993">
        <w:rPr>
          <w:rFonts w:ascii="Arial" w:hAnsi="Arial" w:cs="Arial"/>
        </w:rPr>
        <w:t>examination</w:t>
      </w:r>
      <w:r w:rsidR="0888DBFD" w:rsidRPr="00C82993">
        <w:rPr>
          <w:rFonts w:ascii="Arial" w:hAnsi="Arial" w:cs="Arial"/>
        </w:rPr>
        <w:t xml:space="preserve"> is</w:t>
      </w:r>
      <w:proofErr w:type="gramEnd"/>
      <w:r w:rsidR="0888DBFD" w:rsidRPr="00C82993">
        <w:rPr>
          <w:rFonts w:ascii="Arial" w:hAnsi="Arial" w:cs="Arial"/>
        </w:rPr>
        <w:t xml:space="preserve"> especially problematic. Empirical courtroom studies demonstrate that vulnerable complainants are often subjected to complex, repetitive, and leading questioning, which can undermine confidence and distort evidence (Williams, 2020). Large-scale analysis of trial transcripts further indicates that questioning </w:t>
      </w:r>
      <w:r w:rsidRPr="00C82993">
        <w:rPr>
          <w:rFonts w:ascii="Arial" w:hAnsi="Arial" w:cs="Arial"/>
        </w:rPr>
        <w:t>remains linguistically complex and insufficiently adapted to vulnerable witnesses, despite existing guidance (Jackson</w:t>
      </w:r>
      <w:r w:rsidR="090D4F70" w:rsidRPr="00C82993">
        <w:rPr>
          <w:rFonts w:ascii="Arial" w:hAnsi="Arial" w:cs="Arial"/>
        </w:rPr>
        <w:t>, 2024)</w:t>
      </w:r>
      <w:r w:rsidR="0888DBFD" w:rsidRPr="00C82993">
        <w:rPr>
          <w:rFonts w:ascii="Arial" w:hAnsi="Arial" w:cs="Arial"/>
        </w:rPr>
        <w:t>. This suggests that adversarial practices continue to prioritise evidential challenge over witness welfare.</w:t>
      </w:r>
    </w:p>
    <w:p w14:paraId="2C952BED" w14:textId="77777777" w:rsidR="00E6342D" w:rsidRPr="00C82993" w:rsidRDefault="0888DBFD" w:rsidP="00C82993">
      <w:pPr>
        <w:spacing w:line="480" w:lineRule="auto"/>
        <w:ind w:firstLine="720"/>
        <w:jc w:val="both"/>
        <w:rPr>
          <w:rFonts w:ascii="Arial" w:hAnsi="Arial" w:cs="Arial"/>
          <w:color w:val="FF0000"/>
          <w:lang w:val="en-GB"/>
        </w:rPr>
      </w:pPr>
      <w:r w:rsidRPr="00C82993">
        <w:rPr>
          <w:rFonts w:ascii="Arial" w:hAnsi="Arial" w:cs="Arial"/>
        </w:rPr>
        <w:lastRenderedPageBreak/>
        <w:t xml:space="preserve">Delays within the criminal justice system compound these harms. Prolonged waiting times have been linked to increased psychological distress and higher rates of victim withdrawal, particularly in sexual offence cases </w:t>
      </w:r>
      <w:r w:rsidR="7AAACE8A" w:rsidRPr="00C82993">
        <w:rPr>
          <w:rFonts w:ascii="Arial" w:hAnsi="Arial" w:cs="Arial"/>
        </w:rPr>
        <w:t>(Ministry of Justice, 2025)</w:t>
      </w:r>
      <w:r w:rsidRPr="00C82993">
        <w:rPr>
          <w:rFonts w:ascii="Arial" w:hAnsi="Arial" w:cs="Arial"/>
        </w:rPr>
        <w:t>. The emotional burden of extended proceedings can discourage continued engagement, effectively preventing access to justice.</w:t>
      </w:r>
    </w:p>
    <w:p w14:paraId="57FCED11" w14:textId="77777777" w:rsidR="00E6342D" w:rsidRPr="00C82993" w:rsidRDefault="0888DBFD" w:rsidP="00C82993">
      <w:pPr>
        <w:spacing w:line="480" w:lineRule="auto"/>
        <w:ind w:firstLine="720"/>
        <w:jc w:val="both"/>
        <w:rPr>
          <w:rFonts w:ascii="Arial" w:hAnsi="Arial" w:cs="Arial"/>
          <w:color w:val="FF0000"/>
          <w:lang w:val="en-GB"/>
        </w:rPr>
      </w:pPr>
      <w:r w:rsidRPr="00C82993">
        <w:rPr>
          <w:rFonts w:ascii="Arial" w:hAnsi="Arial" w:cs="Arial"/>
        </w:rPr>
        <w:t xml:space="preserve">In response, safeguards such as special measures under the Youth Justice and Criminal Evidence Act </w:t>
      </w:r>
      <w:r w:rsidR="003D0A47" w:rsidRPr="00C82993">
        <w:rPr>
          <w:rFonts w:ascii="Arial" w:hAnsi="Arial" w:cs="Arial"/>
        </w:rPr>
        <w:t>(</w:t>
      </w:r>
      <w:r w:rsidRPr="00C82993">
        <w:rPr>
          <w:rFonts w:ascii="Arial" w:hAnsi="Arial" w:cs="Arial"/>
        </w:rPr>
        <w:t>1999</w:t>
      </w:r>
      <w:r w:rsidR="003D0A47" w:rsidRPr="00C82993">
        <w:rPr>
          <w:rFonts w:ascii="Arial" w:hAnsi="Arial" w:cs="Arial"/>
        </w:rPr>
        <w:t>)</w:t>
      </w:r>
      <w:r w:rsidRPr="00C82993">
        <w:rPr>
          <w:rFonts w:ascii="Arial" w:hAnsi="Arial" w:cs="Arial"/>
        </w:rPr>
        <w:t xml:space="preserve"> aim to reduce distress by enabling alternative forms of evidence, including pre-recorded cross-examination. Evaluations suggest </w:t>
      </w:r>
      <w:r w:rsidR="00E6342D" w:rsidRPr="00C82993">
        <w:rPr>
          <w:rFonts w:ascii="Arial" w:hAnsi="Arial" w:cs="Arial"/>
        </w:rPr>
        <w:t>that these measures can improve victims' experiences</w:t>
      </w:r>
      <w:r w:rsidRPr="00C82993">
        <w:rPr>
          <w:rFonts w:ascii="Arial" w:hAnsi="Arial" w:cs="Arial"/>
        </w:rPr>
        <w:t xml:space="preserve"> and participation </w:t>
      </w:r>
      <w:r w:rsidR="5DFA24A6" w:rsidRPr="00C82993">
        <w:rPr>
          <w:rFonts w:ascii="Arial" w:hAnsi="Arial" w:cs="Arial"/>
        </w:rPr>
        <w:t>(Ministry of Justice, 2025)</w:t>
      </w:r>
      <w:r w:rsidRPr="00C82993">
        <w:rPr>
          <w:rFonts w:ascii="Arial" w:hAnsi="Arial" w:cs="Arial"/>
        </w:rPr>
        <w:t>. However, they do not fundamentally alter the adversarial structure, as victims remain subject to credibility testing and confrontation.</w:t>
      </w:r>
    </w:p>
    <w:p w14:paraId="2E164690" w14:textId="77777777" w:rsidR="00E6342D" w:rsidRPr="00C82993" w:rsidRDefault="0888DBFD" w:rsidP="00C82993">
      <w:pPr>
        <w:spacing w:line="480" w:lineRule="auto"/>
        <w:ind w:firstLine="720"/>
        <w:jc w:val="both"/>
        <w:rPr>
          <w:rFonts w:ascii="Arial" w:hAnsi="Arial" w:cs="Arial"/>
          <w:color w:val="FF0000"/>
          <w:lang w:val="en-GB"/>
        </w:rPr>
      </w:pPr>
      <w:r w:rsidRPr="00C82993">
        <w:rPr>
          <w:rFonts w:ascii="Arial" w:hAnsi="Arial" w:cs="Arial"/>
        </w:rPr>
        <w:t>Consequently, while such reforms mitigate harm, they do not transform the underlying process. This raises a critical question</w:t>
      </w:r>
      <w:r w:rsidR="11B1114C" w:rsidRPr="00C82993">
        <w:rPr>
          <w:rFonts w:ascii="Arial" w:hAnsi="Arial" w:cs="Arial"/>
        </w:rPr>
        <w:t xml:space="preserve">, </w:t>
      </w:r>
      <w:r w:rsidRPr="00C82993">
        <w:rPr>
          <w:rFonts w:ascii="Arial" w:hAnsi="Arial" w:cs="Arial"/>
        </w:rPr>
        <w:t>are reforms merely procedural rather than structural? The persistence of trauma, attrition, and unequal participation suggests that the adversarial system continues to reproduce difficulties for vulnerable victims, despite formal recognition of their needs.</w:t>
      </w:r>
    </w:p>
    <w:p w14:paraId="6929F074" w14:textId="56CAFAF4" w:rsidR="4F417A77" w:rsidRPr="00C82993" w:rsidRDefault="4F417A77" w:rsidP="00C82993">
      <w:pPr>
        <w:spacing w:line="480" w:lineRule="auto"/>
        <w:ind w:firstLine="720"/>
        <w:jc w:val="both"/>
        <w:rPr>
          <w:rFonts w:ascii="Arial" w:hAnsi="Arial" w:cs="Arial"/>
          <w:lang w:val="en-GB"/>
        </w:rPr>
      </w:pPr>
      <w:r w:rsidRPr="00C82993">
        <w:rPr>
          <w:rFonts w:ascii="Arial" w:hAnsi="Arial" w:cs="Arial"/>
        </w:rPr>
        <w:t xml:space="preserve">A more advanced framework for </w:t>
      </w:r>
      <w:r w:rsidR="00880828" w:rsidRPr="00C82993">
        <w:rPr>
          <w:rFonts w:ascii="Arial" w:hAnsi="Arial" w:cs="Arial"/>
        </w:rPr>
        <w:t>understanding</w:t>
      </w:r>
      <w:r w:rsidRPr="00C82993">
        <w:rPr>
          <w:rFonts w:ascii="Arial" w:hAnsi="Arial" w:cs="Arial"/>
        </w:rPr>
        <w:t xml:space="preserve"> the difficulties </w:t>
      </w:r>
      <w:r w:rsidR="00880828" w:rsidRPr="00C82993">
        <w:rPr>
          <w:rFonts w:ascii="Arial" w:hAnsi="Arial" w:cs="Arial"/>
        </w:rPr>
        <w:t>faced by</w:t>
      </w:r>
      <w:r w:rsidR="73ED0A8C" w:rsidRPr="00C82993">
        <w:rPr>
          <w:rFonts w:ascii="Arial" w:hAnsi="Arial" w:cs="Arial"/>
        </w:rPr>
        <w:t xml:space="preserve"> vulnerable victims is the concept of epistemic injustice, developed by Miranda Fricker (2007),</w:t>
      </w:r>
      <w:r w:rsidR="6707316A" w:rsidRPr="00C82993">
        <w:rPr>
          <w:rFonts w:ascii="Arial" w:hAnsi="Arial" w:cs="Arial"/>
        </w:rPr>
        <w:t xml:space="preserve"> which refers to the unequal distribution of credibility based</w:t>
      </w:r>
      <w:r w:rsidR="01911539" w:rsidRPr="00C82993">
        <w:rPr>
          <w:rFonts w:ascii="Arial" w:hAnsi="Arial" w:cs="Arial"/>
        </w:rPr>
        <w:t xml:space="preserve"> on social identity</w:t>
      </w:r>
      <w:r w:rsidR="28C2CB93" w:rsidRPr="00C82993">
        <w:rPr>
          <w:rFonts w:ascii="Arial" w:hAnsi="Arial" w:cs="Arial"/>
        </w:rPr>
        <w:t xml:space="preserve">. Within the criminal justice system, this manifests as credibility deficits, where certain victims, </w:t>
      </w:r>
      <w:r w:rsidR="00AD13F2" w:rsidRPr="00C82993">
        <w:rPr>
          <w:rFonts w:ascii="Arial" w:hAnsi="Arial" w:cs="Arial"/>
        </w:rPr>
        <w:t>particularly</w:t>
      </w:r>
      <w:r w:rsidR="53796E9F" w:rsidRPr="00C82993">
        <w:rPr>
          <w:rFonts w:ascii="Arial" w:hAnsi="Arial" w:cs="Arial"/>
        </w:rPr>
        <w:t xml:space="preserve"> those with</w:t>
      </w:r>
      <w:r w:rsidR="59D50194" w:rsidRPr="00C82993">
        <w:rPr>
          <w:rFonts w:ascii="Arial" w:hAnsi="Arial" w:cs="Arial"/>
        </w:rPr>
        <w:t xml:space="preserve"> mental health conditions</w:t>
      </w:r>
      <w:r w:rsidR="03ACDEE0" w:rsidRPr="00C82993">
        <w:rPr>
          <w:rFonts w:ascii="Arial" w:hAnsi="Arial" w:cs="Arial"/>
        </w:rPr>
        <w:t xml:space="preserve"> or those reporting sexual violence</w:t>
      </w:r>
      <w:r w:rsidR="276E8114" w:rsidRPr="00C82993">
        <w:rPr>
          <w:rFonts w:ascii="Arial" w:hAnsi="Arial" w:cs="Arial"/>
        </w:rPr>
        <w:t xml:space="preserve">, are less likely to be believed or taken seriously </w:t>
      </w:r>
      <w:r w:rsidR="24981E93" w:rsidRPr="00C82993">
        <w:rPr>
          <w:rFonts w:ascii="Arial" w:hAnsi="Arial" w:cs="Arial"/>
        </w:rPr>
        <w:t>(Fricker, 2007</w:t>
      </w:r>
      <w:r w:rsidR="00E6342D" w:rsidRPr="00C82993">
        <w:rPr>
          <w:rFonts w:ascii="Arial" w:hAnsi="Arial" w:cs="Arial"/>
        </w:rPr>
        <w:t>;</w:t>
      </w:r>
      <w:r w:rsidR="00E6342D" w:rsidRPr="00C82993">
        <w:rPr>
          <w:rFonts w:ascii="Arial" w:eastAsia="Times New Roman" w:hAnsi="Arial" w:cs="Arial"/>
          <w:lang w:val="en-GB" w:eastAsia="en-GB"/>
        </w:rPr>
        <w:t xml:space="preserve"> </w:t>
      </w:r>
      <w:r w:rsidR="00E6342D" w:rsidRPr="00C82993">
        <w:rPr>
          <w:rFonts w:ascii="Arial" w:hAnsi="Arial" w:cs="Arial"/>
          <w:lang w:val="en-GB"/>
        </w:rPr>
        <w:t>Murphy-</w:t>
      </w:r>
      <w:proofErr w:type="spellStart"/>
      <w:r w:rsidR="00E6342D" w:rsidRPr="00C82993">
        <w:rPr>
          <w:rFonts w:ascii="Arial" w:hAnsi="Arial" w:cs="Arial"/>
          <w:lang w:val="en-GB"/>
        </w:rPr>
        <w:t>Oikonen</w:t>
      </w:r>
      <w:proofErr w:type="spellEnd"/>
      <w:r w:rsidR="00E6342D" w:rsidRPr="00C82993">
        <w:rPr>
          <w:rFonts w:ascii="Arial" w:hAnsi="Arial" w:cs="Arial"/>
          <w:lang w:val="en-GB"/>
        </w:rPr>
        <w:t xml:space="preserve"> et al., 202</w:t>
      </w:r>
      <w:r w:rsidR="00E6342D" w:rsidRPr="00C82993">
        <w:rPr>
          <w:rFonts w:ascii="Arial" w:hAnsi="Arial" w:cs="Arial"/>
          <w:lang w:val="en-GB"/>
        </w:rPr>
        <w:t>2</w:t>
      </w:r>
      <w:r w:rsidR="00E6342D" w:rsidRPr="00C82993">
        <w:rPr>
          <w:rFonts w:ascii="Arial" w:hAnsi="Arial" w:cs="Arial"/>
          <w:lang w:val="en-GB"/>
        </w:rPr>
        <w:t>)</w:t>
      </w:r>
    </w:p>
    <w:p w14:paraId="7DD0DFDA" w14:textId="77777777" w:rsidR="00C82993" w:rsidRPr="00C82993" w:rsidRDefault="7B5F79A7" w:rsidP="00C82993">
      <w:pPr>
        <w:spacing w:line="480" w:lineRule="auto"/>
        <w:jc w:val="both"/>
        <w:rPr>
          <w:rFonts w:ascii="Arial" w:eastAsia="Arial" w:hAnsi="Arial" w:cs="Arial"/>
        </w:rPr>
      </w:pPr>
      <w:r w:rsidRPr="00C82993">
        <w:rPr>
          <w:rFonts w:ascii="Arial" w:hAnsi="Arial" w:cs="Arial"/>
        </w:rPr>
        <w:lastRenderedPageBreak/>
        <w:t xml:space="preserve">This is especially evident in sexual offence cases where </w:t>
      </w:r>
      <w:r w:rsidR="00E6342D" w:rsidRPr="00C82993">
        <w:rPr>
          <w:rFonts w:ascii="Arial" w:hAnsi="Arial" w:cs="Arial"/>
        </w:rPr>
        <w:t>complainant testimony is frequently scrutinised for conspiracy and plausibility, despite research demonstrating that trauma can affect memory recall, coherence, and</w:t>
      </w:r>
      <w:r w:rsidRPr="00C82993">
        <w:rPr>
          <w:rFonts w:ascii="Arial" w:hAnsi="Arial" w:cs="Arial"/>
        </w:rPr>
        <w:t xml:space="preserve"> emotional expression</w:t>
      </w:r>
      <w:r w:rsidR="7F59C466" w:rsidRPr="00C82993">
        <w:rPr>
          <w:rFonts w:ascii="Arial" w:hAnsi="Arial" w:cs="Arial"/>
        </w:rPr>
        <w:t xml:space="preserve"> (Ellison and Munro, 2013). Victims with mental health issues may face additional </w:t>
      </w:r>
      <w:r w:rsidR="00E6342D" w:rsidRPr="00C82993">
        <w:rPr>
          <w:rFonts w:ascii="Arial" w:hAnsi="Arial" w:cs="Arial"/>
        </w:rPr>
        <w:t>scepticism</w:t>
      </w:r>
      <w:r w:rsidR="7F59C466" w:rsidRPr="00C82993">
        <w:rPr>
          <w:rFonts w:ascii="Arial" w:hAnsi="Arial" w:cs="Arial"/>
        </w:rPr>
        <w:t xml:space="preserve"> </w:t>
      </w:r>
      <w:r w:rsidR="00E6342D" w:rsidRPr="00C82993">
        <w:rPr>
          <w:rFonts w:ascii="Arial" w:hAnsi="Arial" w:cs="Arial"/>
        </w:rPr>
        <w:t>as</w:t>
      </w:r>
      <w:r w:rsidR="7F59C466" w:rsidRPr="00C82993">
        <w:rPr>
          <w:rFonts w:ascii="Arial" w:hAnsi="Arial" w:cs="Arial"/>
        </w:rPr>
        <w:t xml:space="preserve"> credibility is often </w:t>
      </w:r>
      <w:r w:rsidR="00880828" w:rsidRPr="00C82993">
        <w:rPr>
          <w:rFonts w:ascii="Arial" w:hAnsi="Arial" w:cs="Arial"/>
        </w:rPr>
        <w:t>implicitly</w:t>
      </w:r>
      <w:r w:rsidR="7F59C466" w:rsidRPr="00C82993">
        <w:rPr>
          <w:rFonts w:ascii="Arial" w:hAnsi="Arial" w:cs="Arial"/>
        </w:rPr>
        <w:t xml:space="preserve"> </w:t>
      </w:r>
      <w:r w:rsidR="00E6342D" w:rsidRPr="00C82993">
        <w:rPr>
          <w:rFonts w:ascii="Arial" w:hAnsi="Arial" w:cs="Arial"/>
        </w:rPr>
        <w:t>linked</w:t>
      </w:r>
      <w:r w:rsidR="7F59C466" w:rsidRPr="00C82993">
        <w:rPr>
          <w:rFonts w:ascii="Arial" w:hAnsi="Arial" w:cs="Arial"/>
        </w:rPr>
        <w:t xml:space="preserve"> to assumptions about relia</w:t>
      </w:r>
      <w:r w:rsidR="4CA9B8F0" w:rsidRPr="00C82993">
        <w:rPr>
          <w:rFonts w:ascii="Arial" w:hAnsi="Arial" w:cs="Arial"/>
        </w:rPr>
        <w:t xml:space="preserve">bility and stability </w:t>
      </w:r>
      <w:r w:rsidR="02A0391F" w:rsidRPr="00C82993">
        <w:rPr>
          <w:rFonts w:ascii="Arial" w:hAnsi="Arial" w:cs="Arial"/>
        </w:rPr>
        <w:t>(Cooper and Norton, 2017)</w:t>
      </w:r>
      <w:r w:rsidR="00673E9E" w:rsidRPr="00C82993">
        <w:rPr>
          <w:rFonts w:ascii="Arial" w:hAnsi="Arial" w:cs="Arial"/>
        </w:rPr>
        <w:t xml:space="preserve">. As a </w:t>
      </w:r>
      <w:r w:rsidR="00E6342D" w:rsidRPr="00C82993">
        <w:rPr>
          <w:rFonts w:ascii="Arial" w:hAnsi="Arial" w:cs="Arial"/>
        </w:rPr>
        <w:t>result,</w:t>
      </w:r>
      <w:r w:rsidR="00673E9E" w:rsidRPr="00C82993">
        <w:rPr>
          <w:rFonts w:ascii="Arial" w:hAnsi="Arial" w:cs="Arial"/>
        </w:rPr>
        <w:t xml:space="preserve"> the criminal justice system does not operate as a neutral evaluator of evidence, but rather as a site in which social biases shape </w:t>
      </w:r>
      <w:r w:rsidR="00C82993" w:rsidRPr="00C82993">
        <w:rPr>
          <w:rFonts w:ascii="Arial" w:hAnsi="Arial" w:cs="Arial"/>
        </w:rPr>
        <w:t xml:space="preserve">which accounts are recognised as legitimate (Pilgrim, </w:t>
      </w:r>
      <w:r w:rsidR="004725B2" w:rsidRPr="00C82993">
        <w:rPr>
          <w:rFonts w:ascii="Arial" w:eastAsia="Arial" w:hAnsi="Arial" w:cs="Arial"/>
          <w:color w:val="000000" w:themeColor="text1"/>
          <w:sz w:val="22"/>
          <w:szCs w:val="22"/>
        </w:rPr>
        <w:t>2025)</w:t>
      </w:r>
      <w:r w:rsidR="00E6342D" w:rsidRPr="00C82993">
        <w:rPr>
          <w:rFonts w:ascii="Arial" w:eastAsia="Arial" w:hAnsi="Arial" w:cs="Arial"/>
          <w:color w:val="000000" w:themeColor="text1"/>
          <w:sz w:val="22"/>
          <w:szCs w:val="22"/>
        </w:rPr>
        <w:t>.</w:t>
      </w:r>
    </w:p>
    <w:p w14:paraId="3BC08C35" w14:textId="77777777" w:rsidR="00C82993" w:rsidRPr="00C82993" w:rsidRDefault="00EB1AF2" w:rsidP="00C82993">
      <w:pPr>
        <w:spacing w:line="480" w:lineRule="auto"/>
        <w:ind w:firstLine="720"/>
        <w:jc w:val="both"/>
        <w:rPr>
          <w:rFonts w:ascii="Arial" w:eastAsia="Arial" w:hAnsi="Arial" w:cs="Arial"/>
        </w:rPr>
      </w:pPr>
      <w:r w:rsidRPr="00C82993">
        <w:rPr>
          <w:rFonts w:ascii="Arial" w:eastAsia="Arial" w:hAnsi="Arial" w:cs="Arial"/>
          <w:color w:val="000000" w:themeColor="text1"/>
          <w:sz w:val="22"/>
          <w:szCs w:val="22"/>
        </w:rPr>
        <w:t>I</w:t>
      </w:r>
      <w:r w:rsidRPr="00C82993">
        <w:rPr>
          <w:rFonts w:ascii="Arial" w:eastAsia="Arial" w:hAnsi="Arial" w:cs="Arial"/>
          <w:color w:val="000000" w:themeColor="text1"/>
          <w:sz w:val="22"/>
          <w:szCs w:val="22"/>
        </w:rPr>
        <w:t xml:space="preserve">mportantly, these dynamics are bolstered by the adversarial system's dependence on credibility evaluations as a fundamental mechanism for establishing truth. Since </w:t>
      </w:r>
      <w:r w:rsidRPr="00C82993">
        <w:rPr>
          <w:rFonts w:ascii="Arial" w:eastAsia="Arial" w:hAnsi="Arial" w:cs="Arial"/>
          <w:color w:val="000000" w:themeColor="text1"/>
          <w:sz w:val="22"/>
          <w:szCs w:val="22"/>
        </w:rPr>
        <w:t xml:space="preserve">trial outcomes often hinge on witnesses' perceptions </w:t>
      </w:r>
      <w:r w:rsidRPr="00C82993">
        <w:rPr>
          <w:rFonts w:ascii="Arial" w:eastAsia="Arial" w:hAnsi="Arial" w:cs="Arial"/>
          <w:color w:val="000000" w:themeColor="text1"/>
          <w:sz w:val="22"/>
          <w:szCs w:val="22"/>
        </w:rPr>
        <w:t xml:space="preserve">during cross-examination, socially ingrained stereotypes can significantly affect legal judgments (Smith and Skinner, 2017). This leads to a </w:t>
      </w:r>
      <w:r w:rsidRPr="00C82993">
        <w:rPr>
          <w:rFonts w:ascii="Arial" w:eastAsia="Arial" w:hAnsi="Arial" w:cs="Arial"/>
          <w:color w:val="000000" w:themeColor="text1"/>
          <w:sz w:val="22"/>
          <w:szCs w:val="22"/>
        </w:rPr>
        <w:t>form of structural injustice, in which epistemic disparities are perpetuated through standard legal procedures rather than through isolated instances</w:t>
      </w:r>
      <w:r w:rsidRPr="00C82993">
        <w:rPr>
          <w:rFonts w:ascii="Arial" w:eastAsia="Arial" w:hAnsi="Arial" w:cs="Arial"/>
          <w:color w:val="000000" w:themeColor="text1"/>
          <w:sz w:val="22"/>
          <w:szCs w:val="22"/>
        </w:rPr>
        <w:t xml:space="preserve"> of bias.</w:t>
      </w:r>
    </w:p>
    <w:p w14:paraId="7393AB68" w14:textId="02E58F8B" w:rsidR="00EB1AF2" w:rsidRPr="00C82993" w:rsidRDefault="00EB1AF2" w:rsidP="00C82993">
      <w:pPr>
        <w:spacing w:line="480" w:lineRule="auto"/>
        <w:ind w:firstLine="720"/>
        <w:jc w:val="both"/>
        <w:rPr>
          <w:rFonts w:ascii="Arial" w:eastAsia="Arial" w:hAnsi="Arial" w:cs="Arial"/>
        </w:rPr>
      </w:pPr>
      <w:r w:rsidRPr="00C82993">
        <w:rPr>
          <w:rFonts w:ascii="Arial" w:eastAsia="Arial" w:hAnsi="Arial" w:cs="Arial"/>
          <w:color w:val="000000" w:themeColor="text1"/>
          <w:sz w:val="22"/>
          <w:szCs w:val="22"/>
        </w:rPr>
        <w:t>Beyond individual interactions, epistemic injustice can also be understood as institutionally produced harm. Victims are often required to recount their experiences multiple times</w:t>
      </w:r>
      <w:r w:rsidRPr="00C82993">
        <w:rPr>
          <w:rFonts w:ascii="Arial" w:eastAsia="Arial" w:hAnsi="Arial" w:cs="Arial"/>
          <w:color w:val="000000" w:themeColor="text1"/>
          <w:sz w:val="22"/>
          <w:szCs w:val="22"/>
        </w:rPr>
        <w:t xml:space="preserve">, </w:t>
      </w:r>
      <w:r w:rsidRPr="00C82993">
        <w:rPr>
          <w:rFonts w:ascii="Arial" w:eastAsia="Arial" w:hAnsi="Arial" w:cs="Arial"/>
          <w:color w:val="000000" w:themeColor="text1"/>
          <w:sz w:val="22"/>
          <w:szCs w:val="22"/>
        </w:rPr>
        <w:t>to police, prosecutors, and in court</w:t>
      </w:r>
      <w:r w:rsidRPr="00C82993">
        <w:rPr>
          <w:rFonts w:ascii="Arial" w:eastAsia="Arial" w:hAnsi="Arial" w:cs="Arial"/>
          <w:color w:val="000000" w:themeColor="text1"/>
          <w:sz w:val="22"/>
          <w:szCs w:val="22"/>
        </w:rPr>
        <w:t xml:space="preserve">, </w:t>
      </w:r>
      <w:r w:rsidRPr="00C82993">
        <w:rPr>
          <w:rFonts w:ascii="Arial" w:eastAsia="Arial" w:hAnsi="Arial" w:cs="Arial"/>
          <w:color w:val="000000" w:themeColor="text1"/>
          <w:sz w:val="22"/>
          <w:szCs w:val="22"/>
        </w:rPr>
        <w:t>which can compound trauma and create inconsistencies later used to undermine credibility (Ministry of Justice, 2022). Delays within the system further intensify this harm, as prolonged timelines increase emotional strain and contribute to victim withdrawal and case attrition (Crown Prosecution Service, 2022).</w:t>
      </w:r>
    </w:p>
    <w:p w14:paraId="06C2AC9A" w14:textId="70E551FC" w:rsidR="00EB3A31" w:rsidRPr="00C82993" w:rsidRDefault="00EB1AF2" w:rsidP="00C82993">
      <w:pPr>
        <w:spacing w:line="480" w:lineRule="auto"/>
        <w:ind w:firstLine="720"/>
        <w:jc w:val="both"/>
        <w:rPr>
          <w:rFonts w:ascii="Arial" w:eastAsia="Arial" w:hAnsi="Arial" w:cs="Arial"/>
          <w:color w:val="000000" w:themeColor="text1"/>
          <w:sz w:val="22"/>
          <w:szCs w:val="22"/>
          <w:lang w:val="en-GB"/>
        </w:rPr>
      </w:pPr>
      <w:r w:rsidRPr="00C82993">
        <w:rPr>
          <w:rFonts w:ascii="Arial" w:eastAsia="Arial" w:hAnsi="Arial" w:cs="Arial"/>
          <w:color w:val="000000" w:themeColor="text1"/>
          <w:sz w:val="22"/>
          <w:szCs w:val="22"/>
        </w:rPr>
        <w:t xml:space="preserve">This illustrates a distinct disparity between legal rights and actual experiences. Although frameworks </w:t>
      </w:r>
      <w:r w:rsidR="00EB3A31" w:rsidRPr="00C82993">
        <w:rPr>
          <w:rFonts w:ascii="Arial" w:eastAsia="Arial" w:hAnsi="Arial" w:cs="Arial"/>
          <w:color w:val="000000" w:themeColor="text1"/>
          <w:sz w:val="22"/>
          <w:szCs w:val="22"/>
        </w:rPr>
        <w:t>such as the Victims’ Code and the policies of the Crown Prosecution Service formally acknowledge vulnerability and emphasise</w:t>
      </w:r>
      <w:r w:rsidRPr="00C82993">
        <w:rPr>
          <w:rFonts w:ascii="Arial" w:eastAsia="Arial" w:hAnsi="Arial" w:cs="Arial"/>
          <w:color w:val="000000" w:themeColor="text1"/>
          <w:sz w:val="22"/>
          <w:szCs w:val="22"/>
        </w:rPr>
        <w:t xml:space="preserve"> fairness and support, evidence indicates that these principles are not consistently implemented </w:t>
      </w:r>
      <w:r w:rsidR="00EB3A31" w:rsidRPr="00C82993">
        <w:rPr>
          <w:rFonts w:ascii="Arial" w:eastAsia="Arial" w:hAnsi="Arial" w:cs="Arial"/>
          <w:color w:val="000000" w:themeColor="text1"/>
          <w:sz w:val="22"/>
          <w:szCs w:val="22"/>
          <w:lang w:val="en-GB"/>
        </w:rPr>
        <w:t>(Ministry of Justice, 2025</w:t>
      </w:r>
      <w:r w:rsidRPr="00C82993">
        <w:rPr>
          <w:rFonts w:ascii="Arial" w:eastAsia="Arial" w:hAnsi="Arial" w:cs="Arial"/>
          <w:color w:val="000000" w:themeColor="text1"/>
          <w:sz w:val="22"/>
          <w:szCs w:val="22"/>
        </w:rPr>
        <w:t xml:space="preserve">; Crown Prosecution Service, </w:t>
      </w:r>
      <w:r w:rsidRPr="00C82993">
        <w:rPr>
          <w:rFonts w:ascii="Arial" w:eastAsia="Arial" w:hAnsi="Arial" w:cs="Arial"/>
          <w:color w:val="000000" w:themeColor="text1"/>
          <w:sz w:val="22"/>
          <w:szCs w:val="22"/>
        </w:rPr>
        <w:lastRenderedPageBreak/>
        <w:t>202</w:t>
      </w:r>
      <w:r w:rsidR="00EB3A31" w:rsidRPr="00C82993">
        <w:rPr>
          <w:rFonts w:ascii="Arial" w:eastAsia="Arial" w:hAnsi="Arial" w:cs="Arial"/>
          <w:color w:val="000000" w:themeColor="text1"/>
          <w:sz w:val="22"/>
          <w:szCs w:val="22"/>
        </w:rPr>
        <w:t>2</w:t>
      </w:r>
      <w:r w:rsidRPr="00C82993">
        <w:rPr>
          <w:rFonts w:ascii="Arial" w:eastAsia="Arial" w:hAnsi="Arial" w:cs="Arial"/>
          <w:color w:val="000000" w:themeColor="text1"/>
          <w:sz w:val="22"/>
          <w:szCs w:val="22"/>
        </w:rPr>
        <w:t xml:space="preserve">). Initiatives for witness support and procedural protections signify significant advancements; however, their execution is inconsistent, and mechanisms for accountability are insufficient </w:t>
      </w:r>
      <w:r w:rsidR="00EB3A31" w:rsidRPr="00C82993">
        <w:rPr>
          <w:rFonts w:ascii="Arial" w:eastAsia="Arial" w:hAnsi="Arial" w:cs="Arial"/>
          <w:color w:val="000000" w:themeColor="text1"/>
          <w:sz w:val="22"/>
          <w:szCs w:val="22"/>
          <w:lang w:val="en-GB"/>
        </w:rPr>
        <w:t>(Victims’ Commissioner, 2024)</w:t>
      </w:r>
      <w:r w:rsidRPr="00C82993">
        <w:rPr>
          <w:rFonts w:ascii="Arial" w:eastAsia="Arial" w:hAnsi="Arial" w:cs="Arial"/>
          <w:color w:val="000000" w:themeColor="text1"/>
          <w:sz w:val="22"/>
          <w:szCs w:val="22"/>
        </w:rPr>
        <w:t xml:space="preserve">. </w:t>
      </w:r>
    </w:p>
    <w:p w14:paraId="2156251A" w14:textId="08DE2EC4" w:rsidR="00EB3A31" w:rsidRPr="00C82993" w:rsidRDefault="00EB1AF2" w:rsidP="00C82993">
      <w:pPr>
        <w:spacing w:line="480" w:lineRule="auto"/>
        <w:ind w:firstLine="720"/>
        <w:jc w:val="both"/>
        <w:rPr>
          <w:rFonts w:ascii="Arial" w:eastAsia="Arial" w:hAnsi="Arial" w:cs="Arial"/>
          <w:color w:val="000000" w:themeColor="text1"/>
          <w:sz w:val="22"/>
          <w:szCs w:val="22"/>
        </w:rPr>
      </w:pPr>
      <w:r w:rsidRPr="00C82993">
        <w:rPr>
          <w:rFonts w:ascii="Arial" w:eastAsia="Arial" w:hAnsi="Arial" w:cs="Arial"/>
          <w:color w:val="000000" w:themeColor="text1"/>
          <w:sz w:val="22"/>
          <w:szCs w:val="22"/>
        </w:rPr>
        <w:t xml:space="preserve">Furthermore, these shortcomings are influenced by wider structural factors, such as resource limitations and institutional pressures. In an environment </w:t>
      </w:r>
      <w:proofErr w:type="spellStart"/>
      <w:r w:rsidR="00C82993" w:rsidRPr="00C82993">
        <w:rPr>
          <w:rFonts w:ascii="Arial" w:eastAsia="Arial" w:hAnsi="Arial" w:cs="Arial"/>
          <w:color w:val="000000" w:themeColor="text1"/>
          <w:sz w:val="22"/>
          <w:szCs w:val="22"/>
        </w:rPr>
        <w:t>characterised</w:t>
      </w:r>
      <w:proofErr w:type="spellEnd"/>
      <w:r w:rsidR="00C82993" w:rsidRPr="00C82993">
        <w:rPr>
          <w:rFonts w:ascii="Arial" w:eastAsia="Arial" w:hAnsi="Arial" w:cs="Arial"/>
          <w:color w:val="000000" w:themeColor="text1"/>
          <w:sz w:val="22"/>
          <w:szCs w:val="22"/>
        </w:rPr>
        <w:t xml:space="preserve"> by rising demand and constrained capacity, reforms aimed at </w:t>
      </w:r>
      <w:proofErr w:type="spellStart"/>
      <w:r w:rsidR="00C82993" w:rsidRPr="00C82993">
        <w:rPr>
          <w:rFonts w:ascii="Arial" w:eastAsia="Arial" w:hAnsi="Arial" w:cs="Arial"/>
          <w:color w:val="000000" w:themeColor="text1"/>
          <w:sz w:val="22"/>
          <w:szCs w:val="22"/>
        </w:rPr>
        <w:t>centring</w:t>
      </w:r>
      <w:proofErr w:type="spellEnd"/>
      <w:r w:rsidRPr="00C82993">
        <w:rPr>
          <w:rFonts w:ascii="Arial" w:eastAsia="Arial" w:hAnsi="Arial" w:cs="Arial"/>
          <w:color w:val="000000" w:themeColor="text1"/>
          <w:sz w:val="22"/>
          <w:szCs w:val="22"/>
        </w:rPr>
        <w:t xml:space="preserve"> victims may be applied inconsistently, thereby perpetuating existing disparities (McGlynn and Westmarland, 2019). As a result, while these reforms </w:t>
      </w:r>
      <w:r w:rsidR="00C82993" w:rsidRPr="00C82993">
        <w:rPr>
          <w:rFonts w:ascii="Arial" w:eastAsia="Arial" w:hAnsi="Arial" w:cs="Arial"/>
          <w:color w:val="000000" w:themeColor="text1"/>
          <w:sz w:val="22"/>
          <w:szCs w:val="22"/>
        </w:rPr>
        <w:t>acknowledge vulnerability, they often operate at a rhetorical level without making</w:t>
      </w:r>
      <w:r w:rsidRPr="00C82993">
        <w:rPr>
          <w:rFonts w:ascii="Arial" w:eastAsia="Arial" w:hAnsi="Arial" w:cs="Arial"/>
          <w:color w:val="000000" w:themeColor="text1"/>
          <w:sz w:val="22"/>
          <w:szCs w:val="22"/>
        </w:rPr>
        <w:t xml:space="preserve"> fundamental changes to the processes that generate harm.</w:t>
      </w:r>
    </w:p>
    <w:p w14:paraId="5089C1BB" w14:textId="0452AD2E" w:rsidR="00EB1AF2" w:rsidRPr="00C82993" w:rsidRDefault="00EB1AF2" w:rsidP="00C82993">
      <w:pPr>
        <w:spacing w:line="480" w:lineRule="auto"/>
        <w:jc w:val="both"/>
        <w:rPr>
          <w:rFonts w:ascii="Arial" w:eastAsia="Arial" w:hAnsi="Arial" w:cs="Arial"/>
          <w:color w:val="000000" w:themeColor="text1"/>
          <w:sz w:val="22"/>
          <w:szCs w:val="22"/>
        </w:rPr>
      </w:pPr>
      <w:r w:rsidRPr="00C82993">
        <w:rPr>
          <w:rFonts w:ascii="Arial" w:eastAsia="Arial" w:hAnsi="Arial" w:cs="Arial"/>
          <w:color w:val="000000" w:themeColor="text1"/>
          <w:sz w:val="22"/>
          <w:szCs w:val="22"/>
        </w:rPr>
        <w:t xml:space="preserve"> </w:t>
      </w:r>
      <w:r w:rsidR="00C82993" w:rsidRPr="00C82993">
        <w:rPr>
          <w:rFonts w:ascii="Arial" w:eastAsia="Arial" w:hAnsi="Arial" w:cs="Arial"/>
          <w:color w:val="000000" w:themeColor="text1"/>
          <w:sz w:val="22"/>
          <w:szCs w:val="22"/>
        </w:rPr>
        <w:tab/>
      </w:r>
      <w:r w:rsidRPr="00C82993">
        <w:rPr>
          <w:rFonts w:ascii="Arial" w:eastAsia="Arial" w:hAnsi="Arial" w:cs="Arial"/>
          <w:color w:val="000000" w:themeColor="text1"/>
          <w:sz w:val="22"/>
          <w:szCs w:val="22"/>
        </w:rPr>
        <w:t>In summary, epistemic injustice reveals that the challenges encountered by vulnerable victims are not merely the outcome of individual shortcomings but are ingrained within institutional practices. The ongoing dependence on credibility evaluations, coupled with social biases and systemic limitations, guarantees that structural inequalities endure despite formal pledges to fairness.</w:t>
      </w:r>
    </w:p>
    <w:p w14:paraId="2B57BC7C" w14:textId="77777777" w:rsidR="00C82993" w:rsidRPr="00C82993" w:rsidRDefault="00F12D4D" w:rsidP="00C82993">
      <w:pPr>
        <w:spacing w:line="480" w:lineRule="auto"/>
        <w:ind w:firstLine="720"/>
        <w:jc w:val="both"/>
        <w:rPr>
          <w:rFonts w:ascii="Arial" w:hAnsi="Arial" w:cs="Arial"/>
          <w:lang w:val="en-GB"/>
        </w:rPr>
      </w:pPr>
      <w:r w:rsidRPr="00C82993">
        <w:rPr>
          <w:rFonts w:ascii="Arial" w:eastAsia="Arial" w:hAnsi="Arial" w:cs="Arial"/>
          <w:color w:val="000000" w:themeColor="text1"/>
          <w:sz w:val="22"/>
          <w:szCs w:val="22"/>
        </w:rPr>
        <w:t>This es</w:t>
      </w:r>
      <w:r w:rsidR="00C37B16" w:rsidRPr="00C82993">
        <w:rPr>
          <w:rFonts w:ascii="Arial" w:eastAsia="Arial" w:hAnsi="Arial" w:cs="Arial"/>
          <w:color w:val="000000" w:themeColor="text1"/>
          <w:sz w:val="22"/>
          <w:szCs w:val="22"/>
        </w:rPr>
        <w:t>say</w:t>
      </w:r>
      <w:r w:rsidR="00C37B16" w:rsidRPr="00C82993">
        <w:rPr>
          <w:rFonts w:ascii="Arial" w:eastAsia="Arial" w:hAnsi="Arial" w:cs="Arial"/>
          <w:color w:val="000000" w:themeColor="text1"/>
          <w:sz w:val="22"/>
          <w:szCs w:val="22"/>
          <w:lang w:val="en-GB"/>
        </w:rPr>
        <w:t xml:space="preserve"> </w:t>
      </w:r>
      <w:r w:rsidR="00040FFF" w:rsidRPr="00C82993">
        <w:rPr>
          <w:rFonts w:ascii="Arial" w:eastAsia="Arial" w:hAnsi="Arial" w:cs="Arial"/>
          <w:color w:val="000000" w:themeColor="text1"/>
          <w:sz w:val="22"/>
          <w:szCs w:val="22"/>
          <w:lang w:val="en-GB"/>
        </w:rPr>
        <w:t>h</w:t>
      </w:r>
      <w:r w:rsidR="00C37B16" w:rsidRPr="00C82993">
        <w:rPr>
          <w:rFonts w:ascii="Arial" w:eastAsia="Arial" w:hAnsi="Arial" w:cs="Arial"/>
          <w:color w:val="000000" w:themeColor="text1"/>
          <w:sz w:val="22"/>
          <w:szCs w:val="22"/>
          <w:lang w:val="en-GB"/>
        </w:rPr>
        <w:t xml:space="preserve">as demonstrated that the difficulties faced by vulnerable victims within the criminal justice system are not merely the result of inconsistent practise or implementation </w:t>
      </w:r>
      <w:r w:rsidR="00C82993" w:rsidRPr="00C82993">
        <w:rPr>
          <w:rFonts w:ascii="Arial" w:eastAsia="Arial" w:hAnsi="Arial" w:cs="Arial"/>
          <w:color w:val="000000" w:themeColor="text1"/>
          <w:sz w:val="22"/>
          <w:szCs w:val="22"/>
          <w:lang w:val="en-GB"/>
        </w:rPr>
        <w:t>Failures but</w:t>
      </w:r>
      <w:r w:rsidR="00C37B16" w:rsidRPr="00C82993">
        <w:rPr>
          <w:rFonts w:ascii="Arial" w:eastAsia="Arial" w:hAnsi="Arial" w:cs="Arial"/>
          <w:color w:val="000000" w:themeColor="text1"/>
          <w:sz w:val="22"/>
          <w:szCs w:val="22"/>
          <w:lang w:val="en-GB"/>
        </w:rPr>
        <w:t xml:space="preserve"> fundamentally rooted in the structural </w:t>
      </w:r>
      <w:r w:rsidR="00C82993" w:rsidRPr="00C82993">
        <w:rPr>
          <w:rFonts w:ascii="Arial" w:eastAsia="Arial" w:hAnsi="Arial" w:cs="Arial"/>
          <w:color w:val="000000" w:themeColor="text1"/>
          <w:sz w:val="22"/>
          <w:szCs w:val="22"/>
          <w:lang w:val="en-GB"/>
        </w:rPr>
        <w:t>logic</w:t>
      </w:r>
      <w:r w:rsidR="00C37B16" w:rsidRPr="00C82993">
        <w:rPr>
          <w:rFonts w:ascii="Arial" w:eastAsia="Arial" w:hAnsi="Arial" w:cs="Arial"/>
          <w:color w:val="000000" w:themeColor="text1"/>
          <w:sz w:val="22"/>
          <w:szCs w:val="22"/>
          <w:lang w:val="en-GB"/>
        </w:rPr>
        <w:t xml:space="preserve"> of the system itself. Back for another 12 hour shift although policy frameworks such as a victim code (2025a) and procedu</w:t>
      </w:r>
      <w:r w:rsidR="007C620C" w:rsidRPr="00C82993">
        <w:rPr>
          <w:rFonts w:ascii="Arial" w:eastAsia="Arial" w:hAnsi="Arial" w:cs="Arial"/>
          <w:color w:val="000000" w:themeColor="text1"/>
          <w:sz w:val="22"/>
          <w:szCs w:val="22"/>
          <w:lang w:val="en-GB"/>
        </w:rPr>
        <w:t>ral safeguards under the Youth Justice and Criminal Evidence Act 1999</w:t>
      </w:r>
      <w:r w:rsidR="007C620C" w:rsidRPr="00C82993">
        <w:rPr>
          <w:rFonts w:ascii="Arial" w:hAnsi="Arial" w:cs="Arial"/>
        </w:rPr>
        <w:t xml:space="preserve"> </w:t>
      </w:r>
      <w:r w:rsidR="007C620C" w:rsidRPr="00C82993">
        <w:rPr>
          <w:rFonts w:ascii="Arial" w:hAnsi="Arial" w:cs="Arial"/>
          <w:lang w:val="en-GB"/>
        </w:rPr>
        <w:t>(Gov.UK, 1999)</w:t>
      </w:r>
      <w:r w:rsidR="007C620C" w:rsidRPr="00C82993">
        <w:rPr>
          <w:rFonts w:ascii="Arial" w:hAnsi="Arial" w:cs="Arial"/>
          <w:lang w:val="en-GB"/>
        </w:rPr>
        <w:t xml:space="preserve"> signal a growing institutional recognition of vulnerability, this recognition remains largely symbolic, as these reforms operate within an adversarial framework that prio</w:t>
      </w:r>
      <w:r w:rsidR="00040FFF" w:rsidRPr="00C82993">
        <w:rPr>
          <w:rFonts w:ascii="Arial" w:hAnsi="Arial" w:cs="Arial"/>
          <w:lang w:val="en-GB"/>
        </w:rPr>
        <w:t xml:space="preserve">ritises evidential contest and procedural efficiency over victim experience </w:t>
      </w:r>
      <w:r w:rsidR="00040FFF" w:rsidRPr="00C82993">
        <w:rPr>
          <w:rFonts w:ascii="Arial" w:hAnsi="Arial" w:cs="Arial"/>
          <w:lang w:val="en-GB"/>
        </w:rPr>
        <w:t>(Burton, Evans and Sanders, 2007)</w:t>
      </w:r>
      <w:r w:rsidR="00040FFF" w:rsidRPr="00C82993">
        <w:rPr>
          <w:rFonts w:ascii="Arial" w:hAnsi="Arial" w:cs="Arial"/>
          <w:lang w:val="en-GB"/>
        </w:rPr>
        <w:t xml:space="preserve">. </w:t>
      </w:r>
    </w:p>
    <w:p w14:paraId="05D975B9" w14:textId="77777777" w:rsidR="00C82993" w:rsidRPr="00C82993" w:rsidRDefault="00040FFF" w:rsidP="00C82993">
      <w:pPr>
        <w:spacing w:line="480" w:lineRule="auto"/>
        <w:ind w:firstLine="720"/>
        <w:jc w:val="both"/>
        <w:rPr>
          <w:rFonts w:ascii="Arial" w:hAnsi="Arial" w:cs="Arial"/>
          <w:lang w:val="en-GB"/>
        </w:rPr>
      </w:pPr>
      <w:r w:rsidRPr="00C82993">
        <w:rPr>
          <w:rFonts w:ascii="Arial" w:hAnsi="Arial" w:cs="Arial"/>
          <w:lang w:val="en-GB"/>
        </w:rPr>
        <w:t>Critically</w:t>
      </w:r>
      <w:r w:rsidR="00C82993" w:rsidRPr="00C82993">
        <w:rPr>
          <w:rFonts w:ascii="Arial" w:hAnsi="Arial" w:cs="Arial"/>
          <w:lang w:val="en-GB"/>
        </w:rPr>
        <w:t>, the system's reliance on credibility assessment, discretionary decision-making</w:t>
      </w:r>
      <w:r w:rsidRPr="00C82993">
        <w:rPr>
          <w:rFonts w:ascii="Arial" w:hAnsi="Arial" w:cs="Arial"/>
          <w:lang w:val="en-GB"/>
        </w:rPr>
        <w:t xml:space="preserve">, and adversarial processes actively reproduces inequality. As this essay has </w:t>
      </w:r>
      <w:r w:rsidRPr="00C82993">
        <w:rPr>
          <w:rFonts w:ascii="Arial" w:hAnsi="Arial" w:cs="Arial"/>
          <w:lang w:val="en-GB"/>
        </w:rPr>
        <w:lastRenderedPageBreak/>
        <w:t>shown</w:t>
      </w:r>
      <w:r w:rsidR="00C82993" w:rsidRPr="00C82993">
        <w:rPr>
          <w:rFonts w:ascii="Arial" w:hAnsi="Arial" w:cs="Arial"/>
          <w:lang w:val="en-GB"/>
        </w:rPr>
        <w:t>, vulnerable victims are disproportionately affected by underreporting, distrust of institutions, fear of criminalisation, and inconsistent access to support,</w:t>
      </w:r>
      <w:r w:rsidR="00663B33" w:rsidRPr="00C82993">
        <w:rPr>
          <w:rFonts w:ascii="Arial" w:hAnsi="Arial" w:cs="Arial"/>
          <w:lang w:val="en-GB"/>
        </w:rPr>
        <w:t xml:space="preserve"> all of which are shaped by entrenched assumptions about the “ideal victims”</w:t>
      </w:r>
      <w:r w:rsidR="00663B33" w:rsidRPr="00C82993">
        <w:rPr>
          <w:rFonts w:ascii="Arial" w:eastAsia="Times New Roman" w:hAnsi="Arial" w:cs="Arial"/>
          <w:lang w:val="en-GB" w:eastAsia="en-GB"/>
        </w:rPr>
        <w:t xml:space="preserve"> </w:t>
      </w:r>
      <w:r w:rsidR="00663B33" w:rsidRPr="00C82993">
        <w:rPr>
          <w:rFonts w:ascii="Arial" w:hAnsi="Arial" w:cs="Arial"/>
          <w:lang w:val="en-GB"/>
        </w:rPr>
        <w:t>(</w:t>
      </w:r>
      <w:proofErr w:type="spellStart"/>
      <w:r w:rsidR="00663B33" w:rsidRPr="00C82993">
        <w:rPr>
          <w:rFonts w:ascii="Arial" w:hAnsi="Arial" w:cs="Arial"/>
          <w:lang w:val="en-GB"/>
        </w:rPr>
        <w:t>Walklate</w:t>
      </w:r>
      <w:proofErr w:type="spellEnd"/>
      <w:r w:rsidR="00663B33" w:rsidRPr="00C82993">
        <w:rPr>
          <w:rFonts w:ascii="Arial" w:hAnsi="Arial" w:cs="Arial"/>
          <w:lang w:val="en-GB"/>
        </w:rPr>
        <w:t>, 2018</w:t>
      </w:r>
      <w:r w:rsidR="00663B33" w:rsidRPr="00C82993">
        <w:rPr>
          <w:rFonts w:ascii="Arial" w:hAnsi="Arial" w:cs="Arial"/>
          <w:lang w:val="en-GB"/>
        </w:rPr>
        <w:t>;</w:t>
      </w:r>
      <w:r w:rsidR="00663B33" w:rsidRPr="00C82993">
        <w:rPr>
          <w:rFonts w:ascii="Arial" w:eastAsia="Times New Roman" w:hAnsi="Arial" w:cs="Arial"/>
          <w:lang w:val="en-GB" w:eastAsia="en-GB"/>
        </w:rPr>
        <w:t xml:space="preserve"> </w:t>
      </w:r>
      <w:r w:rsidR="00663B33" w:rsidRPr="00C82993">
        <w:rPr>
          <w:rFonts w:ascii="Arial" w:hAnsi="Arial" w:cs="Arial"/>
          <w:lang w:val="en-GB"/>
        </w:rPr>
        <w:t>Office for National Statistics, 2023)</w:t>
      </w:r>
      <w:r w:rsidR="0084382F" w:rsidRPr="00C82993">
        <w:rPr>
          <w:rFonts w:ascii="Arial" w:hAnsi="Arial" w:cs="Arial"/>
          <w:lang w:val="en-GB"/>
        </w:rPr>
        <w:t>.</w:t>
      </w:r>
      <w:r w:rsidR="00C82993" w:rsidRPr="00C82993">
        <w:rPr>
          <w:rFonts w:ascii="Arial" w:hAnsi="Arial" w:cs="Arial"/>
          <w:lang w:val="en-GB"/>
        </w:rPr>
        <w:t xml:space="preserve"> </w:t>
      </w:r>
      <w:r w:rsidR="0084382F" w:rsidRPr="00C82993">
        <w:rPr>
          <w:rFonts w:ascii="Arial" w:hAnsi="Arial" w:cs="Arial"/>
          <w:lang w:val="en-GB"/>
        </w:rPr>
        <w:t>The persistence of epistemic injustice further illustrates that the criminal justice process is not a neutral arbiter of truth</w:t>
      </w:r>
      <w:r w:rsidR="00C82993" w:rsidRPr="00C82993">
        <w:rPr>
          <w:rFonts w:ascii="Arial" w:hAnsi="Arial" w:cs="Arial"/>
          <w:lang w:val="en-GB"/>
        </w:rPr>
        <w:t xml:space="preserve"> but a site in which social hierarchies shape which</w:t>
      </w:r>
      <w:r w:rsidR="0084382F" w:rsidRPr="00C82993">
        <w:rPr>
          <w:rFonts w:ascii="Arial" w:hAnsi="Arial" w:cs="Arial"/>
          <w:lang w:val="en-GB"/>
        </w:rPr>
        <w:t xml:space="preserve"> testimony is believed and acted upon</w:t>
      </w:r>
      <w:r w:rsidR="0084382F" w:rsidRPr="00C82993">
        <w:rPr>
          <w:rFonts w:ascii="Arial" w:eastAsia="Times New Roman" w:hAnsi="Arial" w:cs="Arial"/>
          <w:lang w:val="en-GB" w:eastAsia="en-GB"/>
        </w:rPr>
        <w:t xml:space="preserve"> </w:t>
      </w:r>
      <w:r w:rsidR="0084382F" w:rsidRPr="00C82993">
        <w:rPr>
          <w:rFonts w:ascii="Arial" w:hAnsi="Arial" w:cs="Arial"/>
          <w:lang w:val="en-GB"/>
        </w:rPr>
        <w:t>(Fricker, 2007)</w:t>
      </w:r>
      <w:r w:rsidR="0084382F" w:rsidRPr="00C82993">
        <w:rPr>
          <w:rFonts w:ascii="Arial" w:hAnsi="Arial" w:cs="Arial"/>
          <w:lang w:val="en-GB"/>
        </w:rPr>
        <w:t>.</w:t>
      </w:r>
    </w:p>
    <w:p w14:paraId="20154677" w14:textId="77777777" w:rsidR="00C82993" w:rsidRPr="00C82993" w:rsidRDefault="0084382F" w:rsidP="00C82993">
      <w:pPr>
        <w:spacing w:line="480" w:lineRule="auto"/>
        <w:ind w:firstLine="720"/>
        <w:jc w:val="both"/>
        <w:rPr>
          <w:rFonts w:ascii="Arial" w:hAnsi="Arial" w:cs="Arial"/>
          <w:lang w:val="en-GB"/>
        </w:rPr>
      </w:pPr>
      <w:r w:rsidRPr="00C82993">
        <w:rPr>
          <w:rFonts w:ascii="Arial" w:hAnsi="Arial" w:cs="Arial"/>
        </w:rPr>
        <w:t xml:space="preserve">This analysis thus </w:t>
      </w:r>
      <w:r w:rsidR="00C82993" w:rsidRPr="00C82993">
        <w:rPr>
          <w:rFonts w:ascii="Arial" w:hAnsi="Arial" w:cs="Arial"/>
        </w:rPr>
        <w:t>challenges the belief that the criminal justice system, in its current form, can deliver</w:t>
      </w:r>
      <w:r w:rsidRPr="00C82993">
        <w:rPr>
          <w:rFonts w:ascii="Arial" w:hAnsi="Arial" w:cs="Arial"/>
        </w:rPr>
        <w:t xml:space="preserve"> fair outcomes for vulnerable victims. The evidence indicates that the system not only fails vulnerable individuals but is also fundamentally </w:t>
      </w:r>
      <w:r w:rsidR="00C82993" w:rsidRPr="00C82993">
        <w:rPr>
          <w:rFonts w:ascii="Arial" w:hAnsi="Arial" w:cs="Arial"/>
        </w:rPr>
        <w:t>limited in its ability to respond effectively to their needs</w:t>
      </w:r>
      <w:r w:rsidRPr="00C82993">
        <w:rPr>
          <w:rFonts w:ascii="Arial" w:hAnsi="Arial" w:cs="Arial"/>
        </w:rPr>
        <w:t xml:space="preserve">. As a result, the disparity between legal rights and practical experiences is not merely coincidental but systemic, mirroring deeper institutional priorities and limitations (McGlynn and Westmarland, 2019). </w:t>
      </w:r>
    </w:p>
    <w:p w14:paraId="5BE54CCB" w14:textId="03BA7E5C" w:rsidR="0084382F" w:rsidRPr="00C82993" w:rsidRDefault="0084382F" w:rsidP="00C82993">
      <w:pPr>
        <w:spacing w:line="480" w:lineRule="auto"/>
        <w:ind w:firstLine="720"/>
        <w:jc w:val="both"/>
        <w:rPr>
          <w:rFonts w:ascii="Arial" w:hAnsi="Arial" w:cs="Arial"/>
          <w:lang w:val="en-GB"/>
        </w:rPr>
      </w:pPr>
      <w:r w:rsidRPr="00C82993">
        <w:rPr>
          <w:rFonts w:ascii="Arial" w:hAnsi="Arial" w:cs="Arial"/>
        </w:rPr>
        <w:t xml:space="preserve">In summary, substantial advancement </w:t>
      </w:r>
      <w:r w:rsidR="00C82993" w:rsidRPr="00C82993">
        <w:rPr>
          <w:rFonts w:ascii="Arial" w:hAnsi="Arial" w:cs="Arial"/>
        </w:rPr>
        <w:t>requires a shift from minor procedural reforms to a deeper</w:t>
      </w:r>
      <w:r w:rsidRPr="00C82993">
        <w:rPr>
          <w:rFonts w:ascii="Arial" w:hAnsi="Arial" w:cs="Arial"/>
        </w:rPr>
        <w:t xml:space="preserve"> reevaluation of how justice is understood and administered. If the structural conflicts between adversarial justice and vulnerability are not addressed, reforms will </w:t>
      </w:r>
      <w:r w:rsidR="00C82993" w:rsidRPr="00C82993">
        <w:rPr>
          <w:rFonts w:ascii="Arial" w:hAnsi="Arial" w:cs="Arial"/>
        </w:rPr>
        <w:t>continue to perpetuate</w:t>
      </w:r>
      <w:r w:rsidRPr="00C82993">
        <w:rPr>
          <w:rFonts w:ascii="Arial" w:hAnsi="Arial" w:cs="Arial"/>
        </w:rPr>
        <w:t xml:space="preserve"> the very inequalities they aim to rectify.</w:t>
      </w:r>
    </w:p>
    <w:p w14:paraId="4292A9C9" w14:textId="292B30D1" w:rsidR="00663B33" w:rsidRPr="00663B33" w:rsidRDefault="00663B33" w:rsidP="00C25348">
      <w:pPr>
        <w:spacing w:line="480" w:lineRule="auto"/>
        <w:jc w:val="both"/>
        <w:rPr>
          <w:lang w:val="en-GB"/>
        </w:rPr>
      </w:pPr>
    </w:p>
    <w:p w14:paraId="4DA81C0A" w14:textId="45852FCF" w:rsidR="00040FFF" w:rsidRDefault="00040FFF" w:rsidP="00C25348">
      <w:pPr>
        <w:spacing w:line="480" w:lineRule="auto"/>
        <w:jc w:val="both"/>
        <w:rPr>
          <w:lang w:val="en-GB"/>
        </w:rPr>
      </w:pPr>
    </w:p>
    <w:p w14:paraId="3EE3E722" w14:textId="77777777" w:rsidR="00C82993" w:rsidRDefault="00C82993" w:rsidP="00C25348">
      <w:pPr>
        <w:spacing w:line="480" w:lineRule="auto"/>
        <w:jc w:val="both"/>
        <w:rPr>
          <w:lang w:val="en-GB"/>
        </w:rPr>
      </w:pPr>
    </w:p>
    <w:p w14:paraId="17706D63" w14:textId="77777777" w:rsidR="00C82993" w:rsidRDefault="00C82993" w:rsidP="00C25348">
      <w:pPr>
        <w:spacing w:line="480" w:lineRule="auto"/>
        <w:jc w:val="both"/>
        <w:rPr>
          <w:lang w:val="en-GB"/>
        </w:rPr>
      </w:pPr>
    </w:p>
    <w:p w14:paraId="455E38C8" w14:textId="77777777" w:rsidR="00C82993" w:rsidRPr="00040FFF" w:rsidRDefault="00C82993" w:rsidP="00C25348">
      <w:pPr>
        <w:spacing w:line="480" w:lineRule="auto"/>
        <w:jc w:val="both"/>
        <w:rPr>
          <w:lang w:val="en-GB"/>
        </w:rPr>
      </w:pPr>
    </w:p>
    <w:p w14:paraId="0CC4D060" w14:textId="662BB6DC" w:rsidR="007C620C" w:rsidRPr="00C82993" w:rsidRDefault="00C25348" w:rsidP="00C25348">
      <w:pPr>
        <w:spacing w:line="480" w:lineRule="auto"/>
        <w:jc w:val="both"/>
        <w:rPr>
          <w:rFonts w:ascii="Arial" w:hAnsi="Arial" w:cs="Arial"/>
          <w:b/>
          <w:bCs/>
          <w:lang w:val="en-GB"/>
        </w:rPr>
      </w:pPr>
      <w:r w:rsidRPr="00C82993">
        <w:rPr>
          <w:rFonts w:ascii="Arial" w:hAnsi="Arial" w:cs="Arial"/>
          <w:b/>
          <w:bCs/>
          <w:lang w:val="en-GB"/>
        </w:rPr>
        <w:lastRenderedPageBreak/>
        <w:t>Reference List</w:t>
      </w:r>
    </w:p>
    <w:p w14:paraId="0043A333" w14:textId="7D43B5DF" w:rsidR="00C25348"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Burman, E. and Chantler, K. (2005). Domestic violence and </w:t>
      </w:r>
      <w:proofErr w:type="spellStart"/>
      <w:r w:rsidRPr="00C82993">
        <w:rPr>
          <w:rFonts w:ascii="Arial" w:eastAsia="Arial" w:hAnsi="Arial" w:cs="Arial"/>
          <w:color w:val="000000" w:themeColor="text1"/>
          <w:lang w:val="en-GB"/>
        </w:rPr>
        <w:t>minoritisation</w:t>
      </w:r>
      <w:proofErr w:type="spellEnd"/>
      <w:r w:rsidRPr="00C82993">
        <w:rPr>
          <w:rFonts w:ascii="Arial" w:eastAsia="Arial" w:hAnsi="Arial" w:cs="Arial"/>
          <w:color w:val="000000" w:themeColor="text1"/>
          <w:lang w:val="en-GB"/>
        </w:rPr>
        <w:t xml:space="preserve">: Legal and policy barriers facing minoritized women leaving violent relationships. International Journal of Law and Psychiatry,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28(1), pp.59–74. </w:t>
      </w:r>
      <w:proofErr w:type="spellStart"/>
      <w:r w:rsidRPr="00C82993">
        <w:rPr>
          <w:rFonts w:ascii="Arial" w:eastAsia="Arial" w:hAnsi="Arial" w:cs="Arial"/>
          <w:color w:val="000000" w:themeColor="text1"/>
          <w:lang w:val="en-GB"/>
        </w:rPr>
        <w:t>doi:</w:t>
      </w:r>
      <w:hyperlink r:id="rId8" w:tgtFrame="_new" w:history="1">
        <w:r w:rsidRPr="00C82993">
          <w:rPr>
            <w:rStyle w:val="Hyperlink"/>
            <w:rFonts w:ascii="Arial" w:eastAsia="Arial" w:hAnsi="Arial" w:cs="Arial"/>
            <w:b/>
            <w:bCs/>
            <w:lang w:val="en-GB"/>
          </w:rPr>
          <w:t>https</w:t>
        </w:r>
        <w:proofErr w:type="spellEnd"/>
        <w:r w:rsidRPr="00C82993">
          <w:rPr>
            <w:rStyle w:val="Hyperlink"/>
            <w:rFonts w:ascii="Arial" w:eastAsia="Arial" w:hAnsi="Arial" w:cs="Arial"/>
            <w:b/>
            <w:bCs/>
            <w:lang w:val="en-GB"/>
          </w:rPr>
          <w:t>://doi.org/10.1016/j.ijlp.2004.12.004</w:t>
        </w:r>
      </w:hyperlink>
      <w:r w:rsidRPr="00C82993">
        <w:rPr>
          <w:rFonts w:ascii="Arial" w:eastAsia="Arial" w:hAnsi="Arial" w:cs="Arial"/>
          <w:color w:val="000000" w:themeColor="text1"/>
          <w:lang w:val="en-GB"/>
        </w:rPr>
        <w:t>.</w:t>
      </w:r>
    </w:p>
    <w:p w14:paraId="3E37E2E7" w14:textId="77777777" w:rsidR="00C82993" w:rsidRPr="00C82993" w:rsidRDefault="00C82993" w:rsidP="00C25348">
      <w:pPr>
        <w:spacing w:line="480" w:lineRule="auto"/>
        <w:jc w:val="both"/>
        <w:rPr>
          <w:rFonts w:ascii="Arial" w:eastAsia="Arial" w:hAnsi="Arial" w:cs="Arial"/>
          <w:color w:val="000000" w:themeColor="text1"/>
          <w:lang w:val="en-GB"/>
        </w:rPr>
      </w:pPr>
    </w:p>
    <w:p w14:paraId="3DD87B72" w14:textId="4230799F" w:rsidR="00C25348"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Burton, M., Evans, R. and Sanders, A. (2007). Vulnerable and Intimidated Witnesses and the Adversarial Process in England and Wales. The International Journal of Evidence &amp; Proof,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11(1), pp.1–23. </w:t>
      </w:r>
      <w:proofErr w:type="spellStart"/>
      <w:r w:rsidRPr="00C82993">
        <w:rPr>
          <w:rFonts w:ascii="Arial" w:eastAsia="Arial" w:hAnsi="Arial" w:cs="Arial"/>
          <w:color w:val="000000" w:themeColor="text1"/>
          <w:lang w:val="en-GB"/>
        </w:rPr>
        <w:t>doi:</w:t>
      </w:r>
      <w:hyperlink r:id="rId9" w:tgtFrame="_new" w:history="1">
        <w:r w:rsidRPr="00C82993">
          <w:rPr>
            <w:rStyle w:val="Hyperlink"/>
            <w:rFonts w:ascii="Arial" w:eastAsia="Arial" w:hAnsi="Arial" w:cs="Arial"/>
            <w:b/>
            <w:bCs/>
            <w:lang w:val="en-GB"/>
          </w:rPr>
          <w:t>https</w:t>
        </w:r>
        <w:proofErr w:type="spellEnd"/>
        <w:r w:rsidRPr="00C82993">
          <w:rPr>
            <w:rStyle w:val="Hyperlink"/>
            <w:rFonts w:ascii="Arial" w:eastAsia="Arial" w:hAnsi="Arial" w:cs="Arial"/>
            <w:b/>
            <w:bCs/>
            <w:lang w:val="en-GB"/>
          </w:rPr>
          <w:t>://doi.org/10.1350/ijep.2006.11.1.1</w:t>
        </w:r>
      </w:hyperlink>
      <w:r w:rsidRPr="00C82993">
        <w:rPr>
          <w:rFonts w:ascii="Arial" w:eastAsia="Arial" w:hAnsi="Arial" w:cs="Arial"/>
          <w:color w:val="000000" w:themeColor="text1"/>
          <w:lang w:val="en-GB"/>
        </w:rPr>
        <w:t>.</w:t>
      </w:r>
    </w:p>
    <w:p w14:paraId="2556E2DA" w14:textId="77777777" w:rsidR="00C82993" w:rsidRPr="00C82993" w:rsidRDefault="00C82993" w:rsidP="00C25348">
      <w:pPr>
        <w:spacing w:line="480" w:lineRule="auto"/>
        <w:jc w:val="both"/>
        <w:rPr>
          <w:rFonts w:ascii="Arial" w:eastAsia="Arial" w:hAnsi="Arial" w:cs="Arial"/>
          <w:color w:val="000000" w:themeColor="text1"/>
          <w:lang w:val="en-GB"/>
        </w:rPr>
      </w:pPr>
    </w:p>
    <w:p w14:paraId="3504ACCB" w14:textId="5AADB631"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Centre for Women's Justice (2014). Centre for Women’s Justice.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Centre for Women’s Justice. Available at: </w:t>
      </w:r>
      <w:hyperlink r:id="rId10" w:tgtFrame="_new" w:history="1">
        <w:r w:rsidRPr="00C82993">
          <w:rPr>
            <w:rStyle w:val="Hyperlink"/>
            <w:rFonts w:ascii="Arial" w:eastAsia="Arial" w:hAnsi="Arial" w:cs="Arial"/>
            <w:b/>
            <w:bCs/>
            <w:lang w:val="en-GB"/>
          </w:rPr>
          <w:t>https://www.centreforwomensjustice.org.uk/ppda</w:t>
        </w:r>
      </w:hyperlink>
      <w:r w:rsidRPr="00C82993">
        <w:rPr>
          <w:rFonts w:ascii="Arial" w:eastAsia="Arial" w:hAnsi="Arial" w:cs="Arial"/>
          <w:color w:val="000000" w:themeColor="text1"/>
          <w:lang w:val="en-GB"/>
        </w:rPr>
        <w:t xml:space="preserv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Accessed 29 Apr. 2026</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w:t>
      </w:r>
    </w:p>
    <w:p w14:paraId="4C1FBF37" w14:textId="77777777" w:rsidR="00C82993" w:rsidRDefault="00C82993" w:rsidP="00C25348">
      <w:pPr>
        <w:spacing w:line="480" w:lineRule="auto"/>
        <w:jc w:val="both"/>
        <w:rPr>
          <w:rFonts w:ascii="Arial" w:eastAsia="Arial" w:hAnsi="Arial" w:cs="Arial"/>
          <w:color w:val="000000" w:themeColor="text1"/>
          <w:lang w:val="en-GB"/>
        </w:rPr>
      </w:pPr>
    </w:p>
    <w:p w14:paraId="0F65AA96" w14:textId="1149827D"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Christie, N. (2018). Revisiting the ‘ideal victim</w:t>
      </w:r>
      <w:proofErr w:type="gramStart"/>
      <w:r w:rsidRPr="00C82993">
        <w:rPr>
          <w:rFonts w:ascii="Arial" w:eastAsia="Arial" w:hAnsi="Arial" w:cs="Arial"/>
          <w:color w:val="000000" w:themeColor="text1"/>
          <w:lang w:val="en-GB"/>
        </w:rPr>
        <w:t>’ :</w:t>
      </w:r>
      <w:proofErr w:type="gramEnd"/>
      <w:r w:rsidRPr="00C82993">
        <w:rPr>
          <w:rFonts w:ascii="Arial" w:eastAsia="Arial" w:hAnsi="Arial" w:cs="Arial"/>
          <w:color w:val="000000" w:themeColor="text1"/>
          <w:lang w:val="en-GB"/>
        </w:rPr>
        <w:t xml:space="preserve"> Developments in Critical Victimology. 1st ed. Bristol: Policy Press.</w:t>
      </w:r>
    </w:p>
    <w:p w14:paraId="48B40186" w14:textId="77777777" w:rsidR="00C82993" w:rsidRDefault="00C82993" w:rsidP="00C25348">
      <w:pPr>
        <w:spacing w:line="480" w:lineRule="auto"/>
        <w:jc w:val="both"/>
        <w:rPr>
          <w:rFonts w:ascii="Arial" w:eastAsia="Arial" w:hAnsi="Arial" w:cs="Arial"/>
          <w:color w:val="000000" w:themeColor="text1"/>
          <w:lang w:val="en-GB"/>
        </w:rPr>
      </w:pPr>
    </w:p>
    <w:p w14:paraId="4A4DF0DE" w14:textId="57A44852"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College Of Policing (2024). Vetting authorised professional practice.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Available at: </w:t>
      </w:r>
      <w:hyperlink r:id="rId11" w:tgtFrame="_new" w:history="1">
        <w:r w:rsidRPr="00C82993">
          <w:rPr>
            <w:rStyle w:val="Hyperlink"/>
            <w:rFonts w:ascii="Arial" w:eastAsia="Arial" w:hAnsi="Arial" w:cs="Arial"/>
            <w:b/>
            <w:bCs/>
            <w:lang w:val="en-GB"/>
          </w:rPr>
          <w:t>https://assets.college.police.uk/s3fs-public/2024-12/Vetting-authorised-professional-practice.pdf</w:t>
        </w:r>
      </w:hyperlink>
      <w:r w:rsidRPr="00C82993">
        <w:rPr>
          <w:rFonts w:ascii="Arial" w:eastAsia="Arial" w:hAnsi="Arial" w:cs="Arial"/>
          <w:color w:val="000000" w:themeColor="text1"/>
          <w:lang w:val="en-GB"/>
        </w:rPr>
        <w:t xml:space="preserv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Accessed 29 Apr. 2026</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w:t>
      </w:r>
    </w:p>
    <w:p w14:paraId="2B1E4D37" w14:textId="48BB995C"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lastRenderedPageBreak/>
        <w:t xml:space="preserve">College of Policing (2022). Vulnerability-related Risks.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College of Policing. Available at: </w:t>
      </w:r>
      <w:hyperlink r:id="rId12" w:tgtFrame="_new" w:history="1">
        <w:r w:rsidRPr="00C82993">
          <w:rPr>
            <w:rStyle w:val="Hyperlink"/>
            <w:rFonts w:ascii="Arial" w:eastAsia="Arial" w:hAnsi="Arial" w:cs="Arial"/>
            <w:b/>
            <w:bCs/>
            <w:lang w:val="en-GB"/>
          </w:rPr>
          <w:t>https://www.college.police.uk/guidance/vulnerability-related-risks</w:t>
        </w:r>
      </w:hyperlink>
      <w:r w:rsidRPr="00C82993">
        <w:rPr>
          <w:rFonts w:ascii="Arial" w:eastAsia="Arial" w:hAnsi="Arial" w:cs="Arial"/>
          <w:color w:val="000000" w:themeColor="text1"/>
          <w:lang w:val="en-GB"/>
        </w:rPr>
        <w:t xml:space="preserv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Accessed 29 Apr. 2026</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w:t>
      </w:r>
    </w:p>
    <w:p w14:paraId="103E18DB" w14:textId="77777777" w:rsidR="00C82993" w:rsidRDefault="00C82993" w:rsidP="00C25348">
      <w:pPr>
        <w:spacing w:line="480" w:lineRule="auto"/>
        <w:jc w:val="both"/>
        <w:rPr>
          <w:rFonts w:ascii="Arial" w:eastAsia="Arial" w:hAnsi="Arial" w:cs="Arial"/>
          <w:color w:val="000000" w:themeColor="text1"/>
          <w:lang w:val="en-GB"/>
        </w:rPr>
      </w:pPr>
    </w:p>
    <w:p w14:paraId="44850548" w14:textId="3CAB3C89"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Cooper, P. and Norton, H. (2017). Vulnerable people and the criminal justice </w:t>
      </w:r>
      <w:proofErr w:type="gramStart"/>
      <w:r w:rsidRPr="00C82993">
        <w:rPr>
          <w:rFonts w:ascii="Arial" w:eastAsia="Arial" w:hAnsi="Arial" w:cs="Arial"/>
          <w:color w:val="000000" w:themeColor="text1"/>
          <w:lang w:val="en-GB"/>
        </w:rPr>
        <w:t>system :</w:t>
      </w:r>
      <w:proofErr w:type="gramEnd"/>
      <w:r w:rsidRPr="00C82993">
        <w:rPr>
          <w:rFonts w:ascii="Arial" w:eastAsia="Arial" w:hAnsi="Arial" w:cs="Arial"/>
          <w:color w:val="000000" w:themeColor="text1"/>
          <w:lang w:val="en-GB"/>
        </w:rPr>
        <w:t xml:space="preserve"> a guide to law and practice. Oxford: Oxford University Press.</w:t>
      </w:r>
    </w:p>
    <w:p w14:paraId="3F85F4A5" w14:textId="77777777" w:rsidR="00C82993" w:rsidRDefault="00C82993" w:rsidP="00C25348">
      <w:pPr>
        <w:spacing w:line="480" w:lineRule="auto"/>
        <w:jc w:val="both"/>
        <w:rPr>
          <w:rFonts w:ascii="Arial" w:eastAsia="Arial" w:hAnsi="Arial" w:cs="Arial"/>
          <w:color w:val="000000" w:themeColor="text1"/>
          <w:lang w:val="en-GB"/>
        </w:rPr>
      </w:pPr>
    </w:p>
    <w:p w14:paraId="3E286DE1" w14:textId="2941DF02"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Critchfield, E., Kennedy, H. and Myhill, A. (2021). Recognising and responding to vulnerability-related risks guidelines Evidence review part two Frontline policing vulnerability risk assessment tools Summary of research findings.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College </w:t>
      </w:r>
      <w:proofErr w:type="gramStart"/>
      <w:r w:rsidRPr="00C82993">
        <w:rPr>
          <w:rFonts w:ascii="Arial" w:eastAsia="Arial" w:hAnsi="Arial" w:cs="Arial"/>
          <w:color w:val="000000" w:themeColor="text1"/>
          <w:lang w:val="en-GB"/>
        </w:rPr>
        <w:t>Of</w:t>
      </w:r>
      <w:proofErr w:type="gramEnd"/>
      <w:r w:rsidRPr="00C82993">
        <w:rPr>
          <w:rFonts w:ascii="Arial" w:eastAsia="Arial" w:hAnsi="Arial" w:cs="Arial"/>
          <w:color w:val="000000" w:themeColor="text1"/>
          <w:lang w:val="en-GB"/>
        </w:rPr>
        <w:t xml:space="preserve"> Policing, pp.25–26. Available at: </w:t>
      </w:r>
      <w:hyperlink r:id="rId13" w:tgtFrame="_new" w:history="1">
        <w:r w:rsidRPr="00C82993">
          <w:rPr>
            <w:rStyle w:val="Hyperlink"/>
            <w:rFonts w:ascii="Arial" w:eastAsia="Arial" w:hAnsi="Arial" w:cs="Arial"/>
            <w:b/>
            <w:bCs/>
            <w:lang w:val="en-GB"/>
          </w:rPr>
          <w:t>https://assets.college.police.uk/s3fs-public/2021-11/Recognising-responding-vulnerability-related-risks-Evidence-review-part-2.pdf</w:t>
        </w:r>
      </w:hyperlink>
      <w:r w:rsidRPr="00C82993">
        <w:rPr>
          <w:rFonts w:ascii="Arial" w:eastAsia="Arial" w:hAnsi="Arial" w:cs="Arial"/>
          <w:color w:val="000000" w:themeColor="text1"/>
          <w:lang w:val="en-GB"/>
        </w:rPr>
        <w:t>.</w:t>
      </w:r>
    </w:p>
    <w:p w14:paraId="5CE845D8" w14:textId="77777777" w:rsidR="00C82993" w:rsidRDefault="00C82993" w:rsidP="00C25348">
      <w:pPr>
        <w:spacing w:line="480" w:lineRule="auto"/>
        <w:jc w:val="both"/>
        <w:rPr>
          <w:rFonts w:ascii="Arial" w:eastAsia="Arial" w:hAnsi="Arial" w:cs="Arial"/>
          <w:color w:val="000000" w:themeColor="text1"/>
          <w:lang w:val="en-GB"/>
        </w:rPr>
      </w:pPr>
    </w:p>
    <w:p w14:paraId="300C1899" w14:textId="792207FB"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Crown Prosecution Service (2019). The Crown Prosecution Service.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The Crown Prosecution Service. Available at: </w:t>
      </w:r>
      <w:hyperlink r:id="rId14" w:tgtFrame="_new" w:history="1">
        <w:r w:rsidRPr="00C82993">
          <w:rPr>
            <w:rStyle w:val="Hyperlink"/>
            <w:rFonts w:ascii="Arial" w:eastAsia="Arial" w:hAnsi="Arial" w:cs="Arial"/>
            <w:b/>
            <w:bCs/>
            <w:lang w:val="en-GB"/>
          </w:rPr>
          <w:t>https://www.cps.gov.uk/</w:t>
        </w:r>
      </w:hyperlink>
      <w:r w:rsidRPr="00C82993">
        <w:rPr>
          <w:rFonts w:ascii="Arial" w:eastAsia="Arial" w:hAnsi="Arial" w:cs="Arial"/>
          <w:color w:val="000000" w:themeColor="text1"/>
          <w:lang w:val="en-GB"/>
        </w:rPr>
        <w:t xml:space="preserv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Accessed 20 Apr. 2026</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w:t>
      </w:r>
    </w:p>
    <w:p w14:paraId="1B8C51B3" w14:textId="77777777" w:rsidR="00C82993" w:rsidRDefault="00C82993" w:rsidP="00C25348">
      <w:pPr>
        <w:spacing w:line="480" w:lineRule="auto"/>
        <w:jc w:val="both"/>
        <w:rPr>
          <w:rFonts w:ascii="Arial" w:eastAsia="Arial" w:hAnsi="Arial" w:cs="Arial"/>
          <w:color w:val="000000" w:themeColor="text1"/>
          <w:lang w:val="en-GB"/>
        </w:rPr>
      </w:pPr>
    </w:p>
    <w:p w14:paraId="5B186079" w14:textId="73E00D6F"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Crown Prosecution Service (2022). CPS data summary Quarter 4 2021-2022 | The Crown Prosecution Service.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w:t>
      </w:r>
      <w:hyperlink r:id="rId15" w:tgtFrame="_new" w:history="1">
        <w:r w:rsidRPr="00C82993">
          <w:rPr>
            <w:rStyle w:val="Hyperlink"/>
            <w:rFonts w:ascii="Arial" w:eastAsia="Arial" w:hAnsi="Arial" w:cs="Arial"/>
            <w:b/>
            <w:bCs/>
            <w:lang w:val="en-GB"/>
          </w:rPr>
          <w:t>www.cps.gov.uk</w:t>
        </w:r>
      </w:hyperlink>
      <w:r w:rsidRPr="00C82993">
        <w:rPr>
          <w:rFonts w:ascii="Arial" w:eastAsia="Arial" w:hAnsi="Arial" w:cs="Arial"/>
          <w:color w:val="000000" w:themeColor="text1"/>
          <w:lang w:val="en-GB"/>
        </w:rPr>
        <w:t xml:space="preserve">. Available at: </w:t>
      </w:r>
      <w:hyperlink r:id="rId16" w:tgtFrame="_new" w:history="1">
        <w:r w:rsidRPr="00C82993">
          <w:rPr>
            <w:rStyle w:val="Hyperlink"/>
            <w:rFonts w:ascii="Arial" w:eastAsia="Arial" w:hAnsi="Arial" w:cs="Arial"/>
            <w:b/>
            <w:bCs/>
            <w:lang w:val="en-GB"/>
          </w:rPr>
          <w:t>https://www.cps.gov.uk/publication/cps-data-summary-quarter-4-2021-2022</w:t>
        </w:r>
      </w:hyperlink>
      <w:r w:rsidRPr="00C82993">
        <w:rPr>
          <w:rFonts w:ascii="Arial" w:eastAsia="Arial" w:hAnsi="Arial" w:cs="Arial"/>
          <w:color w:val="000000" w:themeColor="text1"/>
          <w:lang w:val="en-GB"/>
        </w:rPr>
        <w:t>.</w:t>
      </w:r>
    </w:p>
    <w:p w14:paraId="5139F951" w14:textId="77777777"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lastRenderedPageBreak/>
        <w:t xml:space="preserve">Cuppini, A. (2023). The ‘ideal victim’: A cage for victims’ narratives at the International Criminal Court. Leiden Journal of International Law, 1(1), pp.1–22. </w:t>
      </w:r>
      <w:proofErr w:type="spellStart"/>
      <w:r w:rsidRPr="00C82993">
        <w:rPr>
          <w:rFonts w:ascii="Arial" w:eastAsia="Arial" w:hAnsi="Arial" w:cs="Arial"/>
          <w:color w:val="000000" w:themeColor="text1"/>
          <w:lang w:val="en-GB"/>
        </w:rPr>
        <w:t>doi:</w:t>
      </w:r>
      <w:hyperlink r:id="rId17" w:tgtFrame="_new" w:history="1">
        <w:r w:rsidRPr="00C82993">
          <w:rPr>
            <w:rStyle w:val="Hyperlink"/>
            <w:rFonts w:ascii="Arial" w:eastAsia="Arial" w:hAnsi="Arial" w:cs="Arial"/>
            <w:b/>
            <w:bCs/>
            <w:lang w:val="en-GB"/>
          </w:rPr>
          <w:t>https</w:t>
        </w:r>
        <w:proofErr w:type="spellEnd"/>
        <w:r w:rsidRPr="00C82993">
          <w:rPr>
            <w:rStyle w:val="Hyperlink"/>
            <w:rFonts w:ascii="Arial" w:eastAsia="Arial" w:hAnsi="Arial" w:cs="Arial"/>
            <w:b/>
            <w:bCs/>
            <w:lang w:val="en-GB"/>
          </w:rPr>
          <w:t>://doi.org/10.1017/s0922156523000651</w:t>
        </w:r>
      </w:hyperlink>
      <w:r w:rsidRPr="00C82993">
        <w:rPr>
          <w:rFonts w:ascii="Arial" w:eastAsia="Arial" w:hAnsi="Arial" w:cs="Arial"/>
          <w:color w:val="000000" w:themeColor="text1"/>
          <w:lang w:val="en-GB"/>
        </w:rPr>
        <w:t>.</w:t>
      </w:r>
    </w:p>
    <w:p w14:paraId="7E586D88" w14:textId="77777777" w:rsidR="00C82993" w:rsidRDefault="00C82993" w:rsidP="00C25348">
      <w:pPr>
        <w:spacing w:line="480" w:lineRule="auto"/>
        <w:jc w:val="both"/>
        <w:rPr>
          <w:rFonts w:ascii="Arial" w:eastAsia="Arial" w:hAnsi="Arial" w:cs="Arial"/>
          <w:color w:val="000000" w:themeColor="text1"/>
          <w:lang w:val="en-GB"/>
        </w:rPr>
      </w:pPr>
    </w:p>
    <w:p w14:paraId="381E7FD4" w14:textId="7126F380"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Ellison, L. and Munro, V.E. (2013). Better the Devil You Know? ‘Real Rape’ Stereotypes and the Relevance of a Previous Relationship in (Mock) Juror Deliberations. The International Journal of Evidence &amp; Proof, 17(4), pp.299–322. </w:t>
      </w:r>
      <w:proofErr w:type="spellStart"/>
      <w:proofErr w:type="gramStart"/>
      <w:r w:rsidRPr="00C82993">
        <w:rPr>
          <w:rFonts w:ascii="Arial" w:eastAsia="Arial" w:hAnsi="Arial" w:cs="Arial"/>
          <w:color w:val="000000" w:themeColor="text1"/>
          <w:lang w:val="en-GB"/>
        </w:rPr>
        <w:t>doi:https</w:t>
      </w:r>
      <w:proofErr w:type="spellEnd"/>
      <w:r w:rsidRPr="00C82993">
        <w:rPr>
          <w:rFonts w:ascii="Arial" w:eastAsia="Arial" w:hAnsi="Arial" w:cs="Arial"/>
          <w:color w:val="000000" w:themeColor="text1"/>
          <w:lang w:val="en-GB"/>
        </w:rPr>
        <w:t>://doi.org/10.1350/ijep.2013.17.4.433</w:t>
      </w:r>
      <w:proofErr w:type="gramEnd"/>
      <w:r w:rsidRPr="00C82993">
        <w:rPr>
          <w:rFonts w:ascii="Arial" w:eastAsia="Arial" w:hAnsi="Arial" w:cs="Arial"/>
          <w:color w:val="000000" w:themeColor="text1"/>
          <w:lang w:val="en-GB"/>
        </w:rPr>
        <w:t>.</w:t>
      </w:r>
    </w:p>
    <w:p w14:paraId="398584F0" w14:textId="77777777" w:rsidR="00C82993" w:rsidRDefault="00C82993" w:rsidP="00C25348">
      <w:pPr>
        <w:spacing w:line="480" w:lineRule="auto"/>
        <w:jc w:val="both"/>
        <w:rPr>
          <w:rFonts w:ascii="Arial" w:eastAsia="Arial" w:hAnsi="Arial" w:cs="Arial"/>
          <w:color w:val="000000" w:themeColor="text1"/>
          <w:lang w:val="en-GB"/>
        </w:rPr>
      </w:pPr>
    </w:p>
    <w:p w14:paraId="051AB4F9" w14:textId="1B7331CC"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Equality and Human Rights Commission (2022). Police Race Action Plan: Improving policing for Black people.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Live.com. Available at: </w:t>
      </w:r>
      <w:hyperlink r:id="rId18" w:tgtFrame="_new" w:history="1">
        <w:r w:rsidRPr="00C82993">
          <w:rPr>
            <w:rStyle w:val="Hyperlink"/>
            <w:rFonts w:ascii="Arial" w:eastAsia="Arial" w:hAnsi="Arial" w:cs="Arial"/>
            <w:b/>
            <w:bCs/>
            <w:lang w:val="en-GB"/>
          </w:rPr>
          <w:t>https://view.officeapps.live.com/op/view.aspx?src=https%3A%2F%2Fwww.equalityhumanrights.com%2Fsites%2Fdefault%2Ffiles%2Fconsultation-response-police-race-action-plan-august-2022.docx&amp;wdOrigin=BROWSELINK</w:t>
        </w:r>
      </w:hyperlink>
      <w:r w:rsidRPr="00C82993">
        <w:rPr>
          <w:rFonts w:ascii="Arial" w:eastAsia="Arial" w:hAnsi="Arial" w:cs="Arial"/>
          <w:color w:val="000000" w:themeColor="text1"/>
          <w:lang w:val="en-GB"/>
        </w:rPr>
        <w:t xml:space="preserv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Accessed 29 Apr. 2026</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w:t>
      </w:r>
    </w:p>
    <w:p w14:paraId="70CB29B9" w14:textId="77777777" w:rsidR="00C82993" w:rsidRDefault="00C82993" w:rsidP="00C25348">
      <w:pPr>
        <w:spacing w:line="480" w:lineRule="auto"/>
        <w:jc w:val="both"/>
        <w:rPr>
          <w:rFonts w:ascii="Arial" w:eastAsia="Arial" w:hAnsi="Arial" w:cs="Arial"/>
          <w:color w:val="000000" w:themeColor="text1"/>
          <w:lang w:val="en-GB"/>
        </w:rPr>
      </w:pPr>
    </w:p>
    <w:p w14:paraId="6C9D5679" w14:textId="5249B5AA"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Fricker, M. (2007). Epistemic injustice: Power and the Ethics of Knowing. Oxford: Oxford University Press.</w:t>
      </w:r>
    </w:p>
    <w:p w14:paraId="2834532C" w14:textId="77777777" w:rsidR="00C82993" w:rsidRDefault="00C82993" w:rsidP="00C25348">
      <w:pPr>
        <w:spacing w:line="480" w:lineRule="auto"/>
        <w:jc w:val="both"/>
        <w:rPr>
          <w:rFonts w:ascii="Arial" w:eastAsia="Arial" w:hAnsi="Arial" w:cs="Arial"/>
          <w:color w:val="000000" w:themeColor="text1"/>
          <w:lang w:val="en-GB"/>
        </w:rPr>
      </w:pPr>
    </w:p>
    <w:p w14:paraId="6B0B4BA0" w14:textId="262C03AF"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lastRenderedPageBreak/>
        <w:t xml:space="preserve">Gov.UK (1999). Youth Justice and Criminal Evidence Act 1999.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Legislation.gov.uk. Available at: </w:t>
      </w:r>
      <w:hyperlink r:id="rId19" w:tgtFrame="_new" w:history="1">
        <w:r w:rsidRPr="00C82993">
          <w:rPr>
            <w:rStyle w:val="Hyperlink"/>
            <w:rFonts w:ascii="Arial" w:eastAsia="Arial" w:hAnsi="Arial" w:cs="Arial"/>
            <w:b/>
            <w:bCs/>
            <w:lang w:val="en-GB"/>
          </w:rPr>
          <w:t>https://www.legislation.gov.uk/ukpga/1999/23/contents</w:t>
        </w:r>
      </w:hyperlink>
      <w:r w:rsidRPr="00C82993">
        <w:rPr>
          <w:rFonts w:ascii="Arial" w:eastAsia="Arial" w:hAnsi="Arial" w:cs="Arial"/>
          <w:color w:val="000000" w:themeColor="text1"/>
          <w:lang w:val="en-GB"/>
        </w:rPr>
        <w:t xml:space="preserv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Accessed 1 May 2026</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w:t>
      </w:r>
    </w:p>
    <w:p w14:paraId="7036ECAA" w14:textId="77777777" w:rsidR="00C82993" w:rsidRDefault="00C82993" w:rsidP="00C25348">
      <w:pPr>
        <w:spacing w:line="480" w:lineRule="auto"/>
        <w:jc w:val="both"/>
        <w:rPr>
          <w:rFonts w:ascii="Arial" w:eastAsia="Arial" w:hAnsi="Arial" w:cs="Arial"/>
          <w:color w:val="000000" w:themeColor="text1"/>
          <w:lang w:val="en-GB"/>
        </w:rPr>
      </w:pPr>
    </w:p>
    <w:p w14:paraId="2B613A14" w14:textId="7681B1B9"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HM Government (2018). Victims Strategy.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Available at: </w:t>
      </w:r>
      <w:hyperlink r:id="rId20" w:tgtFrame="_new" w:history="1">
        <w:r w:rsidRPr="00C82993">
          <w:rPr>
            <w:rStyle w:val="Hyperlink"/>
            <w:rFonts w:ascii="Arial" w:eastAsia="Arial" w:hAnsi="Arial" w:cs="Arial"/>
            <w:b/>
            <w:bCs/>
            <w:lang w:val="en-GB"/>
          </w:rPr>
          <w:t>https://assets.publishing.service.gov.uk/media/5bbca235ed915d23aa4c2e2d/victim-strategy.pdf</w:t>
        </w:r>
      </w:hyperlink>
      <w:r w:rsidRPr="00C82993">
        <w:rPr>
          <w:rFonts w:ascii="Arial" w:eastAsia="Arial" w:hAnsi="Arial" w:cs="Arial"/>
          <w:color w:val="000000" w:themeColor="text1"/>
          <w:lang w:val="en-GB"/>
        </w:rPr>
        <w:t>.</w:t>
      </w:r>
    </w:p>
    <w:p w14:paraId="64BFE6B0" w14:textId="77777777" w:rsidR="00C82993" w:rsidRDefault="00C82993" w:rsidP="00C25348">
      <w:pPr>
        <w:spacing w:line="480" w:lineRule="auto"/>
        <w:jc w:val="both"/>
        <w:rPr>
          <w:rFonts w:ascii="Arial" w:eastAsia="Arial" w:hAnsi="Arial" w:cs="Arial"/>
          <w:color w:val="000000" w:themeColor="text1"/>
          <w:lang w:val="en-GB"/>
        </w:rPr>
      </w:pPr>
    </w:p>
    <w:p w14:paraId="4BFDDBF8" w14:textId="73D9193A"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HMICFRS (2021). Police response to violence against women and girls - Final inspection report.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His Majesty’s Inspectorate of Constabulary and Fire &amp; Rescue Services. Available at: </w:t>
      </w:r>
      <w:hyperlink r:id="rId21" w:tgtFrame="_new" w:history="1">
        <w:r w:rsidRPr="00C82993">
          <w:rPr>
            <w:rStyle w:val="Hyperlink"/>
            <w:rFonts w:ascii="Arial" w:eastAsia="Arial" w:hAnsi="Arial" w:cs="Arial"/>
            <w:b/>
            <w:bCs/>
            <w:lang w:val="en-GB"/>
          </w:rPr>
          <w:t>https://hmicfrs.justiceinspectorates.gov.uk/publications/police-response-to-violence-against-women-and-girls/</w:t>
        </w:r>
      </w:hyperlink>
      <w:r w:rsidRPr="00C82993">
        <w:rPr>
          <w:rFonts w:ascii="Arial" w:eastAsia="Arial" w:hAnsi="Arial" w:cs="Arial"/>
          <w:color w:val="000000" w:themeColor="text1"/>
          <w:lang w:val="en-GB"/>
        </w:rPr>
        <w:t xml:space="preserv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Accessed 29 Apr. 2026</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w:t>
      </w:r>
    </w:p>
    <w:p w14:paraId="2F3CADBB" w14:textId="77777777" w:rsidR="00C82993" w:rsidRDefault="00C82993" w:rsidP="00C25348">
      <w:pPr>
        <w:spacing w:line="480" w:lineRule="auto"/>
        <w:jc w:val="both"/>
        <w:rPr>
          <w:rFonts w:ascii="Arial" w:eastAsia="Arial" w:hAnsi="Arial" w:cs="Arial"/>
          <w:color w:val="000000" w:themeColor="text1"/>
          <w:lang w:val="en-GB"/>
        </w:rPr>
      </w:pPr>
    </w:p>
    <w:p w14:paraId="64EC969A" w14:textId="0A0F0C75"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Home Office (2021). Home Office and Police data sharing arrangements on migrant victims and witnesses of crime with insecure immigration status.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Available at: </w:t>
      </w:r>
      <w:hyperlink r:id="rId22" w:tgtFrame="_new" w:history="1">
        <w:r w:rsidRPr="00C82993">
          <w:rPr>
            <w:rStyle w:val="Hyperlink"/>
            <w:rFonts w:ascii="Arial" w:eastAsia="Arial" w:hAnsi="Arial" w:cs="Arial"/>
            <w:b/>
            <w:bCs/>
            <w:lang w:val="en-GB"/>
          </w:rPr>
          <w:t>https://www.libertyhumanrights.org.uk/wp-content/uploads/2020/03/HO_Review_Police_and_HO_data_sharing_migrant_victims-LTC2022030914543737.pdf</w:t>
        </w:r>
      </w:hyperlink>
      <w:r w:rsidRPr="00C82993">
        <w:rPr>
          <w:rFonts w:ascii="Arial" w:eastAsia="Arial" w:hAnsi="Arial" w:cs="Arial"/>
          <w:color w:val="000000" w:themeColor="text1"/>
          <w:lang w:val="en-GB"/>
        </w:rPr>
        <w:t>.</w:t>
      </w:r>
    </w:p>
    <w:p w14:paraId="7BEB1E98" w14:textId="77777777" w:rsidR="00C82993" w:rsidRDefault="00C82993" w:rsidP="00C25348">
      <w:pPr>
        <w:spacing w:line="480" w:lineRule="auto"/>
        <w:jc w:val="both"/>
        <w:rPr>
          <w:rFonts w:ascii="Arial" w:eastAsia="Arial" w:hAnsi="Arial" w:cs="Arial"/>
          <w:color w:val="000000" w:themeColor="text1"/>
          <w:lang w:val="en-GB"/>
        </w:rPr>
      </w:pPr>
    </w:p>
    <w:p w14:paraId="635A8628" w14:textId="272F15A5"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lastRenderedPageBreak/>
        <w:t xml:space="preserve">Home Office (2021). Tackling Violence against Women and Girls Strategy.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GOV.UK. Available at: </w:t>
      </w:r>
      <w:hyperlink r:id="rId23" w:tgtFrame="_new" w:history="1">
        <w:r w:rsidRPr="00C82993">
          <w:rPr>
            <w:rStyle w:val="Hyperlink"/>
            <w:rFonts w:ascii="Arial" w:eastAsia="Arial" w:hAnsi="Arial" w:cs="Arial"/>
            <w:b/>
            <w:bCs/>
            <w:lang w:val="en-GB"/>
          </w:rPr>
          <w:t>https://www.gov.uk/government/publications/tackling-violence-against-women-and-girls-strategy</w:t>
        </w:r>
      </w:hyperlink>
      <w:r w:rsidRPr="00C82993">
        <w:rPr>
          <w:rFonts w:ascii="Arial" w:eastAsia="Arial" w:hAnsi="Arial" w:cs="Arial"/>
          <w:color w:val="000000" w:themeColor="text1"/>
          <w:lang w:val="en-GB"/>
        </w:rPr>
        <w:t xml:space="preserv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Accessed 20 Apr. 2026</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w:t>
      </w:r>
    </w:p>
    <w:p w14:paraId="09A33732" w14:textId="77777777" w:rsidR="00C82993" w:rsidRDefault="00C82993" w:rsidP="00C25348">
      <w:pPr>
        <w:spacing w:line="480" w:lineRule="auto"/>
        <w:jc w:val="both"/>
        <w:rPr>
          <w:rFonts w:ascii="Arial" w:eastAsia="Arial" w:hAnsi="Arial" w:cs="Arial"/>
          <w:color w:val="000000" w:themeColor="text1"/>
          <w:lang w:val="en-GB"/>
        </w:rPr>
      </w:pPr>
    </w:p>
    <w:p w14:paraId="22D9A22C" w14:textId="396FB89E" w:rsidR="00C25348" w:rsidRPr="00C82993" w:rsidRDefault="00C25348" w:rsidP="00C25348">
      <w:pPr>
        <w:spacing w:line="480" w:lineRule="auto"/>
        <w:jc w:val="both"/>
        <w:rPr>
          <w:rFonts w:ascii="Arial" w:eastAsia="Arial" w:hAnsi="Arial" w:cs="Arial"/>
          <w:color w:val="000000" w:themeColor="text1"/>
          <w:lang w:val="en-GB"/>
        </w:rPr>
      </w:pPr>
      <w:proofErr w:type="gramStart"/>
      <w:r w:rsidRPr="00C82993">
        <w:rPr>
          <w:rFonts w:ascii="Arial" w:eastAsia="Arial" w:hAnsi="Arial" w:cs="Arial"/>
          <w:color w:val="000000" w:themeColor="text1"/>
          <w:lang w:val="en-GB"/>
        </w:rPr>
        <w:t>Jackson ,</w:t>
      </w:r>
      <w:proofErr w:type="gramEnd"/>
      <w:r w:rsidRPr="00C82993">
        <w:rPr>
          <w:rFonts w:ascii="Arial" w:eastAsia="Arial" w:hAnsi="Arial" w:cs="Arial"/>
          <w:color w:val="000000" w:themeColor="text1"/>
          <w:lang w:val="en-GB"/>
        </w:rPr>
        <w:t xml:space="preserve"> P. (2024). Mapping the changing face of cross-examination in criminal trials - Nuffield Foundation.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Nuffield Foundation. Available at: </w:t>
      </w:r>
      <w:hyperlink r:id="rId24" w:tgtFrame="_new" w:history="1">
        <w:r w:rsidRPr="00C82993">
          <w:rPr>
            <w:rStyle w:val="Hyperlink"/>
            <w:rFonts w:ascii="Arial" w:eastAsia="Arial" w:hAnsi="Arial" w:cs="Arial"/>
            <w:b/>
            <w:bCs/>
            <w:lang w:val="en-GB"/>
          </w:rPr>
          <w:t>https://www.nuffieldfoundation.org/project/changing-face-of-cross-examination-in-criminal-trials</w:t>
        </w:r>
      </w:hyperlink>
      <w:r w:rsidRPr="00C82993">
        <w:rPr>
          <w:rFonts w:ascii="Arial" w:eastAsia="Arial" w:hAnsi="Arial" w:cs="Arial"/>
          <w:color w:val="000000" w:themeColor="text1"/>
          <w:lang w:val="en-GB"/>
        </w:rPr>
        <w:t>.</w:t>
      </w:r>
    </w:p>
    <w:p w14:paraId="08F892F9" w14:textId="77777777" w:rsidR="00C82993" w:rsidRDefault="00C82993" w:rsidP="00C25348">
      <w:pPr>
        <w:spacing w:line="480" w:lineRule="auto"/>
        <w:jc w:val="both"/>
        <w:rPr>
          <w:rFonts w:ascii="Arial" w:eastAsia="Arial" w:hAnsi="Arial" w:cs="Arial"/>
          <w:color w:val="000000" w:themeColor="text1"/>
          <w:lang w:val="en-GB"/>
        </w:rPr>
      </w:pPr>
    </w:p>
    <w:p w14:paraId="122F2C35" w14:textId="55892260"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Keay, S. (2023). How do the police define, identify, and respond to vulnerability? CLOK (University of Central Lancashire). </w:t>
      </w:r>
      <w:proofErr w:type="spellStart"/>
      <w:r w:rsidRPr="00C82993">
        <w:rPr>
          <w:rFonts w:ascii="Arial" w:eastAsia="Arial" w:hAnsi="Arial" w:cs="Arial"/>
          <w:color w:val="000000" w:themeColor="text1"/>
          <w:lang w:val="en-GB"/>
        </w:rPr>
        <w:t>doi:</w:t>
      </w:r>
      <w:hyperlink r:id="rId25" w:tgtFrame="_new" w:history="1">
        <w:r w:rsidRPr="00C82993">
          <w:rPr>
            <w:rStyle w:val="Hyperlink"/>
            <w:rFonts w:ascii="Arial" w:eastAsia="Arial" w:hAnsi="Arial" w:cs="Arial"/>
            <w:b/>
            <w:bCs/>
            <w:lang w:val="en-GB"/>
          </w:rPr>
          <w:t>https</w:t>
        </w:r>
        <w:proofErr w:type="spellEnd"/>
        <w:r w:rsidRPr="00C82993">
          <w:rPr>
            <w:rStyle w:val="Hyperlink"/>
            <w:rFonts w:ascii="Arial" w:eastAsia="Arial" w:hAnsi="Arial" w:cs="Arial"/>
            <w:b/>
            <w:bCs/>
            <w:lang w:val="en-GB"/>
          </w:rPr>
          <w:t>://doi.org/10.17030/uclan.thesis.00052938</w:t>
        </w:r>
      </w:hyperlink>
      <w:r w:rsidRPr="00C82993">
        <w:rPr>
          <w:rFonts w:ascii="Arial" w:eastAsia="Arial" w:hAnsi="Arial" w:cs="Arial"/>
          <w:color w:val="000000" w:themeColor="text1"/>
          <w:lang w:val="en-GB"/>
        </w:rPr>
        <w:t>.</w:t>
      </w:r>
    </w:p>
    <w:p w14:paraId="64104F06" w14:textId="77777777" w:rsidR="00C82993" w:rsidRDefault="00C82993" w:rsidP="00C25348">
      <w:pPr>
        <w:spacing w:line="480" w:lineRule="auto"/>
        <w:jc w:val="both"/>
        <w:rPr>
          <w:rFonts w:ascii="Arial" w:eastAsia="Arial" w:hAnsi="Arial" w:cs="Arial"/>
          <w:color w:val="000000" w:themeColor="text1"/>
          <w:lang w:val="en-GB"/>
        </w:rPr>
      </w:pPr>
    </w:p>
    <w:p w14:paraId="36BFA5E7" w14:textId="432B029E" w:rsidR="00C25348" w:rsidRPr="00C82993" w:rsidRDefault="00C25348" w:rsidP="00C25348">
      <w:pPr>
        <w:spacing w:line="480" w:lineRule="auto"/>
        <w:jc w:val="both"/>
        <w:rPr>
          <w:rFonts w:ascii="Arial" w:eastAsia="Arial" w:hAnsi="Arial" w:cs="Arial"/>
          <w:color w:val="000000" w:themeColor="text1"/>
          <w:lang w:val="en-GB"/>
        </w:rPr>
      </w:pPr>
      <w:proofErr w:type="spellStart"/>
      <w:r w:rsidRPr="00C82993">
        <w:rPr>
          <w:rFonts w:ascii="Arial" w:eastAsia="Arial" w:hAnsi="Arial" w:cs="Arial"/>
          <w:color w:val="000000" w:themeColor="text1"/>
          <w:lang w:val="en-GB"/>
        </w:rPr>
        <w:t>Kösl</w:t>
      </w:r>
      <w:proofErr w:type="spellEnd"/>
      <w:r w:rsidRPr="00C82993">
        <w:rPr>
          <w:rFonts w:ascii="Arial" w:eastAsia="Arial" w:hAnsi="Arial" w:cs="Arial"/>
          <w:color w:val="000000" w:themeColor="text1"/>
          <w:lang w:val="en-GB"/>
        </w:rPr>
        <w:t xml:space="preserve">, C., Korntheuer, A. and </w:t>
      </w:r>
      <w:proofErr w:type="spellStart"/>
      <w:r w:rsidRPr="00C82993">
        <w:rPr>
          <w:rFonts w:ascii="Arial" w:eastAsia="Arial" w:hAnsi="Arial" w:cs="Arial"/>
          <w:color w:val="000000" w:themeColor="text1"/>
          <w:lang w:val="en-GB"/>
        </w:rPr>
        <w:t>Surzykiewicz</w:t>
      </w:r>
      <w:proofErr w:type="spellEnd"/>
      <w:r w:rsidRPr="00C82993">
        <w:rPr>
          <w:rFonts w:ascii="Arial" w:eastAsia="Arial" w:hAnsi="Arial" w:cs="Arial"/>
          <w:color w:val="000000" w:themeColor="text1"/>
          <w:lang w:val="en-GB"/>
        </w:rPr>
        <w:t xml:space="preserve">, J. (2025). Not vulnerable enough for victim support?! Advancing the formal identification of human trafficking for labour exploitation through a multidimensional vulnerability approach. International Review of Victimology, 32(1). </w:t>
      </w:r>
      <w:proofErr w:type="spellStart"/>
      <w:r w:rsidRPr="00C82993">
        <w:rPr>
          <w:rFonts w:ascii="Arial" w:eastAsia="Arial" w:hAnsi="Arial" w:cs="Arial"/>
          <w:color w:val="000000" w:themeColor="text1"/>
          <w:lang w:val="en-GB"/>
        </w:rPr>
        <w:t>doi:</w:t>
      </w:r>
      <w:hyperlink r:id="rId26" w:tgtFrame="_new" w:history="1">
        <w:r w:rsidRPr="00C82993">
          <w:rPr>
            <w:rStyle w:val="Hyperlink"/>
            <w:rFonts w:ascii="Arial" w:eastAsia="Arial" w:hAnsi="Arial" w:cs="Arial"/>
            <w:b/>
            <w:bCs/>
            <w:lang w:val="en-GB"/>
          </w:rPr>
          <w:t>https</w:t>
        </w:r>
        <w:proofErr w:type="spellEnd"/>
        <w:r w:rsidRPr="00C82993">
          <w:rPr>
            <w:rStyle w:val="Hyperlink"/>
            <w:rFonts w:ascii="Arial" w:eastAsia="Arial" w:hAnsi="Arial" w:cs="Arial"/>
            <w:b/>
            <w:bCs/>
            <w:lang w:val="en-GB"/>
          </w:rPr>
          <w:t>://doi.org/10.1177/02697580251369522</w:t>
        </w:r>
      </w:hyperlink>
      <w:r w:rsidRPr="00C82993">
        <w:rPr>
          <w:rFonts w:ascii="Arial" w:eastAsia="Arial" w:hAnsi="Arial" w:cs="Arial"/>
          <w:color w:val="000000" w:themeColor="text1"/>
          <w:lang w:val="en-GB"/>
        </w:rPr>
        <w:t>.</w:t>
      </w:r>
    </w:p>
    <w:p w14:paraId="06E0EAA7" w14:textId="77777777" w:rsidR="00C82993" w:rsidRDefault="00C82993" w:rsidP="009E4727">
      <w:pPr>
        <w:spacing w:line="480" w:lineRule="auto"/>
        <w:jc w:val="both"/>
        <w:rPr>
          <w:rFonts w:ascii="Arial" w:eastAsia="Arial" w:hAnsi="Arial" w:cs="Arial"/>
          <w:color w:val="000000" w:themeColor="text1"/>
          <w:lang w:val="en-GB"/>
        </w:rPr>
      </w:pPr>
    </w:p>
    <w:p w14:paraId="09FC8344" w14:textId="60B47B09" w:rsidR="009E4727" w:rsidRPr="00C82993" w:rsidRDefault="009E4727" w:rsidP="009E4727">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Levine, J.R. (2025). Whose victimization pays? Policing innocent victimhood in victim compensation law. </w:t>
      </w:r>
      <w:r w:rsidRPr="00C82993">
        <w:rPr>
          <w:rFonts w:ascii="Arial" w:eastAsia="Arial" w:hAnsi="Arial" w:cs="Arial"/>
          <w:i/>
          <w:iCs/>
          <w:color w:val="000000" w:themeColor="text1"/>
          <w:lang w:val="en-GB"/>
        </w:rPr>
        <w:t>Law &amp; Society Review</w:t>
      </w:r>
      <w:r w:rsidRPr="00C82993">
        <w:rPr>
          <w:rFonts w:ascii="Arial" w:eastAsia="Arial" w:hAnsi="Arial" w:cs="Arial"/>
          <w:color w:val="000000" w:themeColor="text1"/>
          <w:lang w:val="en-GB"/>
        </w:rPr>
        <w:t xml:space="preserve">, 59(4), pp.1–37. </w:t>
      </w:r>
      <w:proofErr w:type="spellStart"/>
      <w:proofErr w:type="gramStart"/>
      <w:r w:rsidRPr="00C82993">
        <w:rPr>
          <w:rFonts w:ascii="Arial" w:eastAsia="Arial" w:hAnsi="Arial" w:cs="Arial"/>
          <w:color w:val="000000" w:themeColor="text1"/>
          <w:lang w:val="en-GB"/>
        </w:rPr>
        <w:t>doi:https</w:t>
      </w:r>
      <w:proofErr w:type="spellEnd"/>
      <w:r w:rsidRPr="00C82993">
        <w:rPr>
          <w:rFonts w:ascii="Arial" w:eastAsia="Arial" w:hAnsi="Arial" w:cs="Arial"/>
          <w:color w:val="000000" w:themeColor="text1"/>
          <w:lang w:val="en-GB"/>
        </w:rPr>
        <w:t>://doi.org/10.1017/lsr.2025.10046</w:t>
      </w:r>
      <w:proofErr w:type="gramEnd"/>
      <w:r w:rsidRPr="00C82993">
        <w:rPr>
          <w:rFonts w:ascii="Arial" w:eastAsia="Arial" w:hAnsi="Arial" w:cs="Arial"/>
          <w:color w:val="000000" w:themeColor="text1"/>
          <w:lang w:val="en-GB"/>
        </w:rPr>
        <w:t>.</w:t>
      </w:r>
    </w:p>
    <w:p w14:paraId="7731D4A7" w14:textId="77777777" w:rsidR="009E4727" w:rsidRPr="00C82993" w:rsidRDefault="009E4727" w:rsidP="00C25348">
      <w:pPr>
        <w:spacing w:line="480" w:lineRule="auto"/>
        <w:jc w:val="both"/>
        <w:rPr>
          <w:rFonts w:ascii="Arial" w:eastAsia="Arial" w:hAnsi="Arial" w:cs="Arial"/>
          <w:color w:val="000000" w:themeColor="text1"/>
          <w:lang w:val="en-GB"/>
        </w:rPr>
      </w:pPr>
    </w:p>
    <w:p w14:paraId="714C4EAE" w14:textId="77777777"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lastRenderedPageBreak/>
        <w:t xml:space="preserve">McGlynn, C. and </w:t>
      </w:r>
      <w:proofErr w:type="spellStart"/>
      <w:r w:rsidRPr="00C82993">
        <w:rPr>
          <w:rFonts w:ascii="Arial" w:eastAsia="Arial" w:hAnsi="Arial" w:cs="Arial"/>
          <w:color w:val="000000" w:themeColor="text1"/>
          <w:lang w:val="en-GB"/>
        </w:rPr>
        <w:t>Westmarland</w:t>
      </w:r>
      <w:proofErr w:type="spellEnd"/>
      <w:r w:rsidRPr="00C82993">
        <w:rPr>
          <w:rFonts w:ascii="Arial" w:eastAsia="Arial" w:hAnsi="Arial" w:cs="Arial"/>
          <w:color w:val="000000" w:themeColor="text1"/>
          <w:lang w:val="en-GB"/>
        </w:rPr>
        <w:t>, N. (2019). Kaleidoscopic Justice: Sexual Violence and Victim-Survivors’ Perceptions of Justice. Social &amp; Legal Studies, 28(2), pp.179–201.</w:t>
      </w:r>
    </w:p>
    <w:p w14:paraId="1D93E865" w14:textId="77777777" w:rsidR="00C82993" w:rsidRDefault="00C82993" w:rsidP="00C25348">
      <w:pPr>
        <w:spacing w:line="480" w:lineRule="auto"/>
        <w:jc w:val="both"/>
        <w:rPr>
          <w:rFonts w:ascii="Arial" w:eastAsia="Arial" w:hAnsi="Arial" w:cs="Arial"/>
          <w:color w:val="000000" w:themeColor="text1"/>
          <w:lang w:val="en-GB"/>
        </w:rPr>
      </w:pPr>
    </w:p>
    <w:p w14:paraId="17735928" w14:textId="3F9E1134" w:rsidR="00C25348" w:rsidRPr="00C82993" w:rsidRDefault="00C25348" w:rsidP="00C25348">
      <w:pPr>
        <w:spacing w:line="480" w:lineRule="auto"/>
        <w:jc w:val="both"/>
        <w:rPr>
          <w:rFonts w:ascii="Arial" w:eastAsia="Arial" w:hAnsi="Arial" w:cs="Arial"/>
          <w:color w:val="000000" w:themeColor="text1"/>
          <w:lang w:val="en-GB"/>
        </w:rPr>
      </w:pPr>
      <w:proofErr w:type="spellStart"/>
      <w:r w:rsidRPr="00C82993">
        <w:rPr>
          <w:rFonts w:ascii="Arial" w:eastAsia="Arial" w:hAnsi="Arial" w:cs="Arial"/>
          <w:color w:val="000000" w:themeColor="text1"/>
          <w:lang w:val="en-GB"/>
        </w:rPr>
        <w:t>Metson</w:t>
      </w:r>
      <w:proofErr w:type="spellEnd"/>
      <w:r w:rsidRPr="00C82993">
        <w:rPr>
          <w:rFonts w:ascii="Arial" w:eastAsia="Arial" w:hAnsi="Arial" w:cs="Arial"/>
          <w:color w:val="000000" w:themeColor="text1"/>
          <w:lang w:val="en-GB"/>
        </w:rPr>
        <w:t xml:space="preserve">, J. and Willmott, D. (2024). Victim Care or Defendant Rights? Assessing Public Attitudes towards Special Measures Designed to Support Vulnerable Witnesses at Trial. Social sciences (Basel),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13(4), pp.198–198. </w:t>
      </w:r>
      <w:proofErr w:type="spellStart"/>
      <w:r w:rsidRPr="00C82993">
        <w:rPr>
          <w:rFonts w:ascii="Arial" w:eastAsia="Arial" w:hAnsi="Arial" w:cs="Arial"/>
          <w:color w:val="000000" w:themeColor="text1"/>
          <w:lang w:val="en-GB"/>
        </w:rPr>
        <w:t>doi:</w:t>
      </w:r>
      <w:hyperlink r:id="rId27" w:tgtFrame="_new" w:history="1">
        <w:r w:rsidRPr="00C82993">
          <w:rPr>
            <w:rStyle w:val="Hyperlink"/>
            <w:rFonts w:ascii="Arial" w:eastAsia="Arial" w:hAnsi="Arial" w:cs="Arial"/>
            <w:b/>
            <w:bCs/>
            <w:lang w:val="en-GB"/>
          </w:rPr>
          <w:t>https</w:t>
        </w:r>
        <w:proofErr w:type="spellEnd"/>
        <w:r w:rsidRPr="00C82993">
          <w:rPr>
            <w:rStyle w:val="Hyperlink"/>
            <w:rFonts w:ascii="Arial" w:eastAsia="Arial" w:hAnsi="Arial" w:cs="Arial"/>
            <w:b/>
            <w:bCs/>
            <w:lang w:val="en-GB"/>
          </w:rPr>
          <w:t>://doi.org/10.3390/socsci13040198</w:t>
        </w:r>
      </w:hyperlink>
      <w:r w:rsidRPr="00C82993">
        <w:rPr>
          <w:rFonts w:ascii="Arial" w:eastAsia="Arial" w:hAnsi="Arial" w:cs="Arial"/>
          <w:color w:val="000000" w:themeColor="text1"/>
          <w:lang w:val="en-GB"/>
        </w:rPr>
        <w:t>.</w:t>
      </w:r>
    </w:p>
    <w:p w14:paraId="1E08F37F" w14:textId="77777777" w:rsidR="00C82993" w:rsidRDefault="00C82993" w:rsidP="00C25348">
      <w:pPr>
        <w:spacing w:line="480" w:lineRule="auto"/>
        <w:jc w:val="both"/>
        <w:rPr>
          <w:rFonts w:ascii="Arial" w:eastAsia="Arial" w:hAnsi="Arial" w:cs="Arial"/>
          <w:color w:val="000000" w:themeColor="text1"/>
          <w:lang w:val="en-GB"/>
        </w:rPr>
      </w:pPr>
    </w:p>
    <w:p w14:paraId="3F301565" w14:textId="62EE57F5"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Ministry of Justice (2020). Code of Practice for Victims of Crime in England and Wales.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Available at: </w:t>
      </w:r>
      <w:hyperlink r:id="rId28" w:tgtFrame="_new" w:history="1">
        <w:r w:rsidRPr="00C82993">
          <w:rPr>
            <w:rStyle w:val="Hyperlink"/>
            <w:rFonts w:ascii="Arial" w:eastAsia="Arial" w:hAnsi="Arial" w:cs="Arial"/>
            <w:b/>
            <w:bCs/>
            <w:lang w:val="en-GB"/>
          </w:rPr>
          <w:t>https://assets.publishing.service.gov.uk/media/60620279d3bf7f5ceaca0d89/victims-code-2020.pdf</w:t>
        </w:r>
      </w:hyperlink>
      <w:r w:rsidRPr="00C82993">
        <w:rPr>
          <w:rFonts w:ascii="Arial" w:eastAsia="Arial" w:hAnsi="Arial" w:cs="Arial"/>
          <w:color w:val="000000" w:themeColor="text1"/>
          <w:lang w:val="en-GB"/>
        </w:rPr>
        <w:t xml:space="preserv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Accessed 17 Apr. 2026</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w:t>
      </w:r>
    </w:p>
    <w:p w14:paraId="2A95BECB" w14:textId="77777777" w:rsidR="00C82993" w:rsidRDefault="00C82993" w:rsidP="00C25348">
      <w:pPr>
        <w:spacing w:line="480" w:lineRule="auto"/>
        <w:jc w:val="both"/>
        <w:rPr>
          <w:rFonts w:ascii="Arial" w:eastAsia="Arial" w:hAnsi="Arial" w:cs="Arial"/>
          <w:color w:val="000000" w:themeColor="text1"/>
          <w:lang w:val="en-GB"/>
        </w:rPr>
      </w:pPr>
    </w:p>
    <w:p w14:paraId="32B19092" w14:textId="644AAADF"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Ministry of Justice (2022). Delivering justice for victims: A consultation on improving victims’ experiences of the justice system.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GOV.UK. Available at: </w:t>
      </w:r>
      <w:hyperlink r:id="rId29" w:tgtFrame="_new" w:history="1">
        <w:r w:rsidRPr="00C82993">
          <w:rPr>
            <w:rStyle w:val="Hyperlink"/>
            <w:rFonts w:ascii="Arial" w:eastAsia="Arial" w:hAnsi="Arial" w:cs="Arial"/>
            <w:b/>
            <w:bCs/>
            <w:lang w:val="en-GB"/>
          </w:rPr>
          <w:t>https://www.gov.uk/government/consultations/delivering-justice-for-victims-a-consultation-on-improving-victims-experiences-of-the-justice-system</w:t>
        </w:r>
      </w:hyperlink>
      <w:r w:rsidRPr="00C82993">
        <w:rPr>
          <w:rFonts w:ascii="Arial" w:eastAsia="Arial" w:hAnsi="Arial" w:cs="Arial"/>
          <w:color w:val="000000" w:themeColor="text1"/>
          <w:lang w:val="en-GB"/>
        </w:rPr>
        <w:t>.</w:t>
      </w:r>
    </w:p>
    <w:p w14:paraId="21C12FE5" w14:textId="77777777" w:rsidR="00C82993" w:rsidRDefault="00C82993" w:rsidP="00C25348">
      <w:pPr>
        <w:spacing w:line="480" w:lineRule="auto"/>
        <w:jc w:val="both"/>
        <w:rPr>
          <w:rFonts w:ascii="Arial" w:eastAsia="Arial" w:hAnsi="Arial" w:cs="Arial"/>
          <w:color w:val="000000" w:themeColor="text1"/>
          <w:lang w:val="en-GB"/>
        </w:rPr>
      </w:pPr>
    </w:p>
    <w:p w14:paraId="6103F273" w14:textId="0FC50D62"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Ministry of Justice (2025a). Code of Practice for Victims of Crime in England and Wales (Victim’s Code).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GOV.UK. Available at: </w:t>
      </w:r>
      <w:hyperlink r:id="rId30" w:tgtFrame="_new" w:history="1">
        <w:r w:rsidRPr="00C82993">
          <w:rPr>
            <w:rStyle w:val="Hyperlink"/>
            <w:rFonts w:ascii="Arial" w:eastAsia="Arial" w:hAnsi="Arial" w:cs="Arial"/>
            <w:b/>
            <w:bCs/>
            <w:lang w:val="en-GB"/>
          </w:rPr>
          <w:t>https://www.gov.uk/government/publications/the-code-of-practice-for-victims-of-crime/code-of-practice-for-victims-of-crime-in-england-and-wales-victims-code</w:t>
        </w:r>
      </w:hyperlink>
      <w:r w:rsidRPr="00C82993">
        <w:rPr>
          <w:rFonts w:ascii="Arial" w:eastAsia="Arial" w:hAnsi="Arial" w:cs="Arial"/>
          <w:color w:val="000000" w:themeColor="text1"/>
          <w:lang w:val="en-GB"/>
        </w:rPr>
        <w:t>.</w:t>
      </w:r>
    </w:p>
    <w:p w14:paraId="2A0DEBF2" w14:textId="77777777" w:rsidR="00C82993" w:rsidRDefault="00C82993" w:rsidP="00C25348">
      <w:pPr>
        <w:spacing w:line="480" w:lineRule="auto"/>
        <w:jc w:val="both"/>
        <w:rPr>
          <w:rFonts w:ascii="Arial" w:eastAsia="Arial" w:hAnsi="Arial" w:cs="Arial"/>
          <w:color w:val="000000" w:themeColor="text1"/>
          <w:lang w:val="en-GB"/>
        </w:rPr>
      </w:pPr>
    </w:p>
    <w:p w14:paraId="6F791591" w14:textId="6A6BFB7E"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Ministry of Justice (2025b). Impact evaluation of pre-recorded cross examination.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GOV.UK. Available at: </w:t>
      </w:r>
      <w:hyperlink r:id="rId31" w:tgtFrame="_new" w:history="1">
        <w:r w:rsidRPr="00C82993">
          <w:rPr>
            <w:rStyle w:val="Hyperlink"/>
            <w:rFonts w:ascii="Arial" w:eastAsia="Arial" w:hAnsi="Arial" w:cs="Arial"/>
            <w:b/>
            <w:bCs/>
            <w:lang w:val="en-GB"/>
          </w:rPr>
          <w:t>https://www.gov.uk/government/publications/impact-evaluation-of-pre-recorded-cross-examination</w:t>
        </w:r>
      </w:hyperlink>
      <w:r w:rsidRPr="00C82993">
        <w:rPr>
          <w:rFonts w:ascii="Arial" w:eastAsia="Arial" w:hAnsi="Arial" w:cs="Arial"/>
          <w:color w:val="000000" w:themeColor="text1"/>
          <w:lang w:val="en-GB"/>
        </w:rPr>
        <w:t xml:space="preserv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Accessed 29 Apr. 2026</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w:t>
      </w:r>
    </w:p>
    <w:p w14:paraId="6506DD71" w14:textId="77777777" w:rsidR="00C82993" w:rsidRDefault="00C82993" w:rsidP="00C25348">
      <w:pPr>
        <w:spacing w:line="480" w:lineRule="auto"/>
        <w:jc w:val="both"/>
        <w:rPr>
          <w:rFonts w:ascii="Arial" w:eastAsia="Arial" w:hAnsi="Arial" w:cs="Arial"/>
          <w:color w:val="000000" w:themeColor="text1"/>
          <w:lang w:val="en-GB"/>
        </w:rPr>
      </w:pPr>
    </w:p>
    <w:p w14:paraId="133D5C2E" w14:textId="71353983"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Murray, S., </w:t>
      </w:r>
      <w:proofErr w:type="spellStart"/>
      <w:r w:rsidRPr="00C82993">
        <w:rPr>
          <w:rFonts w:ascii="Arial" w:eastAsia="Arial" w:hAnsi="Arial" w:cs="Arial"/>
          <w:color w:val="000000" w:themeColor="text1"/>
          <w:lang w:val="en-GB"/>
        </w:rPr>
        <w:t>Welland</w:t>
      </w:r>
      <w:proofErr w:type="spellEnd"/>
      <w:r w:rsidRPr="00C82993">
        <w:rPr>
          <w:rFonts w:ascii="Arial" w:eastAsia="Arial" w:hAnsi="Arial" w:cs="Arial"/>
          <w:color w:val="000000" w:themeColor="text1"/>
          <w:lang w:val="en-GB"/>
        </w:rPr>
        <w:t xml:space="preserve">, S. and Storry, M. (2024). Annual Victims’ Survey.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Available at: </w:t>
      </w:r>
      <w:hyperlink r:id="rId32" w:tgtFrame="_new" w:history="1">
        <w:r w:rsidRPr="00C82993">
          <w:rPr>
            <w:rStyle w:val="Hyperlink"/>
            <w:rFonts w:ascii="Arial" w:eastAsia="Arial" w:hAnsi="Arial" w:cs="Arial"/>
            <w:b/>
            <w:bCs/>
            <w:lang w:val="en-GB"/>
          </w:rPr>
          <w:t>https://cdn.websitebuilder.service.justice.gov.uk/uploads/sites/6/2025/10/Victims-Survey-2024-report-16.10.25.pdf</w:t>
        </w:r>
      </w:hyperlink>
      <w:r w:rsidRPr="00C82993">
        <w:rPr>
          <w:rFonts w:ascii="Arial" w:eastAsia="Arial" w:hAnsi="Arial" w:cs="Arial"/>
          <w:color w:val="000000" w:themeColor="text1"/>
          <w:lang w:val="en-GB"/>
        </w:rPr>
        <w:t xml:space="preserv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Accessed 17 Apr. 2026</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w:t>
      </w:r>
    </w:p>
    <w:p w14:paraId="2914944B" w14:textId="77777777" w:rsidR="00C82993" w:rsidRDefault="00C82993" w:rsidP="00E6342D">
      <w:pPr>
        <w:spacing w:line="480" w:lineRule="auto"/>
        <w:jc w:val="both"/>
        <w:rPr>
          <w:rFonts w:ascii="Arial" w:hAnsi="Arial" w:cs="Arial"/>
          <w:lang w:val="en-GB"/>
        </w:rPr>
      </w:pPr>
    </w:p>
    <w:p w14:paraId="3B340246" w14:textId="536A1E2D" w:rsidR="00E6342D" w:rsidRPr="00C82993" w:rsidRDefault="00E6342D" w:rsidP="00E6342D">
      <w:pPr>
        <w:spacing w:line="480" w:lineRule="auto"/>
        <w:jc w:val="both"/>
        <w:rPr>
          <w:rFonts w:ascii="Arial" w:hAnsi="Arial" w:cs="Arial"/>
          <w:lang w:val="en-GB"/>
        </w:rPr>
      </w:pPr>
      <w:r w:rsidRPr="00C82993">
        <w:rPr>
          <w:rFonts w:ascii="Arial" w:hAnsi="Arial" w:cs="Arial"/>
          <w:lang w:val="en-GB"/>
        </w:rPr>
        <w:t>Murphy-</w:t>
      </w:r>
      <w:proofErr w:type="spellStart"/>
      <w:r w:rsidRPr="00C82993">
        <w:rPr>
          <w:rFonts w:ascii="Arial" w:hAnsi="Arial" w:cs="Arial"/>
          <w:lang w:val="en-GB"/>
        </w:rPr>
        <w:t>Oikonen</w:t>
      </w:r>
      <w:proofErr w:type="spellEnd"/>
      <w:r w:rsidRPr="00C82993">
        <w:rPr>
          <w:rFonts w:ascii="Arial" w:hAnsi="Arial" w:cs="Arial"/>
          <w:lang w:val="en-GB"/>
        </w:rPr>
        <w:t xml:space="preserve">, J., McQueen, K., Miller, A., Chambers, L., &amp; Hiebert, A. (2022) Unfounded Sexual Assault: Women’s Experiences of Not Being Believed by the Police. </w:t>
      </w:r>
      <w:r w:rsidRPr="00C82993">
        <w:rPr>
          <w:rFonts w:ascii="Arial" w:hAnsi="Arial" w:cs="Arial"/>
          <w:i/>
          <w:iCs/>
          <w:lang w:val="en-GB"/>
        </w:rPr>
        <w:t>Journal of Interpersonal Violence</w:t>
      </w:r>
      <w:r w:rsidRPr="00C82993">
        <w:rPr>
          <w:rFonts w:ascii="Arial" w:hAnsi="Arial" w:cs="Arial"/>
          <w:lang w:val="en-GB"/>
        </w:rPr>
        <w:t xml:space="preserve">, </w:t>
      </w:r>
      <w:r w:rsidRPr="00C82993">
        <w:rPr>
          <w:rFonts w:ascii="Arial" w:hAnsi="Arial" w:cs="Arial"/>
          <w:i/>
          <w:iCs/>
          <w:lang w:val="en-GB"/>
        </w:rPr>
        <w:t>37</w:t>
      </w:r>
      <w:r w:rsidRPr="00C82993">
        <w:rPr>
          <w:rFonts w:ascii="Arial" w:hAnsi="Arial" w:cs="Arial"/>
          <w:lang w:val="en-GB"/>
        </w:rPr>
        <w:t xml:space="preserve">(11-12), NP8916-NP8940.Available at: </w:t>
      </w:r>
      <w:hyperlink r:id="rId33" w:history="1">
        <w:r w:rsidRPr="00C82993">
          <w:rPr>
            <w:rStyle w:val="Hyperlink"/>
            <w:rFonts w:ascii="Arial" w:hAnsi="Arial" w:cs="Arial"/>
          </w:rPr>
          <w:t>https://doi.org/10.1177/0886260520978190</w:t>
        </w:r>
      </w:hyperlink>
    </w:p>
    <w:p w14:paraId="5AD868A9" w14:textId="77777777" w:rsidR="00E6342D" w:rsidRPr="00C82993" w:rsidRDefault="00E6342D" w:rsidP="00C25348">
      <w:pPr>
        <w:spacing w:line="480" w:lineRule="auto"/>
        <w:jc w:val="both"/>
        <w:rPr>
          <w:rFonts w:ascii="Arial" w:eastAsia="Arial" w:hAnsi="Arial" w:cs="Arial"/>
          <w:color w:val="000000" w:themeColor="text1"/>
          <w:lang w:val="en-GB"/>
        </w:rPr>
      </w:pPr>
    </w:p>
    <w:p w14:paraId="340617F8" w14:textId="0CD2B6B9"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Myhill, A. (2018). The Police Response to Domestic violence: Risk, discretion, and the Context of Coercive Control.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openaccess.city.ac.uk. Available at: </w:t>
      </w:r>
      <w:hyperlink r:id="rId34" w:tgtFrame="_new" w:history="1">
        <w:r w:rsidRPr="00C82993">
          <w:rPr>
            <w:rStyle w:val="Hyperlink"/>
            <w:rFonts w:ascii="Arial" w:eastAsia="Arial" w:hAnsi="Arial" w:cs="Arial"/>
            <w:b/>
            <w:bCs/>
            <w:lang w:val="en-GB"/>
          </w:rPr>
          <w:t>https://openaccess.city.ac.uk/id/eprint/19905/</w:t>
        </w:r>
      </w:hyperlink>
      <w:r w:rsidRPr="00C82993">
        <w:rPr>
          <w:rFonts w:ascii="Arial" w:eastAsia="Arial" w:hAnsi="Arial" w:cs="Arial"/>
          <w:color w:val="000000" w:themeColor="text1"/>
          <w:lang w:val="en-GB"/>
        </w:rPr>
        <w:t xml:space="preserv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Accessed 29 Apr. 2026</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w:t>
      </w:r>
    </w:p>
    <w:p w14:paraId="68D254F7" w14:textId="697A5FAE"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lastRenderedPageBreak/>
        <w:t xml:space="preserve">Office for National Statistics (2023). Violence against Women and Girls - Office for National Statistics.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w:t>
      </w:r>
      <w:hyperlink r:id="rId35" w:tgtFrame="_new" w:history="1">
        <w:r w:rsidRPr="00C82993">
          <w:rPr>
            <w:rStyle w:val="Hyperlink"/>
            <w:rFonts w:ascii="Arial" w:eastAsia="Arial" w:hAnsi="Arial" w:cs="Arial"/>
            <w:b/>
            <w:bCs/>
            <w:lang w:val="en-GB"/>
          </w:rPr>
          <w:t>www.ons.gov.uk</w:t>
        </w:r>
      </w:hyperlink>
      <w:r w:rsidRPr="00C82993">
        <w:rPr>
          <w:rFonts w:ascii="Arial" w:eastAsia="Arial" w:hAnsi="Arial" w:cs="Arial"/>
          <w:color w:val="000000" w:themeColor="text1"/>
          <w:lang w:val="en-GB"/>
        </w:rPr>
        <w:t xml:space="preserve">. Available at: </w:t>
      </w:r>
      <w:hyperlink r:id="rId36" w:tgtFrame="_new" w:history="1">
        <w:r w:rsidRPr="00C82993">
          <w:rPr>
            <w:rStyle w:val="Hyperlink"/>
            <w:rFonts w:ascii="Arial" w:eastAsia="Arial" w:hAnsi="Arial" w:cs="Arial"/>
            <w:b/>
            <w:bCs/>
            <w:lang w:val="en-GB"/>
          </w:rPr>
          <w:t>https://www.ons.gov.uk/peoplepopulationandcommunity/crimeandjustice/articles/violenceagainstwomenandgirls/researchupdatenovember2023</w:t>
        </w:r>
      </w:hyperlink>
      <w:r w:rsidRPr="00C82993">
        <w:rPr>
          <w:rFonts w:ascii="Arial" w:eastAsia="Arial" w:hAnsi="Arial" w:cs="Arial"/>
          <w:color w:val="000000" w:themeColor="text1"/>
          <w:lang w:val="en-GB"/>
        </w:rPr>
        <w:t xml:space="preserv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Accessed 28 Apr. 2026</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w:t>
      </w:r>
    </w:p>
    <w:p w14:paraId="6109164E" w14:textId="77777777" w:rsidR="00C82993" w:rsidRDefault="00C82993" w:rsidP="00C25348">
      <w:pPr>
        <w:spacing w:line="480" w:lineRule="auto"/>
        <w:jc w:val="both"/>
        <w:rPr>
          <w:rFonts w:ascii="Arial" w:eastAsia="Arial" w:hAnsi="Arial" w:cs="Arial"/>
          <w:color w:val="000000" w:themeColor="text1"/>
        </w:rPr>
      </w:pPr>
    </w:p>
    <w:p w14:paraId="6AFCB2A0" w14:textId="1589C2F6" w:rsidR="00E6342D" w:rsidRPr="00C82993" w:rsidRDefault="00E6342D" w:rsidP="00C25348">
      <w:pPr>
        <w:spacing w:line="480" w:lineRule="auto"/>
        <w:jc w:val="both"/>
        <w:rPr>
          <w:rFonts w:ascii="Arial" w:eastAsia="Arial" w:hAnsi="Arial" w:cs="Arial"/>
          <w:color w:val="000000" w:themeColor="text1"/>
        </w:rPr>
      </w:pPr>
      <w:r w:rsidRPr="00C82993">
        <w:rPr>
          <w:rFonts w:ascii="Arial" w:eastAsia="Arial" w:hAnsi="Arial" w:cs="Arial"/>
          <w:color w:val="000000" w:themeColor="text1"/>
        </w:rPr>
        <w:t>Pilgrim, D. (2025) The false memory controversy: a critical realist clarification. </w:t>
      </w:r>
      <w:r w:rsidRPr="00C82993">
        <w:rPr>
          <w:rFonts w:ascii="Arial" w:eastAsia="Arial" w:hAnsi="Arial" w:cs="Arial"/>
          <w:i/>
          <w:iCs/>
          <w:color w:val="000000" w:themeColor="text1"/>
        </w:rPr>
        <w:t>Journal of Critical Realism</w:t>
      </w:r>
      <w:r w:rsidRPr="00C82993">
        <w:rPr>
          <w:rFonts w:ascii="Arial" w:eastAsia="Arial" w:hAnsi="Arial" w:cs="Arial"/>
          <w:color w:val="000000" w:themeColor="text1"/>
        </w:rPr>
        <w:t>, </w:t>
      </w:r>
      <w:r w:rsidRPr="00C82993">
        <w:rPr>
          <w:rFonts w:ascii="Arial" w:eastAsia="Arial" w:hAnsi="Arial" w:cs="Arial"/>
          <w:i/>
          <w:iCs/>
          <w:color w:val="000000" w:themeColor="text1"/>
        </w:rPr>
        <w:t>24</w:t>
      </w:r>
      <w:r w:rsidRPr="00C82993">
        <w:rPr>
          <w:rFonts w:ascii="Arial" w:eastAsia="Arial" w:hAnsi="Arial" w:cs="Arial"/>
          <w:color w:val="000000" w:themeColor="text1"/>
        </w:rPr>
        <w:t xml:space="preserve">(2), 132–148. Available at: </w:t>
      </w:r>
      <w:hyperlink r:id="rId37" w:history="1">
        <w:r w:rsidRPr="00C82993">
          <w:rPr>
            <w:rStyle w:val="Hyperlink"/>
            <w:rFonts w:ascii="Arial" w:eastAsia="Arial" w:hAnsi="Arial" w:cs="Arial"/>
            <w:b/>
            <w:bCs/>
          </w:rPr>
          <w:t>https://doi.org/10.1080/14767430.2025.2503620</w:t>
        </w:r>
      </w:hyperlink>
      <w:r w:rsidRPr="00C82993">
        <w:rPr>
          <w:rFonts w:ascii="Arial" w:eastAsia="Arial" w:hAnsi="Arial" w:cs="Arial"/>
          <w:color w:val="000000" w:themeColor="text1"/>
        </w:rPr>
        <w:t xml:space="preserve"> </w:t>
      </w:r>
    </w:p>
    <w:p w14:paraId="6A2CD1BD" w14:textId="77777777" w:rsidR="00C82993" w:rsidRDefault="00C82993" w:rsidP="00C25348">
      <w:pPr>
        <w:spacing w:line="480" w:lineRule="auto"/>
        <w:jc w:val="both"/>
        <w:rPr>
          <w:rFonts w:ascii="Arial" w:eastAsia="Arial" w:hAnsi="Arial" w:cs="Arial"/>
          <w:color w:val="000000" w:themeColor="text1"/>
          <w:lang w:val="en-GB"/>
        </w:rPr>
      </w:pPr>
    </w:p>
    <w:p w14:paraId="681279B2" w14:textId="0AFF9C01"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Safe Lives (2021). Impact Report.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Available at: </w:t>
      </w:r>
      <w:hyperlink r:id="rId38" w:tgtFrame="_new" w:history="1">
        <w:r w:rsidRPr="00C82993">
          <w:rPr>
            <w:rStyle w:val="Hyperlink"/>
            <w:rFonts w:ascii="Arial" w:eastAsia="Arial" w:hAnsi="Arial" w:cs="Arial"/>
            <w:b/>
            <w:bCs/>
            <w:lang w:val="en-GB"/>
          </w:rPr>
          <w:t>https://safelives.org.uk/wp-content/uploads/SafeLives-Impact-Report-2021-22.pdf</w:t>
        </w:r>
      </w:hyperlink>
      <w:r w:rsidRPr="00C82993">
        <w:rPr>
          <w:rFonts w:ascii="Arial" w:eastAsia="Arial" w:hAnsi="Arial" w:cs="Arial"/>
          <w:color w:val="000000" w:themeColor="text1"/>
          <w:lang w:val="en-GB"/>
        </w:rPr>
        <w:t xml:space="preserv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Accessed 28 Apr. 2026</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w:t>
      </w:r>
    </w:p>
    <w:p w14:paraId="7933C87F" w14:textId="77777777" w:rsidR="00C82993" w:rsidRDefault="00C82993" w:rsidP="00C25348">
      <w:pPr>
        <w:spacing w:line="480" w:lineRule="auto"/>
        <w:jc w:val="both"/>
        <w:rPr>
          <w:rFonts w:ascii="Arial" w:eastAsia="Arial" w:hAnsi="Arial" w:cs="Arial"/>
          <w:color w:val="000000" w:themeColor="text1"/>
          <w:lang w:val="en-GB"/>
        </w:rPr>
      </w:pPr>
    </w:p>
    <w:p w14:paraId="27D38612" w14:textId="168BFC85"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Smith, O. and Skinner, T. (2017). How Rape Myths Are Used and Challenged in Rape and Sexual Assault Trials. Social &amp; Legal Studies,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26(4), pp.441–466. </w:t>
      </w:r>
      <w:proofErr w:type="spellStart"/>
      <w:r w:rsidRPr="00C82993">
        <w:rPr>
          <w:rFonts w:ascii="Arial" w:eastAsia="Arial" w:hAnsi="Arial" w:cs="Arial"/>
          <w:color w:val="000000" w:themeColor="text1"/>
          <w:lang w:val="en-GB"/>
        </w:rPr>
        <w:t>doi:</w:t>
      </w:r>
      <w:hyperlink r:id="rId39" w:tgtFrame="_new" w:history="1">
        <w:r w:rsidRPr="00C82993">
          <w:rPr>
            <w:rStyle w:val="Hyperlink"/>
            <w:rFonts w:ascii="Arial" w:eastAsia="Arial" w:hAnsi="Arial" w:cs="Arial"/>
            <w:b/>
            <w:bCs/>
            <w:lang w:val="en-GB"/>
          </w:rPr>
          <w:t>https</w:t>
        </w:r>
        <w:proofErr w:type="spellEnd"/>
        <w:r w:rsidRPr="00C82993">
          <w:rPr>
            <w:rStyle w:val="Hyperlink"/>
            <w:rFonts w:ascii="Arial" w:eastAsia="Arial" w:hAnsi="Arial" w:cs="Arial"/>
            <w:b/>
            <w:bCs/>
            <w:lang w:val="en-GB"/>
          </w:rPr>
          <w:t>://doi.org/10.1177/0964663916680130</w:t>
        </w:r>
      </w:hyperlink>
      <w:r w:rsidRPr="00C82993">
        <w:rPr>
          <w:rFonts w:ascii="Arial" w:eastAsia="Arial" w:hAnsi="Arial" w:cs="Arial"/>
          <w:color w:val="000000" w:themeColor="text1"/>
          <w:lang w:val="en-GB"/>
        </w:rPr>
        <w:t>.</w:t>
      </w:r>
    </w:p>
    <w:p w14:paraId="50236F0C" w14:textId="77777777" w:rsidR="00C82993" w:rsidRDefault="00C82993" w:rsidP="00C25348">
      <w:pPr>
        <w:spacing w:line="480" w:lineRule="auto"/>
        <w:jc w:val="both"/>
        <w:rPr>
          <w:rFonts w:ascii="Arial" w:eastAsia="Arial" w:hAnsi="Arial" w:cs="Arial"/>
          <w:color w:val="000000" w:themeColor="text1"/>
          <w:lang w:val="en-GB"/>
        </w:rPr>
      </w:pPr>
    </w:p>
    <w:p w14:paraId="78CB234C" w14:textId="7A8CE927"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Southall Black Sisters (2023). Immigration Advice - Southall Black Sisters.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Southall Black Sisters. Available at: </w:t>
      </w:r>
      <w:hyperlink r:id="rId40" w:tgtFrame="_new" w:history="1">
        <w:r w:rsidRPr="00C82993">
          <w:rPr>
            <w:rStyle w:val="Hyperlink"/>
            <w:rFonts w:ascii="Arial" w:eastAsia="Arial" w:hAnsi="Arial" w:cs="Arial"/>
            <w:b/>
            <w:bCs/>
            <w:lang w:val="en-GB"/>
          </w:rPr>
          <w:t>https://southallblacksisters.org.uk/get-help/immigration-advice/</w:t>
        </w:r>
      </w:hyperlink>
      <w:r w:rsidRPr="00C82993">
        <w:rPr>
          <w:rFonts w:ascii="Arial" w:eastAsia="Arial" w:hAnsi="Arial" w:cs="Arial"/>
          <w:color w:val="000000" w:themeColor="text1"/>
          <w:lang w:val="en-GB"/>
        </w:rPr>
        <w:t xml:space="preserv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Accessed 29 Apr. 2026</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w:t>
      </w:r>
    </w:p>
    <w:p w14:paraId="241614BF" w14:textId="526C911F"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lastRenderedPageBreak/>
        <w:t xml:space="preserve">Step Up Migrant Women (2021). Step Up Migrant Women.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Step Up Migrant Women. Available at: </w:t>
      </w:r>
      <w:hyperlink r:id="rId41" w:tgtFrame="_new" w:history="1">
        <w:r w:rsidRPr="00C82993">
          <w:rPr>
            <w:rStyle w:val="Hyperlink"/>
            <w:rFonts w:ascii="Arial" w:eastAsia="Arial" w:hAnsi="Arial" w:cs="Arial"/>
            <w:b/>
            <w:bCs/>
            <w:lang w:val="en-GB"/>
          </w:rPr>
          <w:t>https://stepupmigrantwomen.org/</w:t>
        </w:r>
      </w:hyperlink>
      <w:r w:rsidRPr="00C82993">
        <w:rPr>
          <w:rFonts w:ascii="Arial" w:eastAsia="Arial" w:hAnsi="Arial" w:cs="Arial"/>
          <w:color w:val="000000" w:themeColor="text1"/>
          <w:lang w:val="en-GB"/>
        </w:rPr>
        <w:t>.</w:t>
      </w:r>
    </w:p>
    <w:p w14:paraId="00C4973B" w14:textId="77777777" w:rsidR="00C82993" w:rsidRDefault="00C82993" w:rsidP="00C25348">
      <w:pPr>
        <w:spacing w:line="480" w:lineRule="auto"/>
        <w:jc w:val="both"/>
        <w:rPr>
          <w:rFonts w:ascii="Arial" w:eastAsia="Arial" w:hAnsi="Arial" w:cs="Arial"/>
          <w:color w:val="000000" w:themeColor="text1"/>
          <w:lang w:val="en-GB"/>
        </w:rPr>
      </w:pPr>
    </w:p>
    <w:p w14:paraId="7E2699DB" w14:textId="6D155C08" w:rsidR="00C25348" w:rsidRPr="00C82993" w:rsidRDefault="00C25348" w:rsidP="00C25348">
      <w:pPr>
        <w:spacing w:line="480" w:lineRule="auto"/>
        <w:jc w:val="both"/>
        <w:rPr>
          <w:rFonts w:ascii="Arial" w:eastAsia="Arial" w:hAnsi="Arial" w:cs="Arial"/>
          <w:color w:val="000000" w:themeColor="text1"/>
          <w:lang w:val="en-GB"/>
        </w:rPr>
      </w:pPr>
      <w:proofErr w:type="gramStart"/>
      <w:r w:rsidRPr="00C82993">
        <w:rPr>
          <w:rFonts w:ascii="Arial" w:eastAsia="Arial" w:hAnsi="Arial" w:cs="Arial"/>
          <w:color w:val="000000" w:themeColor="text1"/>
          <w:lang w:val="en-GB"/>
        </w:rPr>
        <w:t>Tyler ,</w:t>
      </w:r>
      <w:proofErr w:type="gramEnd"/>
      <w:r w:rsidRPr="00C82993">
        <w:rPr>
          <w:rFonts w:ascii="Arial" w:eastAsia="Arial" w:hAnsi="Arial" w:cs="Arial"/>
          <w:color w:val="000000" w:themeColor="text1"/>
          <w:lang w:val="en-GB"/>
        </w:rPr>
        <w:t xml:space="preserve"> T. (2023). Legal Epidemiology- Chapter </w:t>
      </w:r>
      <w:proofErr w:type="gramStart"/>
      <w:r w:rsidRPr="00C82993">
        <w:rPr>
          <w:rFonts w:ascii="Arial" w:eastAsia="Arial" w:hAnsi="Arial" w:cs="Arial"/>
          <w:color w:val="000000" w:themeColor="text1"/>
          <w:lang w:val="en-GB"/>
        </w:rPr>
        <w:t>6 .</w:t>
      </w:r>
      <w:proofErr w:type="gramEnd"/>
      <w:r w:rsidRPr="00C82993">
        <w:rPr>
          <w:rFonts w:ascii="Arial" w:eastAsia="Arial" w:hAnsi="Arial" w:cs="Arial"/>
          <w:color w:val="000000" w:themeColor="text1"/>
          <w:lang w:val="en-GB"/>
        </w:rPr>
        <w:t xml:space="preserv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Google Books. Available at: </w:t>
      </w:r>
      <w:hyperlink r:id="rId42" w:tgtFrame="_new" w:history="1">
        <w:r w:rsidRPr="00C82993">
          <w:rPr>
            <w:rStyle w:val="Hyperlink"/>
            <w:rFonts w:ascii="Arial" w:eastAsia="Arial" w:hAnsi="Arial" w:cs="Arial"/>
            <w:b/>
            <w:bCs/>
            <w:lang w:val="en-GB"/>
          </w:rPr>
          <w:t>https://books.google.co.uk/books?hl=en&amp;lr=&amp;id=l6bLEAAAQBAJ&amp;oi=fnd&amp;pg=PA99&amp;dq=Tyler</w:t>
        </w:r>
      </w:hyperlink>
      <w:r w:rsidRPr="00C82993">
        <w:rPr>
          <w:rFonts w:ascii="Arial" w:eastAsia="Arial" w:hAnsi="Arial" w:cs="Arial"/>
          <w:color w:val="000000" w:themeColor="text1"/>
          <w:lang w:val="en-GB"/>
        </w:rPr>
        <w:t xml:space="preserv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Accessed 29 Apr. 2026</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w:t>
      </w:r>
    </w:p>
    <w:p w14:paraId="0B37AE9D" w14:textId="77777777" w:rsidR="00C82993" w:rsidRDefault="00C82993" w:rsidP="00C25348">
      <w:pPr>
        <w:spacing w:line="480" w:lineRule="auto"/>
        <w:jc w:val="both"/>
        <w:rPr>
          <w:rFonts w:ascii="Arial" w:eastAsia="Arial" w:hAnsi="Arial" w:cs="Arial"/>
          <w:color w:val="000000" w:themeColor="text1"/>
          <w:lang w:val="en-GB"/>
        </w:rPr>
      </w:pPr>
    </w:p>
    <w:p w14:paraId="29E968C9" w14:textId="1F47EE90"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Victim Support (2020). Who’s in the Criminal Justice System.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Victim Support. Available at: </w:t>
      </w:r>
      <w:hyperlink r:id="rId43" w:tgtFrame="_new" w:history="1">
        <w:r w:rsidRPr="00C82993">
          <w:rPr>
            <w:rStyle w:val="Hyperlink"/>
            <w:rFonts w:ascii="Arial" w:eastAsia="Arial" w:hAnsi="Arial" w:cs="Arial"/>
            <w:b/>
            <w:bCs/>
            <w:lang w:val="en-GB"/>
          </w:rPr>
          <w:t>https://www.victimsupport.org.uk/going-court/whos-who-in-the-criminal-justice-system/</w:t>
        </w:r>
      </w:hyperlink>
      <w:r w:rsidRPr="00C82993">
        <w:rPr>
          <w:rFonts w:ascii="Arial" w:eastAsia="Arial" w:hAnsi="Arial" w:cs="Arial"/>
          <w:color w:val="000000" w:themeColor="text1"/>
          <w:lang w:val="en-GB"/>
        </w:rPr>
        <w:t xml:space="preserv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Accessed 28 Apr. 2026</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w:t>
      </w:r>
    </w:p>
    <w:p w14:paraId="16285B46" w14:textId="77777777" w:rsidR="00C82993" w:rsidRDefault="00C82993" w:rsidP="00C25348">
      <w:pPr>
        <w:spacing w:line="480" w:lineRule="auto"/>
        <w:jc w:val="both"/>
        <w:rPr>
          <w:rFonts w:ascii="Arial" w:eastAsia="Arial" w:hAnsi="Arial" w:cs="Arial"/>
          <w:color w:val="000000" w:themeColor="text1"/>
          <w:lang w:val="en-GB"/>
        </w:rPr>
      </w:pPr>
    </w:p>
    <w:p w14:paraId="7A65B52B" w14:textId="2D5C2AB4"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Victims Commissioner (2019). Victims Commissioner – Victims Commissioner for England and Wales.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Victimscommissioner.org.uk. Available at: </w:t>
      </w:r>
      <w:hyperlink r:id="rId44" w:tgtFrame="_new" w:history="1">
        <w:r w:rsidRPr="00C82993">
          <w:rPr>
            <w:rStyle w:val="Hyperlink"/>
            <w:rFonts w:ascii="Arial" w:eastAsia="Arial" w:hAnsi="Arial" w:cs="Arial"/>
            <w:b/>
            <w:bCs/>
            <w:lang w:val="en-GB"/>
          </w:rPr>
          <w:t>https://victimscommissioner.org.uk/</w:t>
        </w:r>
      </w:hyperlink>
      <w:r w:rsidRPr="00C82993">
        <w:rPr>
          <w:rFonts w:ascii="Arial" w:eastAsia="Arial" w:hAnsi="Arial" w:cs="Arial"/>
          <w:color w:val="000000" w:themeColor="text1"/>
          <w:lang w:val="en-GB"/>
        </w:rPr>
        <w:t xml:space="preserv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Accessed 20 Apr. 2026</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w:t>
      </w:r>
    </w:p>
    <w:p w14:paraId="7CD653B4" w14:textId="77777777" w:rsidR="00C82993" w:rsidRDefault="00C82993" w:rsidP="00C25348">
      <w:pPr>
        <w:spacing w:line="480" w:lineRule="auto"/>
        <w:jc w:val="both"/>
        <w:rPr>
          <w:rFonts w:ascii="Arial" w:eastAsia="Arial" w:hAnsi="Arial" w:cs="Arial"/>
          <w:color w:val="000000" w:themeColor="text1"/>
          <w:lang w:val="en-GB"/>
        </w:rPr>
      </w:pPr>
    </w:p>
    <w:p w14:paraId="2AE41DC5" w14:textId="5F0D97D0" w:rsidR="00C25348" w:rsidRPr="00C82993"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Victims’ Commissioner (2024). Annual report of the Victims’ Commissioner 2023 to 2024 - Victims Commissioner.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Victims Commissioner. Available at: </w:t>
      </w:r>
      <w:hyperlink r:id="rId45" w:tgtFrame="_new" w:history="1">
        <w:r w:rsidRPr="00C82993">
          <w:rPr>
            <w:rStyle w:val="Hyperlink"/>
            <w:rFonts w:ascii="Arial" w:eastAsia="Arial" w:hAnsi="Arial" w:cs="Arial"/>
            <w:b/>
            <w:bCs/>
            <w:lang w:val="en-GB"/>
          </w:rPr>
          <w:t>https://victimscommissioner.org.uk/document/2023-24_annual_report/</w:t>
        </w:r>
      </w:hyperlink>
      <w:r w:rsidRPr="00C82993">
        <w:rPr>
          <w:rFonts w:ascii="Arial" w:eastAsia="Arial" w:hAnsi="Arial" w:cs="Arial"/>
          <w:color w:val="000000" w:themeColor="text1"/>
          <w:lang w:val="en-GB"/>
        </w:rPr>
        <w:t>.</w:t>
      </w:r>
    </w:p>
    <w:p w14:paraId="1477F59B" w14:textId="77777777" w:rsidR="00C82993" w:rsidRDefault="00C82993" w:rsidP="00C25348">
      <w:pPr>
        <w:spacing w:line="480" w:lineRule="auto"/>
        <w:jc w:val="both"/>
        <w:rPr>
          <w:rFonts w:ascii="Arial" w:eastAsia="Arial" w:hAnsi="Arial" w:cs="Arial"/>
          <w:color w:val="000000" w:themeColor="text1"/>
          <w:lang w:val="en-GB"/>
        </w:rPr>
      </w:pPr>
    </w:p>
    <w:p w14:paraId="0C56DED1" w14:textId="4556228B" w:rsidR="00C25348" w:rsidRPr="00C82993" w:rsidRDefault="00C25348" w:rsidP="00C25348">
      <w:pPr>
        <w:spacing w:line="480" w:lineRule="auto"/>
        <w:jc w:val="both"/>
        <w:rPr>
          <w:rFonts w:ascii="Arial" w:eastAsia="Arial" w:hAnsi="Arial" w:cs="Arial"/>
          <w:color w:val="000000" w:themeColor="text1"/>
          <w:lang w:val="en-GB"/>
        </w:rPr>
      </w:pPr>
      <w:proofErr w:type="spellStart"/>
      <w:r w:rsidRPr="00C82993">
        <w:rPr>
          <w:rFonts w:ascii="Arial" w:eastAsia="Arial" w:hAnsi="Arial" w:cs="Arial"/>
          <w:color w:val="000000" w:themeColor="text1"/>
          <w:lang w:val="en-GB"/>
        </w:rPr>
        <w:lastRenderedPageBreak/>
        <w:t>Walklate</w:t>
      </w:r>
      <w:proofErr w:type="spellEnd"/>
      <w:r w:rsidRPr="00C82993">
        <w:rPr>
          <w:rFonts w:ascii="Arial" w:eastAsia="Arial" w:hAnsi="Arial" w:cs="Arial"/>
          <w:color w:val="000000" w:themeColor="text1"/>
          <w:lang w:val="en-GB"/>
        </w:rPr>
        <w:t xml:space="preserve">, S. (2011). Reframing criminal victimization: Finding a place for vulnerability and resilience. Theoretical Criminology, 15(2), pp.179–194. </w:t>
      </w:r>
      <w:proofErr w:type="spellStart"/>
      <w:r w:rsidRPr="00C82993">
        <w:rPr>
          <w:rFonts w:ascii="Arial" w:eastAsia="Arial" w:hAnsi="Arial" w:cs="Arial"/>
          <w:color w:val="000000" w:themeColor="text1"/>
          <w:lang w:val="en-GB"/>
        </w:rPr>
        <w:t>doi:</w:t>
      </w:r>
      <w:hyperlink r:id="rId46" w:tgtFrame="_new" w:history="1">
        <w:r w:rsidRPr="00C82993">
          <w:rPr>
            <w:rStyle w:val="Hyperlink"/>
            <w:rFonts w:ascii="Arial" w:eastAsia="Arial" w:hAnsi="Arial" w:cs="Arial"/>
            <w:b/>
            <w:bCs/>
            <w:lang w:val="en-GB"/>
          </w:rPr>
          <w:t>https</w:t>
        </w:r>
        <w:proofErr w:type="spellEnd"/>
        <w:r w:rsidRPr="00C82993">
          <w:rPr>
            <w:rStyle w:val="Hyperlink"/>
            <w:rFonts w:ascii="Arial" w:eastAsia="Arial" w:hAnsi="Arial" w:cs="Arial"/>
            <w:b/>
            <w:bCs/>
            <w:lang w:val="en-GB"/>
          </w:rPr>
          <w:t>://doi.org/10.1177/1362480610383452</w:t>
        </w:r>
      </w:hyperlink>
      <w:r w:rsidRPr="00C82993">
        <w:rPr>
          <w:rFonts w:ascii="Arial" w:eastAsia="Arial" w:hAnsi="Arial" w:cs="Arial"/>
          <w:color w:val="000000" w:themeColor="text1"/>
          <w:lang w:val="en-GB"/>
        </w:rPr>
        <w:t>.</w:t>
      </w:r>
    </w:p>
    <w:p w14:paraId="3BA12DBB" w14:textId="77777777" w:rsidR="00C82993" w:rsidRDefault="00C82993" w:rsidP="00C25348">
      <w:pPr>
        <w:spacing w:line="480" w:lineRule="auto"/>
        <w:jc w:val="both"/>
        <w:rPr>
          <w:rFonts w:ascii="Arial" w:eastAsia="Arial" w:hAnsi="Arial" w:cs="Arial"/>
          <w:color w:val="000000" w:themeColor="text1"/>
          <w:lang w:val="en-GB"/>
        </w:rPr>
      </w:pPr>
    </w:p>
    <w:p w14:paraId="7BAEC001" w14:textId="5915FD3F" w:rsidR="00C25348" w:rsidRPr="00C82993" w:rsidRDefault="00C25348" w:rsidP="00C25348">
      <w:pPr>
        <w:spacing w:line="480" w:lineRule="auto"/>
        <w:jc w:val="both"/>
        <w:rPr>
          <w:rFonts w:ascii="Arial" w:eastAsia="Arial" w:hAnsi="Arial" w:cs="Arial"/>
          <w:color w:val="000000" w:themeColor="text1"/>
          <w:lang w:val="en-GB"/>
        </w:rPr>
      </w:pPr>
      <w:proofErr w:type="spellStart"/>
      <w:r w:rsidRPr="00C82993">
        <w:rPr>
          <w:rFonts w:ascii="Arial" w:eastAsia="Arial" w:hAnsi="Arial" w:cs="Arial"/>
          <w:color w:val="000000" w:themeColor="text1"/>
          <w:lang w:val="en-GB"/>
        </w:rPr>
        <w:t>Walklate</w:t>
      </w:r>
      <w:proofErr w:type="spellEnd"/>
      <w:r w:rsidRPr="00C82993">
        <w:rPr>
          <w:rFonts w:ascii="Arial" w:eastAsia="Arial" w:hAnsi="Arial" w:cs="Arial"/>
          <w:color w:val="000000" w:themeColor="text1"/>
          <w:lang w:val="en-GB"/>
        </w:rPr>
        <w:t>, S. (2017). Handbook of Victims and Victimology. Routledge.</w:t>
      </w:r>
    </w:p>
    <w:p w14:paraId="6E5B64A8" w14:textId="77777777" w:rsidR="00C82993" w:rsidRDefault="00C82993" w:rsidP="00C25348">
      <w:pPr>
        <w:spacing w:line="480" w:lineRule="auto"/>
        <w:jc w:val="both"/>
        <w:rPr>
          <w:rFonts w:ascii="Arial" w:eastAsia="Arial" w:hAnsi="Arial" w:cs="Arial"/>
          <w:color w:val="000000" w:themeColor="text1"/>
          <w:lang w:val="en-GB"/>
        </w:rPr>
      </w:pPr>
    </w:p>
    <w:p w14:paraId="7A08DC86" w14:textId="31644297" w:rsidR="00C25348" w:rsidRPr="00C82993" w:rsidRDefault="00C25348" w:rsidP="00C25348">
      <w:pPr>
        <w:spacing w:line="480" w:lineRule="auto"/>
        <w:jc w:val="both"/>
        <w:rPr>
          <w:rFonts w:ascii="Arial" w:eastAsia="Arial" w:hAnsi="Arial" w:cs="Arial"/>
          <w:color w:val="000000" w:themeColor="text1"/>
          <w:lang w:val="en-GB"/>
        </w:rPr>
      </w:pPr>
      <w:proofErr w:type="spellStart"/>
      <w:r w:rsidRPr="00C82993">
        <w:rPr>
          <w:rFonts w:ascii="Arial" w:eastAsia="Arial" w:hAnsi="Arial" w:cs="Arial"/>
          <w:color w:val="000000" w:themeColor="text1"/>
          <w:lang w:val="en-GB"/>
        </w:rPr>
        <w:t>Walklate</w:t>
      </w:r>
      <w:proofErr w:type="spellEnd"/>
      <w:r w:rsidRPr="00C82993">
        <w:rPr>
          <w:rFonts w:ascii="Arial" w:eastAsia="Arial" w:hAnsi="Arial" w:cs="Arial"/>
          <w:color w:val="000000" w:themeColor="text1"/>
          <w:lang w:val="en-GB"/>
        </w:rPr>
        <w:t xml:space="preserve">, S. (2018). Handbook of victims and victimology. 2nd ed. </w:t>
      </w:r>
      <w:proofErr w:type="gramStart"/>
      <w:r w:rsidRPr="00C82993">
        <w:rPr>
          <w:rFonts w:ascii="Arial" w:eastAsia="Arial" w:hAnsi="Arial" w:cs="Arial"/>
          <w:color w:val="000000" w:themeColor="text1"/>
          <w:lang w:val="en-GB"/>
        </w:rPr>
        <w:t>London ;</w:t>
      </w:r>
      <w:proofErr w:type="gramEnd"/>
      <w:r w:rsidRPr="00C82993">
        <w:rPr>
          <w:rFonts w:ascii="Arial" w:eastAsia="Arial" w:hAnsi="Arial" w:cs="Arial"/>
          <w:color w:val="000000" w:themeColor="text1"/>
          <w:lang w:val="en-GB"/>
        </w:rPr>
        <w:t xml:space="preserve"> New York: Routledge, Taylor &amp; Francis Group.</w:t>
      </w:r>
    </w:p>
    <w:p w14:paraId="2F39C7D1" w14:textId="77777777" w:rsidR="00C82993" w:rsidRDefault="00C82993" w:rsidP="00C25348">
      <w:pPr>
        <w:spacing w:line="480" w:lineRule="auto"/>
        <w:jc w:val="both"/>
        <w:rPr>
          <w:rFonts w:ascii="Arial" w:eastAsia="Arial" w:hAnsi="Arial" w:cs="Arial"/>
          <w:color w:val="000000" w:themeColor="text1"/>
          <w:lang w:val="en-GB"/>
        </w:rPr>
      </w:pPr>
    </w:p>
    <w:p w14:paraId="4100EBC1" w14:textId="753C3C8A" w:rsidR="00C25348" w:rsidRDefault="00C25348" w:rsidP="00C25348">
      <w:pPr>
        <w:spacing w:line="480" w:lineRule="auto"/>
        <w:jc w:val="both"/>
        <w:rPr>
          <w:rFonts w:ascii="Arial" w:eastAsia="Arial" w:hAnsi="Arial" w:cs="Arial"/>
          <w:color w:val="000000" w:themeColor="text1"/>
          <w:lang w:val="en-GB"/>
        </w:rPr>
      </w:pPr>
      <w:r w:rsidRPr="00C82993">
        <w:rPr>
          <w:rFonts w:ascii="Arial" w:eastAsia="Arial" w:hAnsi="Arial" w:cs="Arial"/>
          <w:color w:val="000000" w:themeColor="text1"/>
          <w:lang w:val="en-GB"/>
        </w:rPr>
        <w:t xml:space="preserve">Williams, A. (2020). Analysis of the Cross-Examination of Complainants and Defendants within Rape Trials.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online</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 xml:space="preserve"> Available at: </w:t>
      </w:r>
      <w:hyperlink r:id="rId47" w:tgtFrame="_new" w:history="1">
        <w:r w:rsidRPr="00C82993">
          <w:rPr>
            <w:rStyle w:val="Hyperlink"/>
            <w:rFonts w:ascii="Arial" w:eastAsia="Arial" w:hAnsi="Arial" w:cs="Arial"/>
            <w:b/>
            <w:bCs/>
            <w:lang w:val="en-GB"/>
          </w:rPr>
          <w:t>https://uwe-repository.worktribe.com/preview/5632114/Anneleise%20Williams_%20___Analysis%20of%20the%20Cross-Examination%20of%20Complainants%20and%20Defendants%20within%20Rape%20Trials__%20%28PhD%20Thesis_%20University%20of%20the%20West%20of%20England%20March%202020%29.pdf</w:t>
        </w:r>
      </w:hyperlink>
      <w:r w:rsidRPr="00C82993">
        <w:rPr>
          <w:rFonts w:ascii="Arial" w:eastAsia="Arial" w:hAnsi="Arial" w:cs="Arial"/>
          <w:color w:val="000000" w:themeColor="text1"/>
          <w:lang w:val="en-GB"/>
        </w:rPr>
        <w:t xml:space="preserve"> </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Accessed 29 Apr. 2026</w:t>
      </w:r>
      <w:r w:rsidR="00451833">
        <w:rPr>
          <w:rFonts w:ascii="Arial" w:eastAsia="Arial" w:hAnsi="Arial" w:cs="Arial"/>
          <w:color w:val="000000" w:themeColor="text1"/>
          <w:lang w:val="en-GB"/>
        </w:rPr>
        <w:t>)</w:t>
      </w:r>
      <w:r w:rsidRPr="00C82993">
        <w:rPr>
          <w:rFonts w:ascii="Arial" w:eastAsia="Arial" w:hAnsi="Arial" w:cs="Arial"/>
          <w:color w:val="000000" w:themeColor="text1"/>
          <w:lang w:val="en-GB"/>
        </w:rPr>
        <w:t>.</w:t>
      </w:r>
    </w:p>
    <w:p w14:paraId="2F0BA22B" w14:textId="2EBBEB34" w:rsidR="00451833" w:rsidRPr="00451833" w:rsidRDefault="00451833" w:rsidP="00451833">
      <w:pPr>
        <w:spacing w:line="480" w:lineRule="auto"/>
        <w:jc w:val="both"/>
        <w:rPr>
          <w:rFonts w:ascii="Arial" w:eastAsia="Arial" w:hAnsi="Arial" w:cs="Arial"/>
          <w:color w:val="000000" w:themeColor="text1"/>
          <w:lang w:val="en-GB"/>
        </w:rPr>
      </w:pPr>
      <w:r w:rsidRPr="00451833">
        <w:rPr>
          <w:rFonts w:ascii="Arial" w:eastAsia="Arial" w:hAnsi="Arial" w:cs="Arial"/>
          <w:color w:val="000000" w:themeColor="text1"/>
          <w:lang w:val="en-GB"/>
        </w:rPr>
        <w:t>I acknowledge the use of Grammarly (</w:t>
      </w:r>
      <w:hyperlink r:id="rId48" w:history="1">
        <w:r w:rsidRPr="00451833">
          <w:rPr>
            <w:rStyle w:val="Hyperlink"/>
            <w:rFonts w:ascii="Arial" w:eastAsia="Arial" w:hAnsi="Arial" w:cs="Arial"/>
            <w:lang w:val="en-GB"/>
          </w:rPr>
          <w:t>https://www.grammarly.com/</w:t>
        </w:r>
      </w:hyperlink>
      <w:r w:rsidRPr="00451833">
        <w:rPr>
          <w:rFonts w:ascii="Arial" w:eastAsia="Arial" w:hAnsi="Arial" w:cs="Arial"/>
          <w:color w:val="000000" w:themeColor="text1"/>
          <w:lang w:val="en-GB"/>
        </w:rPr>
        <w:t xml:space="preserve">) on </w:t>
      </w:r>
      <w:r>
        <w:rPr>
          <w:rFonts w:ascii="Arial" w:eastAsia="Arial" w:hAnsi="Arial" w:cs="Arial"/>
          <w:color w:val="000000" w:themeColor="text1"/>
          <w:lang w:val="en-GB"/>
        </w:rPr>
        <w:t>01 May 2026</w:t>
      </w:r>
      <w:r w:rsidRPr="00451833">
        <w:rPr>
          <w:rFonts w:ascii="Arial" w:eastAsia="Arial" w:hAnsi="Arial" w:cs="Arial"/>
          <w:color w:val="000000" w:themeColor="text1"/>
          <w:lang w:val="en-GB"/>
        </w:rPr>
        <w:t xml:space="preserve"> to check my work using the prompt(s): </w:t>
      </w:r>
    </w:p>
    <w:p w14:paraId="6C591A4B" w14:textId="77777777" w:rsidR="00451833" w:rsidRPr="00451833" w:rsidRDefault="00451833" w:rsidP="00451833">
      <w:pPr>
        <w:spacing w:line="480" w:lineRule="auto"/>
        <w:jc w:val="both"/>
        <w:rPr>
          <w:rFonts w:ascii="Arial" w:eastAsia="Arial" w:hAnsi="Arial" w:cs="Arial"/>
          <w:color w:val="000000" w:themeColor="text1"/>
          <w:lang w:val="en-GB"/>
        </w:rPr>
      </w:pPr>
      <w:r w:rsidRPr="00451833">
        <w:rPr>
          <w:rFonts w:ascii="Arial" w:eastAsia="Arial" w:hAnsi="Arial" w:cs="Arial"/>
          <w:color w:val="000000" w:themeColor="text1"/>
          <w:lang w:val="en-GB"/>
        </w:rPr>
        <w:t xml:space="preserve">1. Please check the following text for readability, grammar and syntax. </w:t>
      </w:r>
    </w:p>
    <w:p w14:paraId="3152A4CF" w14:textId="77777777" w:rsidR="00451833" w:rsidRPr="00451833" w:rsidRDefault="00451833" w:rsidP="00451833">
      <w:pPr>
        <w:spacing w:line="480" w:lineRule="auto"/>
        <w:jc w:val="both"/>
        <w:rPr>
          <w:rFonts w:ascii="Arial" w:eastAsia="Arial" w:hAnsi="Arial" w:cs="Arial"/>
          <w:color w:val="000000" w:themeColor="text1"/>
          <w:lang w:val="en-GB"/>
        </w:rPr>
      </w:pPr>
      <w:r w:rsidRPr="00451833">
        <w:rPr>
          <w:rFonts w:ascii="Arial" w:eastAsia="Arial" w:hAnsi="Arial" w:cs="Arial"/>
          <w:color w:val="000000" w:themeColor="text1"/>
          <w:lang w:val="en-GB"/>
        </w:rPr>
        <w:lastRenderedPageBreak/>
        <w:t>I confirm that I have not presented any AI generated text as my own work. I confirm I have copies of my drafts, notes, and other resources I used before, and after the use of AI tools which I may be asked to provide in evidence.</w:t>
      </w:r>
    </w:p>
    <w:p w14:paraId="2872767A" w14:textId="77777777" w:rsidR="00451833" w:rsidRPr="00C82993" w:rsidRDefault="00451833" w:rsidP="00C25348">
      <w:pPr>
        <w:spacing w:line="480" w:lineRule="auto"/>
        <w:jc w:val="both"/>
        <w:rPr>
          <w:rFonts w:ascii="Arial" w:eastAsia="Arial" w:hAnsi="Arial" w:cs="Arial"/>
          <w:color w:val="000000" w:themeColor="text1"/>
          <w:lang w:val="en-GB"/>
        </w:rPr>
      </w:pPr>
    </w:p>
    <w:p w14:paraId="6060E411" w14:textId="757AA3F3" w:rsidR="0E88C9D4" w:rsidRDefault="0E88C9D4" w:rsidP="5BA77740">
      <w:pPr>
        <w:rPr>
          <w:rFonts w:ascii="Arial" w:eastAsia="Arial" w:hAnsi="Arial" w:cs="Arial"/>
          <w:b/>
          <w:bCs/>
          <w:color w:val="000000" w:themeColor="text1"/>
          <w:sz w:val="22"/>
          <w:szCs w:val="22"/>
        </w:rPr>
      </w:pPr>
    </w:p>
    <w:sectPr w:rsidR="0E88C9D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063CBA" w14:textId="77777777" w:rsidR="00E411B3" w:rsidRDefault="00E411B3" w:rsidP="00C25348">
      <w:pPr>
        <w:spacing w:after="0" w:line="240" w:lineRule="auto"/>
      </w:pPr>
      <w:r>
        <w:separator/>
      </w:r>
    </w:p>
  </w:endnote>
  <w:endnote w:type="continuationSeparator" w:id="0">
    <w:p w14:paraId="6FA99733" w14:textId="77777777" w:rsidR="00E411B3" w:rsidRDefault="00E411B3" w:rsidP="00C253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74A60A" w14:textId="77777777" w:rsidR="00E411B3" w:rsidRDefault="00E411B3" w:rsidP="00C25348">
      <w:pPr>
        <w:spacing w:after="0" w:line="240" w:lineRule="auto"/>
      </w:pPr>
      <w:r>
        <w:separator/>
      </w:r>
    </w:p>
  </w:footnote>
  <w:footnote w:type="continuationSeparator" w:id="0">
    <w:p w14:paraId="4976CF41" w14:textId="77777777" w:rsidR="00E411B3" w:rsidRDefault="00E411B3" w:rsidP="00C2534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3MePW5z4wbNoey" int2:id="9AdRztnG">
      <int2:state int2:value="Rejected" int2:type="spell"/>
    </int2:textHash>
    <int2:textHash int2:hashCode="KR4ZVBwUQvweq2" int2:id="vfZGWQ0K">
      <int2:state int2:value="Rejected" int2:type="spell"/>
    </int2:textHash>
    <int2:textHash int2:hashCode="hN6B5b8f/AaH/i" int2:id="BffBDut3">
      <int2:state int2:value="Rejected" int2:type="spell"/>
    </int2:textHash>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2E228"/>
    <w:multiLevelType w:val="hybridMultilevel"/>
    <w:tmpl w:val="FFFFFFFF"/>
    <w:lvl w:ilvl="0" w:tplc="6C9048DC">
      <w:start w:val="1"/>
      <w:numFmt w:val="bullet"/>
      <w:lvlText w:val=""/>
      <w:lvlJc w:val="left"/>
      <w:pPr>
        <w:ind w:left="720" w:hanging="360"/>
      </w:pPr>
      <w:rPr>
        <w:rFonts w:ascii="Symbol" w:hAnsi="Symbol" w:hint="default"/>
      </w:rPr>
    </w:lvl>
    <w:lvl w:ilvl="1" w:tplc="8D128DC2">
      <w:start w:val="1"/>
      <w:numFmt w:val="bullet"/>
      <w:lvlText w:val="o"/>
      <w:lvlJc w:val="left"/>
      <w:pPr>
        <w:ind w:left="1440" w:hanging="360"/>
      </w:pPr>
      <w:rPr>
        <w:rFonts w:ascii="Courier New" w:hAnsi="Courier New" w:hint="default"/>
      </w:rPr>
    </w:lvl>
    <w:lvl w:ilvl="2" w:tplc="AD20244C">
      <w:start w:val="1"/>
      <w:numFmt w:val="bullet"/>
      <w:lvlText w:val=""/>
      <w:lvlJc w:val="left"/>
      <w:pPr>
        <w:ind w:left="2160" w:hanging="360"/>
      </w:pPr>
      <w:rPr>
        <w:rFonts w:ascii="Wingdings" w:hAnsi="Wingdings" w:hint="default"/>
      </w:rPr>
    </w:lvl>
    <w:lvl w:ilvl="3" w:tplc="E80002B8">
      <w:start w:val="1"/>
      <w:numFmt w:val="bullet"/>
      <w:lvlText w:val=""/>
      <w:lvlJc w:val="left"/>
      <w:pPr>
        <w:ind w:left="2880" w:hanging="360"/>
      </w:pPr>
      <w:rPr>
        <w:rFonts w:ascii="Symbol" w:hAnsi="Symbol" w:hint="default"/>
      </w:rPr>
    </w:lvl>
    <w:lvl w:ilvl="4" w:tplc="94785B32">
      <w:start w:val="1"/>
      <w:numFmt w:val="bullet"/>
      <w:lvlText w:val="o"/>
      <w:lvlJc w:val="left"/>
      <w:pPr>
        <w:ind w:left="3600" w:hanging="360"/>
      </w:pPr>
      <w:rPr>
        <w:rFonts w:ascii="Courier New" w:hAnsi="Courier New" w:hint="default"/>
      </w:rPr>
    </w:lvl>
    <w:lvl w:ilvl="5" w:tplc="0A000316">
      <w:start w:val="1"/>
      <w:numFmt w:val="bullet"/>
      <w:lvlText w:val=""/>
      <w:lvlJc w:val="left"/>
      <w:pPr>
        <w:ind w:left="4320" w:hanging="360"/>
      </w:pPr>
      <w:rPr>
        <w:rFonts w:ascii="Wingdings" w:hAnsi="Wingdings" w:hint="default"/>
      </w:rPr>
    </w:lvl>
    <w:lvl w:ilvl="6" w:tplc="A17A34CE">
      <w:start w:val="1"/>
      <w:numFmt w:val="bullet"/>
      <w:lvlText w:val=""/>
      <w:lvlJc w:val="left"/>
      <w:pPr>
        <w:ind w:left="5040" w:hanging="360"/>
      </w:pPr>
      <w:rPr>
        <w:rFonts w:ascii="Symbol" w:hAnsi="Symbol" w:hint="default"/>
      </w:rPr>
    </w:lvl>
    <w:lvl w:ilvl="7" w:tplc="2EF256EA">
      <w:start w:val="1"/>
      <w:numFmt w:val="bullet"/>
      <w:lvlText w:val="o"/>
      <w:lvlJc w:val="left"/>
      <w:pPr>
        <w:ind w:left="5760" w:hanging="360"/>
      </w:pPr>
      <w:rPr>
        <w:rFonts w:ascii="Courier New" w:hAnsi="Courier New" w:hint="default"/>
      </w:rPr>
    </w:lvl>
    <w:lvl w:ilvl="8" w:tplc="CC9E446E">
      <w:start w:val="1"/>
      <w:numFmt w:val="bullet"/>
      <w:lvlText w:val=""/>
      <w:lvlJc w:val="left"/>
      <w:pPr>
        <w:ind w:left="6480" w:hanging="360"/>
      </w:pPr>
      <w:rPr>
        <w:rFonts w:ascii="Wingdings" w:hAnsi="Wingdings" w:hint="default"/>
      </w:rPr>
    </w:lvl>
  </w:abstractNum>
  <w:abstractNum w:abstractNumId="1" w15:restartNumberingAfterBreak="0">
    <w:nsid w:val="075801BE"/>
    <w:multiLevelType w:val="hybridMultilevel"/>
    <w:tmpl w:val="FFFFFFFF"/>
    <w:lvl w:ilvl="0" w:tplc="D61A42EA">
      <w:start w:val="1"/>
      <w:numFmt w:val="bullet"/>
      <w:lvlText w:val=""/>
      <w:lvlJc w:val="left"/>
      <w:pPr>
        <w:ind w:left="720" w:hanging="360"/>
      </w:pPr>
      <w:rPr>
        <w:rFonts w:ascii="Symbol" w:hAnsi="Symbol" w:hint="default"/>
      </w:rPr>
    </w:lvl>
    <w:lvl w:ilvl="1" w:tplc="72860B44">
      <w:start w:val="1"/>
      <w:numFmt w:val="bullet"/>
      <w:lvlText w:val="o"/>
      <w:lvlJc w:val="left"/>
      <w:pPr>
        <w:ind w:left="1440" w:hanging="360"/>
      </w:pPr>
      <w:rPr>
        <w:rFonts w:ascii="Courier New" w:hAnsi="Courier New" w:hint="default"/>
      </w:rPr>
    </w:lvl>
    <w:lvl w:ilvl="2" w:tplc="B248F6EA">
      <w:start w:val="1"/>
      <w:numFmt w:val="bullet"/>
      <w:lvlText w:val=""/>
      <w:lvlJc w:val="left"/>
      <w:pPr>
        <w:ind w:left="2160" w:hanging="360"/>
      </w:pPr>
      <w:rPr>
        <w:rFonts w:ascii="Wingdings" w:hAnsi="Wingdings" w:hint="default"/>
      </w:rPr>
    </w:lvl>
    <w:lvl w:ilvl="3" w:tplc="FB0A71CA">
      <w:start w:val="1"/>
      <w:numFmt w:val="bullet"/>
      <w:lvlText w:val=""/>
      <w:lvlJc w:val="left"/>
      <w:pPr>
        <w:ind w:left="2880" w:hanging="360"/>
      </w:pPr>
      <w:rPr>
        <w:rFonts w:ascii="Symbol" w:hAnsi="Symbol" w:hint="default"/>
      </w:rPr>
    </w:lvl>
    <w:lvl w:ilvl="4" w:tplc="D2B4E0E8">
      <w:start w:val="1"/>
      <w:numFmt w:val="bullet"/>
      <w:lvlText w:val="o"/>
      <w:lvlJc w:val="left"/>
      <w:pPr>
        <w:ind w:left="3600" w:hanging="360"/>
      </w:pPr>
      <w:rPr>
        <w:rFonts w:ascii="Courier New" w:hAnsi="Courier New" w:hint="default"/>
      </w:rPr>
    </w:lvl>
    <w:lvl w:ilvl="5" w:tplc="AD4E158C">
      <w:start w:val="1"/>
      <w:numFmt w:val="bullet"/>
      <w:lvlText w:val=""/>
      <w:lvlJc w:val="left"/>
      <w:pPr>
        <w:ind w:left="4320" w:hanging="360"/>
      </w:pPr>
      <w:rPr>
        <w:rFonts w:ascii="Wingdings" w:hAnsi="Wingdings" w:hint="default"/>
      </w:rPr>
    </w:lvl>
    <w:lvl w:ilvl="6" w:tplc="F5602B68">
      <w:start w:val="1"/>
      <w:numFmt w:val="bullet"/>
      <w:lvlText w:val=""/>
      <w:lvlJc w:val="left"/>
      <w:pPr>
        <w:ind w:left="5040" w:hanging="360"/>
      </w:pPr>
      <w:rPr>
        <w:rFonts w:ascii="Symbol" w:hAnsi="Symbol" w:hint="default"/>
      </w:rPr>
    </w:lvl>
    <w:lvl w:ilvl="7" w:tplc="B9DCBDD2">
      <w:start w:val="1"/>
      <w:numFmt w:val="bullet"/>
      <w:lvlText w:val="o"/>
      <w:lvlJc w:val="left"/>
      <w:pPr>
        <w:ind w:left="5760" w:hanging="360"/>
      </w:pPr>
      <w:rPr>
        <w:rFonts w:ascii="Courier New" w:hAnsi="Courier New" w:hint="default"/>
      </w:rPr>
    </w:lvl>
    <w:lvl w:ilvl="8" w:tplc="DC621CC6">
      <w:start w:val="1"/>
      <w:numFmt w:val="bullet"/>
      <w:lvlText w:val=""/>
      <w:lvlJc w:val="left"/>
      <w:pPr>
        <w:ind w:left="6480" w:hanging="360"/>
      </w:pPr>
      <w:rPr>
        <w:rFonts w:ascii="Wingdings" w:hAnsi="Wingdings" w:hint="default"/>
      </w:rPr>
    </w:lvl>
  </w:abstractNum>
  <w:abstractNum w:abstractNumId="2" w15:restartNumberingAfterBreak="0">
    <w:nsid w:val="15FB8E26"/>
    <w:multiLevelType w:val="hybridMultilevel"/>
    <w:tmpl w:val="FFFFFFFF"/>
    <w:lvl w:ilvl="0" w:tplc="A5AAF0A6">
      <w:start w:val="1"/>
      <w:numFmt w:val="bullet"/>
      <w:lvlText w:val=""/>
      <w:lvlJc w:val="left"/>
      <w:pPr>
        <w:ind w:left="720" w:hanging="360"/>
      </w:pPr>
      <w:rPr>
        <w:rFonts w:ascii="Symbol" w:hAnsi="Symbol" w:hint="default"/>
      </w:rPr>
    </w:lvl>
    <w:lvl w:ilvl="1" w:tplc="A3382C56">
      <w:start w:val="1"/>
      <w:numFmt w:val="bullet"/>
      <w:lvlText w:val="o"/>
      <w:lvlJc w:val="left"/>
      <w:pPr>
        <w:ind w:left="1440" w:hanging="360"/>
      </w:pPr>
      <w:rPr>
        <w:rFonts w:ascii="Courier New" w:hAnsi="Courier New" w:hint="default"/>
      </w:rPr>
    </w:lvl>
    <w:lvl w:ilvl="2" w:tplc="44D27A94">
      <w:start w:val="1"/>
      <w:numFmt w:val="bullet"/>
      <w:lvlText w:val=""/>
      <w:lvlJc w:val="left"/>
      <w:pPr>
        <w:ind w:left="2160" w:hanging="360"/>
      </w:pPr>
      <w:rPr>
        <w:rFonts w:ascii="Wingdings" w:hAnsi="Wingdings" w:hint="default"/>
      </w:rPr>
    </w:lvl>
    <w:lvl w:ilvl="3" w:tplc="F4C833E2">
      <w:start w:val="1"/>
      <w:numFmt w:val="bullet"/>
      <w:lvlText w:val=""/>
      <w:lvlJc w:val="left"/>
      <w:pPr>
        <w:ind w:left="2880" w:hanging="360"/>
      </w:pPr>
      <w:rPr>
        <w:rFonts w:ascii="Symbol" w:hAnsi="Symbol" w:hint="default"/>
      </w:rPr>
    </w:lvl>
    <w:lvl w:ilvl="4" w:tplc="B706DD5A">
      <w:start w:val="1"/>
      <w:numFmt w:val="bullet"/>
      <w:lvlText w:val="o"/>
      <w:lvlJc w:val="left"/>
      <w:pPr>
        <w:ind w:left="3600" w:hanging="360"/>
      </w:pPr>
      <w:rPr>
        <w:rFonts w:ascii="Courier New" w:hAnsi="Courier New" w:hint="default"/>
      </w:rPr>
    </w:lvl>
    <w:lvl w:ilvl="5" w:tplc="835E1BB8">
      <w:start w:val="1"/>
      <w:numFmt w:val="bullet"/>
      <w:lvlText w:val=""/>
      <w:lvlJc w:val="left"/>
      <w:pPr>
        <w:ind w:left="4320" w:hanging="360"/>
      </w:pPr>
      <w:rPr>
        <w:rFonts w:ascii="Wingdings" w:hAnsi="Wingdings" w:hint="default"/>
      </w:rPr>
    </w:lvl>
    <w:lvl w:ilvl="6" w:tplc="DCAEC11E">
      <w:start w:val="1"/>
      <w:numFmt w:val="bullet"/>
      <w:lvlText w:val=""/>
      <w:lvlJc w:val="left"/>
      <w:pPr>
        <w:ind w:left="5040" w:hanging="360"/>
      </w:pPr>
      <w:rPr>
        <w:rFonts w:ascii="Symbol" w:hAnsi="Symbol" w:hint="default"/>
      </w:rPr>
    </w:lvl>
    <w:lvl w:ilvl="7" w:tplc="217CD2CC">
      <w:start w:val="1"/>
      <w:numFmt w:val="bullet"/>
      <w:lvlText w:val="o"/>
      <w:lvlJc w:val="left"/>
      <w:pPr>
        <w:ind w:left="5760" w:hanging="360"/>
      </w:pPr>
      <w:rPr>
        <w:rFonts w:ascii="Courier New" w:hAnsi="Courier New" w:hint="default"/>
      </w:rPr>
    </w:lvl>
    <w:lvl w:ilvl="8" w:tplc="8CB6C77C">
      <w:start w:val="1"/>
      <w:numFmt w:val="bullet"/>
      <w:lvlText w:val=""/>
      <w:lvlJc w:val="left"/>
      <w:pPr>
        <w:ind w:left="6480" w:hanging="360"/>
      </w:pPr>
      <w:rPr>
        <w:rFonts w:ascii="Wingdings" w:hAnsi="Wingdings" w:hint="default"/>
      </w:rPr>
    </w:lvl>
  </w:abstractNum>
  <w:abstractNum w:abstractNumId="3" w15:restartNumberingAfterBreak="0">
    <w:nsid w:val="1C2FABA8"/>
    <w:multiLevelType w:val="hybridMultilevel"/>
    <w:tmpl w:val="FFFFFFFF"/>
    <w:lvl w:ilvl="0" w:tplc="66843EB2">
      <w:start w:val="1"/>
      <w:numFmt w:val="bullet"/>
      <w:lvlText w:val=""/>
      <w:lvlJc w:val="left"/>
      <w:pPr>
        <w:ind w:left="720" w:hanging="360"/>
      </w:pPr>
      <w:rPr>
        <w:rFonts w:ascii="Symbol" w:hAnsi="Symbol" w:hint="default"/>
      </w:rPr>
    </w:lvl>
    <w:lvl w:ilvl="1" w:tplc="84E6078E">
      <w:start w:val="1"/>
      <w:numFmt w:val="bullet"/>
      <w:lvlText w:val="o"/>
      <w:lvlJc w:val="left"/>
      <w:pPr>
        <w:ind w:left="1440" w:hanging="360"/>
      </w:pPr>
      <w:rPr>
        <w:rFonts w:ascii="Courier New" w:hAnsi="Courier New" w:hint="default"/>
      </w:rPr>
    </w:lvl>
    <w:lvl w:ilvl="2" w:tplc="4CB07918">
      <w:start w:val="1"/>
      <w:numFmt w:val="bullet"/>
      <w:lvlText w:val=""/>
      <w:lvlJc w:val="left"/>
      <w:pPr>
        <w:ind w:left="2160" w:hanging="360"/>
      </w:pPr>
      <w:rPr>
        <w:rFonts w:ascii="Wingdings" w:hAnsi="Wingdings" w:hint="default"/>
      </w:rPr>
    </w:lvl>
    <w:lvl w:ilvl="3" w:tplc="F0046E1E">
      <w:start w:val="1"/>
      <w:numFmt w:val="bullet"/>
      <w:lvlText w:val=""/>
      <w:lvlJc w:val="left"/>
      <w:pPr>
        <w:ind w:left="2880" w:hanging="360"/>
      </w:pPr>
      <w:rPr>
        <w:rFonts w:ascii="Symbol" w:hAnsi="Symbol" w:hint="default"/>
      </w:rPr>
    </w:lvl>
    <w:lvl w:ilvl="4" w:tplc="D4D2F666">
      <w:start w:val="1"/>
      <w:numFmt w:val="bullet"/>
      <w:lvlText w:val="o"/>
      <w:lvlJc w:val="left"/>
      <w:pPr>
        <w:ind w:left="3600" w:hanging="360"/>
      </w:pPr>
      <w:rPr>
        <w:rFonts w:ascii="Courier New" w:hAnsi="Courier New" w:hint="default"/>
      </w:rPr>
    </w:lvl>
    <w:lvl w:ilvl="5" w:tplc="698A6C3E">
      <w:start w:val="1"/>
      <w:numFmt w:val="bullet"/>
      <w:lvlText w:val=""/>
      <w:lvlJc w:val="left"/>
      <w:pPr>
        <w:ind w:left="4320" w:hanging="360"/>
      </w:pPr>
      <w:rPr>
        <w:rFonts w:ascii="Wingdings" w:hAnsi="Wingdings" w:hint="default"/>
      </w:rPr>
    </w:lvl>
    <w:lvl w:ilvl="6" w:tplc="F4527612">
      <w:start w:val="1"/>
      <w:numFmt w:val="bullet"/>
      <w:lvlText w:val=""/>
      <w:lvlJc w:val="left"/>
      <w:pPr>
        <w:ind w:left="5040" w:hanging="360"/>
      </w:pPr>
      <w:rPr>
        <w:rFonts w:ascii="Symbol" w:hAnsi="Symbol" w:hint="default"/>
      </w:rPr>
    </w:lvl>
    <w:lvl w:ilvl="7" w:tplc="14C87B3E">
      <w:start w:val="1"/>
      <w:numFmt w:val="bullet"/>
      <w:lvlText w:val="o"/>
      <w:lvlJc w:val="left"/>
      <w:pPr>
        <w:ind w:left="5760" w:hanging="360"/>
      </w:pPr>
      <w:rPr>
        <w:rFonts w:ascii="Courier New" w:hAnsi="Courier New" w:hint="default"/>
      </w:rPr>
    </w:lvl>
    <w:lvl w:ilvl="8" w:tplc="57466E5E">
      <w:start w:val="1"/>
      <w:numFmt w:val="bullet"/>
      <w:lvlText w:val=""/>
      <w:lvlJc w:val="left"/>
      <w:pPr>
        <w:ind w:left="6480" w:hanging="360"/>
      </w:pPr>
      <w:rPr>
        <w:rFonts w:ascii="Wingdings" w:hAnsi="Wingdings" w:hint="default"/>
      </w:rPr>
    </w:lvl>
  </w:abstractNum>
  <w:abstractNum w:abstractNumId="4" w15:restartNumberingAfterBreak="0">
    <w:nsid w:val="22CE8D07"/>
    <w:multiLevelType w:val="hybridMultilevel"/>
    <w:tmpl w:val="FFFFFFFF"/>
    <w:lvl w:ilvl="0" w:tplc="ECE8439E">
      <w:start w:val="1"/>
      <w:numFmt w:val="bullet"/>
      <w:lvlText w:val=""/>
      <w:lvlJc w:val="left"/>
      <w:pPr>
        <w:ind w:left="720" w:hanging="360"/>
      </w:pPr>
      <w:rPr>
        <w:rFonts w:ascii="Symbol" w:hAnsi="Symbol" w:hint="default"/>
      </w:rPr>
    </w:lvl>
    <w:lvl w:ilvl="1" w:tplc="86A28974">
      <w:start w:val="1"/>
      <w:numFmt w:val="bullet"/>
      <w:lvlText w:val="o"/>
      <w:lvlJc w:val="left"/>
      <w:pPr>
        <w:ind w:left="1440" w:hanging="360"/>
      </w:pPr>
      <w:rPr>
        <w:rFonts w:ascii="Courier New" w:hAnsi="Courier New" w:hint="default"/>
      </w:rPr>
    </w:lvl>
    <w:lvl w:ilvl="2" w:tplc="9012A842">
      <w:start w:val="1"/>
      <w:numFmt w:val="bullet"/>
      <w:lvlText w:val=""/>
      <w:lvlJc w:val="left"/>
      <w:pPr>
        <w:ind w:left="2160" w:hanging="360"/>
      </w:pPr>
      <w:rPr>
        <w:rFonts w:ascii="Wingdings" w:hAnsi="Wingdings" w:hint="default"/>
      </w:rPr>
    </w:lvl>
    <w:lvl w:ilvl="3" w:tplc="972CFA4C">
      <w:start w:val="1"/>
      <w:numFmt w:val="bullet"/>
      <w:lvlText w:val=""/>
      <w:lvlJc w:val="left"/>
      <w:pPr>
        <w:ind w:left="2880" w:hanging="360"/>
      </w:pPr>
      <w:rPr>
        <w:rFonts w:ascii="Symbol" w:hAnsi="Symbol" w:hint="default"/>
      </w:rPr>
    </w:lvl>
    <w:lvl w:ilvl="4" w:tplc="BDA6196A">
      <w:start w:val="1"/>
      <w:numFmt w:val="bullet"/>
      <w:lvlText w:val="o"/>
      <w:lvlJc w:val="left"/>
      <w:pPr>
        <w:ind w:left="3600" w:hanging="360"/>
      </w:pPr>
      <w:rPr>
        <w:rFonts w:ascii="Courier New" w:hAnsi="Courier New" w:hint="default"/>
      </w:rPr>
    </w:lvl>
    <w:lvl w:ilvl="5" w:tplc="5B98637E">
      <w:start w:val="1"/>
      <w:numFmt w:val="bullet"/>
      <w:lvlText w:val=""/>
      <w:lvlJc w:val="left"/>
      <w:pPr>
        <w:ind w:left="4320" w:hanging="360"/>
      </w:pPr>
      <w:rPr>
        <w:rFonts w:ascii="Wingdings" w:hAnsi="Wingdings" w:hint="default"/>
      </w:rPr>
    </w:lvl>
    <w:lvl w:ilvl="6" w:tplc="4DA8AC48">
      <w:start w:val="1"/>
      <w:numFmt w:val="bullet"/>
      <w:lvlText w:val=""/>
      <w:lvlJc w:val="left"/>
      <w:pPr>
        <w:ind w:left="5040" w:hanging="360"/>
      </w:pPr>
      <w:rPr>
        <w:rFonts w:ascii="Symbol" w:hAnsi="Symbol" w:hint="default"/>
      </w:rPr>
    </w:lvl>
    <w:lvl w:ilvl="7" w:tplc="BC6C1F4E">
      <w:start w:val="1"/>
      <w:numFmt w:val="bullet"/>
      <w:lvlText w:val="o"/>
      <w:lvlJc w:val="left"/>
      <w:pPr>
        <w:ind w:left="5760" w:hanging="360"/>
      </w:pPr>
      <w:rPr>
        <w:rFonts w:ascii="Courier New" w:hAnsi="Courier New" w:hint="default"/>
      </w:rPr>
    </w:lvl>
    <w:lvl w:ilvl="8" w:tplc="493CF54E">
      <w:start w:val="1"/>
      <w:numFmt w:val="bullet"/>
      <w:lvlText w:val=""/>
      <w:lvlJc w:val="left"/>
      <w:pPr>
        <w:ind w:left="6480" w:hanging="360"/>
      </w:pPr>
      <w:rPr>
        <w:rFonts w:ascii="Wingdings" w:hAnsi="Wingdings" w:hint="default"/>
      </w:rPr>
    </w:lvl>
  </w:abstractNum>
  <w:abstractNum w:abstractNumId="5" w15:restartNumberingAfterBreak="0">
    <w:nsid w:val="28958F51"/>
    <w:multiLevelType w:val="hybridMultilevel"/>
    <w:tmpl w:val="FFFFFFFF"/>
    <w:lvl w:ilvl="0" w:tplc="2C868D9A">
      <w:start w:val="1"/>
      <w:numFmt w:val="bullet"/>
      <w:lvlText w:val=""/>
      <w:lvlJc w:val="left"/>
      <w:pPr>
        <w:ind w:left="720" w:hanging="360"/>
      </w:pPr>
      <w:rPr>
        <w:rFonts w:ascii="Symbol" w:hAnsi="Symbol" w:hint="default"/>
      </w:rPr>
    </w:lvl>
    <w:lvl w:ilvl="1" w:tplc="DF5EC35A">
      <w:start w:val="1"/>
      <w:numFmt w:val="bullet"/>
      <w:lvlText w:val="o"/>
      <w:lvlJc w:val="left"/>
      <w:pPr>
        <w:ind w:left="1440" w:hanging="360"/>
      </w:pPr>
      <w:rPr>
        <w:rFonts w:ascii="Courier New" w:hAnsi="Courier New" w:hint="default"/>
      </w:rPr>
    </w:lvl>
    <w:lvl w:ilvl="2" w:tplc="E31E9C2A">
      <w:start w:val="1"/>
      <w:numFmt w:val="bullet"/>
      <w:lvlText w:val=""/>
      <w:lvlJc w:val="left"/>
      <w:pPr>
        <w:ind w:left="2160" w:hanging="360"/>
      </w:pPr>
      <w:rPr>
        <w:rFonts w:ascii="Wingdings" w:hAnsi="Wingdings" w:hint="default"/>
      </w:rPr>
    </w:lvl>
    <w:lvl w:ilvl="3" w:tplc="69985D3E">
      <w:start w:val="1"/>
      <w:numFmt w:val="bullet"/>
      <w:lvlText w:val=""/>
      <w:lvlJc w:val="left"/>
      <w:pPr>
        <w:ind w:left="2880" w:hanging="360"/>
      </w:pPr>
      <w:rPr>
        <w:rFonts w:ascii="Symbol" w:hAnsi="Symbol" w:hint="default"/>
      </w:rPr>
    </w:lvl>
    <w:lvl w:ilvl="4" w:tplc="78B05248">
      <w:start w:val="1"/>
      <w:numFmt w:val="bullet"/>
      <w:lvlText w:val="o"/>
      <w:lvlJc w:val="left"/>
      <w:pPr>
        <w:ind w:left="3600" w:hanging="360"/>
      </w:pPr>
      <w:rPr>
        <w:rFonts w:ascii="Courier New" w:hAnsi="Courier New" w:hint="default"/>
      </w:rPr>
    </w:lvl>
    <w:lvl w:ilvl="5" w:tplc="0F7087FC">
      <w:start w:val="1"/>
      <w:numFmt w:val="bullet"/>
      <w:lvlText w:val=""/>
      <w:lvlJc w:val="left"/>
      <w:pPr>
        <w:ind w:left="4320" w:hanging="360"/>
      </w:pPr>
      <w:rPr>
        <w:rFonts w:ascii="Wingdings" w:hAnsi="Wingdings" w:hint="default"/>
      </w:rPr>
    </w:lvl>
    <w:lvl w:ilvl="6" w:tplc="386E4528">
      <w:start w:val="1"/>
      <w:numFmt w:val="bullet"/>
      <w:lvlText w:val=""/>
      <w:lvlJc w:val="left"/>
      <w:pPr>
        <w:ind w:left="5040" w:hanging="360"/>
      </w:pPr>
      <w:rPr>
        <w:rFonts w:ascii="Symbol" w:hAnsi="Symbol" w:hint="default"/>
      </w:rPr>
    </w:lvl>
    <w:lvl w:ilvl="7" w:tplc="63484EE2">
      <w:start w:val="1"/>
      <w:numFmt w:val="bullet"/>
      <w:lvlText w:val="o"/>
      <w:lvlJc w:val="left"/>
      <w:pPr>
        <w:ind w:left="5760" w:hanging="360"/>
      </w:pPr>
      <w:rPr>
        <w:rFonts w:ascii="Courier New" w:hAnsi="Courier New" w:hint="default"/>
      </w:rPr>
    </w:lvl>
    <w:lvl w:ilvl="8" w:tplc="C9485888">
      <w:start w:val="1"/>
      <w:numFmt w:val="bullet"/>
      <w:lvlText w:val=""/>
      <w:lvlJc w:val="left"/>
      <w:pPr>
        <w:ind w:left="6480" w:hanging="360"/>
      </w:pPr>
      <w:rPr>
        <w:rFonts w:ascii="Wingdings" w:hAnsi="Wingdings" w:hint="default"/>
      </w:rPr>
    </w:lvl>
  </w:abstractNum>
  <w:abstractNum w:abstractNumId="6" w15:restartNumberingAfterBreak="0">
    <w:nsid w:val="2A5DE06B"/>
    <w:multiLevelType w:val="hybridMultilevel"/>
    <w:tmpl w:val="FFFFFFFF"/>
    <w:lvl w:ilvl="0" w:tplc="720000D4">
      <w:start w:val="1"/>
      <w:numFmt w:val="bullet"/>
      <w:lvlText w:val=""/>
      <w:lvlJc w:val="left"/>
      <w:pPr>
        <w:ind w:left="720" w:hanging="360"/>
      </w:pPr>
      <w:rPr>
        <w:rFonts w:ascii="Symbol" w:hAnsi="Symbol" w:hint="default"/>
      </w:rPr>
    </w:lvl>
    <w:lvl w:ilvl="1" w:tplc="23B078EA">
      <w:start w:val="1"/>
      <w:numFmt w:val="bullet"/>
      <w:lvlText w:val="o"/>
      <w:lvlJc w:val="left"/>
      <w:pPr>
        <w:ind w:left="1440" w:hanging="360"/>
      </w:pPr>
      <w:rPr>
        <w:rFonts w:ascii="Courier New" w:hAnsi="Courier New" w:hint="default"/>
      </w:rPr>
    </w:lvl>
    <w:lvl w:ilvl="2" w:tplc="24B4625E">
      <w:start w:val="1"/>
      <w:numFmt w:val="bullet"/>
      <w:lvlText w:val=""/>
      <w:lvlJc w:val="left"/>
      <w:pPr>
        <w:ind w:left="2160" w:hanging="360"/>
      </w:pPr>
      <w:rPr>
        <w:rFonts w:ascii="Wingdings" w:hAnsi="Wingdings" w:hint="default"/>
      </w:rPr>
    </w:lvl>
    <w:lvl w:ilvl="3" w:tplc="4182A892">
      <w:start w:val="1"/>
      <w:numFmt w:val="bullet"/>
      <w:lvlText w:val=""/>
      <w:lvlJc w:val="left"/>
      <w:pPr>
        <w:ind w:left="2880" w:hanging="360"/>
      </w:pPr>
      <w:rPr>
        <w:rFonts w:ascii="Symbol" w:hAnsi="Symbol" w:hint="default"/>
      </w:rPr>
    </w:lvl>
    <w:lvl w:ilvl="4" w:tplc="9A60F3F8">
      <w:start w:val="1"/>
      <w:numFmt w:val="bullet"/>
      <w:lvlText w:val="o"/>
      <w:lvlJc w:val="left"/>
      <w:pPr>
        <w:ind w:left="3600" w:hanging="360"/>
      </w:pPr>
      <w:rPr>
        <w:rFonts w:ascii="Courier New" w:hAnsi="Courier New" w:hint="default"/>
      </w:rPr>
    </w:lvl>
    <w:lvl w:ilvl="5" w:tplc="1C4025BC">
      <w:start w:val="1"/>
      <w:numFmt w:val="bullet"/>
      <w:lvlText w:val=""/>
      <w:lvlJc w:val="left"/>
      <w:pPr>
        <w:ind w:left="4320" w:hanging="360"/>
      </w:pPr>
      <w:rPr>
        <w:rFonts w:ascii="Wingdings" w:hAnsi="Wingdings" w:hint="default"/>
      </w:rPr>
    </w:lvl>
    <w:lvl w:ilvl="6" w:tplc="1890B664">
      <w:start w:val="1"/>
      <w:numFmt w:val="bullet"/>
      <w:lvlText w:val=""/>
      <w:lvlJc w:val="left"/>
      <w:pPr>
        <w:ind w:left="5040" w:hanging="360"/>
      </w:pPr>
      <w:rPr>
        <w:rFonts w:ascii="Symbol" w:hAnsi="Symbol" w:hint="default"/>
      </w:rPr>
    </w:lvl>
    <w:lvl w:ilvl="7" w:tplc="9042AD98">
      <w:start w:val="1"/>
      <w:numFmt w:val="bullet"/>
      <w:lvlText w:val="o"/>
      <w:lvlJc w:val="left"/>
      <w:pPr>
        <w:ind w:left="5760" w:hanging="360"/>
      </w:pPr>
      <w:rPr>
        <w:rFonts w:ascii="Courier New" w:hAnsi="Courier New" w:hint="default"/>
      </w:rPr>
    </w:lvl>
    <w:lvl w:ilvl="8" w:tplc="29BC5594">
      <w:start w:val="1"/>
      <w:numFmt w:val="bullet"/>
      <w:lvlText w:val=""/>
      <w:lvlJc w:val="left"/>
      <w:pPr>
        <w:ind w:left="6480" w:hanging="360"/>
      </w:pPr>
      <w:rPr>
        <w:rFonts w:ascii="Wingdings" w:hAnsi="Wingdings" w:hint="default"/>
      </w:rPr>
    </w:lvl>
  </w:abstractNum>
  <w:abstractNum w:abstractNumId="7" w15:restartNumberingAfterBreak="0">
    <w:nsid w:val="2A9FF876"/>
    <w:multiLevelType w:val="hybridMultilevel"/>
    <w:tmpl w:val="FFFFFFFF"/>
    <w:lvl w:ilvl="0" w:tplc="CEA0578C">
      <w:start w:val="1"/>
      <w:numFmt w:val="bullet"/>
      <w:lvlText w:val=""/>
      <w:lvlJc w:val="left"/>
      <w:pPr>
        <w:ind w:left="720" w:hanging="360"/>
      </w:pPr>
      <w:rPr>
        <w:rFonts w:ascii="Symbol" w:hAnsi="Symbol" w:hint="default"/>
      </w:rPr>
    </w:lvl>
    <w:lvl w:ilvl="1" w:tplc="1B1C6328">
      <w:start w:val="1"/>
      <w:numFmt w:val="bullet"/>
      <w:lvlText w:val="o"/>
      <w:lvlJc w:val="left"/>
      <w:pPr>
        <w:ind w:left="1440" w:hanging="360"/>
      </w:pPr>
      <w:rPr>
        <w:rFonts w:ascii="Courier New" w:hAnsi="Courier New" w:hint="default"/>
      </w:rPr>
    </w:lvl>
    <w:lvl w:ilvl="2" w:tplc="90AC89E4">
      <w:start w:val="1"/>
      <w:numFmt w:val="bullet"/>
      <w:lvlText w:val=""/>
      <w:lvlJc w:val="left"/>
      <w:pPr>
        <w:ind w:left="2160" w:hanging="360"/>
      </w:pPr>
      <w:rPr>
        <w:rFonts w:ascii="Wingdings" w:hAnsi="Wingdings" w:hint="default"/>
      </w:rPr>
    </w:lvl>
    <w:lvl w:ilvl="3" w:tplc="941C95AE">
      <w:start w:val="1"/>
      <w:numFmt w:val="bullet"/>
      <w:lvlText w:val=""/>
      <w:lvlJc w:val="left"/>
      <w:pPr>
        <w:ind w:left="2880" w:hanging="360"/>
      </w:pPr>
      <w:rPr>
        <w:rFonts w:ascii="Symbol" w:hAnsi="Symbol" w:hint="default"/>
      </w:rPr>
    </w:lvl>
    <w:lvl w:ilvl="4" w:tplc="A6209D7A">
      <w:start w:val="1"/>
      <w:numFmt w:val="bullet"/>
      <w:lvlText w:val="o"/>
      <w:lvlJc w:val="left"/>
      <w:pPr>
        <w:ind w:left="3600" w:hanging="360"/>
      </w:pPr>
      <w:rPr>
        <w:rFonts w:ascii="Courier New" w:hAnsi="Courier New" w:hint="default"/>
      </w:rPr>
    </w:lvl>
    <w:lvl w:ilvl="5" w:tplc="B8CCEE96">
      <w:start w:val="1"/>
      <w:numFmt w:val="bullet"/>
      <w:lvlText w:val=""/>
      <w:lvlJc w:val="left"/>
      <w:pPr>
        <w:ind w:left="4320" w:hanging="360"/>
      </w:pPr>
      <w:rPr>
        <w:rFonts w:ascii="Wingdings" w:hAnsi="Wingdings" w:hint="default"/>
      </w:rPr>
    </w:lvl>
    <w:lvl w:ilvl="6" w:tplc="8B0A5E68">
      <w:start w:val="1"/>
      <w:numFmt w:val="bullet"/>
      <w:lvlText w:val=""/>
      <w:lvlJc w:val="left"/>
      <w:pPr>
        <w:ind w:left="5040" w:hanging="360"/>
      </w:pPr>
      <w:rPr>
        <w:rFonts w:ascii="Symbol" w:hAnsi="Symbol" w:hint="default"/>
      </w:rPr>
    </w:lvl>
    <w:lvl w:ilvl="7" w:tplc="42BC7618">
      <w:start w:val="1"/>
      <w:numFmt w:val="bullet"/>
      <w:lvlText w:val="o"/>
      <w:lvlJc w:val="left"/>
      <w:pPr>
        <w:ind w:left="5760" w:hanging="360"/>
      </w:pPr>
      <w:rPr>
        <w:rFonts w:ascii="Courier New" w:hAnsi="Courier New" w:hint="default"/>
      </w:rPr>
    </w:lvl>
    <w:lvl w:ilvl="8" w:tplc="132E15E2">
      <w:start w:val="1"/>
      <w:numFmt w:val="bullet"/>
      <w:lvlText w:val=""/>
      <w:lvlJc w:val="left"/>
      <w:pPr>
        <w:ind w:left="6480" w:hanging="360"/>
      </w:pPr>
      <w:rPr>
        <w:rFonts w:ascii="Wingdings" w:hAnsi="Wingdings" w:hint="default"/>
      </w:rPr>
    </w:lvl>
  </w:abstractNum>
  <w:abstractNum w:abstractNumId="8" w15:restartNumberingAfterBreak="0">
    <w:nsid w:val="2B8E7040"/>
    <w:multiLevelType w:val="hybridMultilevel"/>
    <w:tmpl w:val="FFFFFFFF"/>
    <w:lvl w:ilvl="0" w:tplc="24B44F14">
      <w:start w:val="1"/>
      <w:numFmt w:val="bullet"/>
      <w:lvlText w:val=""/>
      <w:lvlJc w:val="left"/>
      <w:pPr>
        <w:ind w:left="720" w:hanging="360"/>
      </w:pPr>
      <w:rPr>
        <w:rFonts w:ascii="Symbol" w:hAnsi="Symbol" w:hint="default"/>
      </w:rPr>
    </w:lvl>
    <w:lvl w:ilvl="1" w:tplc="2250994E">
      <w:start w:val="1"/>
      <w:numFmt w:val="bullet"/>
      <w:lvlText w:val="o"/>
      <w:lvlJc w:val="left"/>
      <w:pPr>
        <w:ind w:left="1440" w:hanging="360"/>
      </w:pPr>
      <w:rPr>
        <w:rFonts w:ascii="Courier New" w:hAnsi="Courier New" w:hint="default"/>
      </w:rPr>
    </w:lvl>
    <w:lvl w:ilvl="2" w:tplc="B58A0D7E">
      <w:start w:val="1"/>
      <w:numFmt w:val="bullet"/>
      <w:lvlText w:val=""/>
      <w:lvlJc w:val="left"/>
      <w:pPr>
        <w:ind w:left="2160" w:hanging="360"/>
      </w:pPr>
      <w:rPr>
        <w:rFonts w:ascii="Wingdings" w:hAnsi="Wingdings" w:hint="default"/>
      </w:rPr>
    </w:lvl>
    <w:lvl w:ilvl="3" w:tplc="171859D2">
      <w:start w:val="1"/>
      <w:numFmt w:val="bullet"/>
      <w:lvlText w:val=""/>
      <w:lvlJc w:val="left"/>
      <w:pPr>
        <w:ind w:left="2880" w:hanging="360"/>
      </w:pPr>
      <w:rPr>
        <w:rFonts w:ascii="Symbol" w:hAnsi="Symbol" w:hint="default"/>
      </w:rPr>
    </w:lvl>
    <w:lvl w:ilvl="4" w:tplc="495CE638">
      <w:start w:val="1"/>
      <w:numFmt w:val="bullet"/>
      <w:lvlText w:val="o"/>
      <w:lvlJc w:val="left"/>
      <w:pPr>
        <w:ind w:left="3600" w:hanging="360"/>
      </w:pPr>
      <w:rPr>
        <w:rFonts w:ascii="Courier New" w:hAnsi="Courier New" w:hint="default"/>
      </w:rPr>
    </w:lvl>
    <w:lvl w:ilvl="5" w:tplc="B0B0F74E">
      <w:start w:val="1"/>
      <w:numFmt w:val="bullet"/>
      <w:lvlText w:val=""/>
      <w:lvlJc w:val="left"/>
      <w:pPr>
        <w:ind w:left="4320" w:hanging="360"/>
      </w:pPr>
      <w:rPr>
        <w:rFonts w:ascii="Wingdings" w:hAnsi="Wingdings" w:hint="default"/>
      </w:rPr>
    </w:lvl>
    <w:lvl w:ilvl="6" w:tplc="18EC8124">
      <w:start w:val="1"/>
      <w:numFmt w:val="bullet"/>
      <w:lvlText w:val=""/>
      <w:lvlJc w:val="left"/>
      <w:pPr>
        <w:ind w:left="5040" w:hanging="360"/>
      </w:pPr>
      <w:rPr>
        <w:rFonts w:ascii="Symbol" w:hAnsi="Symbol" w:hint="default"/>
      </w:rPr>
    </w:lvl>
    <w:lvl w:ilvl="7" w:tplc="BE78AFCC">
      <w:start w:val="1"/>
      <w:numFmt w:val="bullet"/>
      <w:lvlText w:val="o"/>
      <w:lvlJc w:val="left"/>
      <w:pPr>
        <w:ind w:left="5760" w:hanging="360"/>
      </w:pPr>
      <w:rPr>
        <w:rFonts w:ascii="Courier New" w:hAnsi="Courier New" w:hint="default"/>
      </w:rPr>
    </w:lvl>
    <w:lvl w:ilvl="8" w:tplc="953821A0">
      <w:start w:val="1"/>
      <w:numFmt w:val="bullet"/>
      <w:lvlText w:val=""/>
      <w:lvlJc w:val="left"/>
      <w:pPr>
        <w:ind w:left="6480" w:hanging="360"/>
      </w:pPr>
      <w:rPr>
        <w:rFonts w:ascii="Wingdings" w:hAnsi="Wingdings" w:hint="default"/>
      </w:rPr>
    </w:lvl>
  </w:abstractNum>
  <w:abstractNum w:abstractNumId="9" w15:restartNumberingAfterBreak="0">
    <w:nsid w:val="2E4D178F"/>
    <w:multiLevelType w:val="hybridMultilevel"/>
    <w:tmpl w:val="FFFFFFFF"/>
    <w:lvl w:ilvl="0" w:tplc="E4F06524">
      <w:start w:val="1"/>
      <w:numFmt w:val="bullet"/>
      <w:lvlText w:val=""/>
      <w:lvlJc w:val="left"/>
      <w:pPr>
        <w:ind w:left="720" w:hanging="360"/>
      </w:pPr>
      <w:rPr>
        <w:rFonts w:ascii="Symbol" w:hAnsi="Symbol" w:hint="default"/>
      </w:rPr>
    </w:lvl>
    <w:lvl w:ilvl="1" w:tplc="9A064AEE">
      <w:start w:val="1"/>
      <w:numFmt w:val="bullet"/>
      <w:lvlText w:val="o"/>
      <w:lvlJc w:val="left"/>
      <w:pPr>
        <w:ind w:left="1440" w:hanging="360"/>
      </w:pPr>
      <w:rPr>
        <w:rFonts w:ascii="Courier New" w:hAnsi="Courier New" w:hint="default"/>
      </w:rPr>
    </w:lvl>
    <w:lvl w:ilvl="2" w:tplc="E3A26E1A">
      <w:start w:val="1"/>
      <w:numFmt w:val="bullet"/>
      <w:lvlText w:val=""/>
      <w:lvlJc w:val="left"/>
      <w:pPr>
        <w:ind w:left="2160" w:hanging="360"/>
      </w:pPr>
      <w:rPr>
        <w:rFonts w:ascii="Wingdings" w:hAnsi="Wingdings" w:hint="default"/>
      </w:rPr>
    </w:lvl>
    <w:lvl w:ilvl="3" w:tplc="3622FDF0">
      <w:start w:val="1"/>
      <w:numFmt w:val="bullet"/>
      <w:lvlText w:val=""/>
      <w:lvlJc w:val="left"/>
      <w:pPr>
        <w:ind w:left="2880" w:hanging="360"/>
      </w:pPr>
      <w:rPr>
        <w:rFonts w:ascii="Symbol" w:hAnsi="Symbol" w:hint="default"/>
      </w:rPr>
    </w:lvl>
    <w:lvl w:ilvl="4" w:tplc="A6C66680">
      <w:start w:val="1"/>
      <w:numFmt w:val="bullet"/>
      <w:lvlText w:val="o"/>
      <w:lvlJc w:val="left"/>
      <w:pPr>
        <w:ind w:left="3600" w:hanging="360"/>
      </w:pPr>
      <w:rPr>
        <w:rFonts w:ascii="Courier New" w:hAnsi="Courier New" w:hint="default"/>
      </w:rPr>
    </w:lvl>
    <w:lvl w:ilvl="5" w:tplc="C57C9E0A">
      <w:start w:val="1"/>
      <w:numFmt w:val="bullet"/>
      <w:lvlText w:val=""/>
      <w:lvlJc w:val="left"/>
      <w:pPr>
        <w:ind w:left="4320" w:hanging="360"/>
      </w:pPr>
      <w:rPr>
        <w:rFonts w:ascii="Wingdings" w:hAnsi="Wingdings" w:hint="default"/>
      </w:rPr>
    </w:lvl>
    <w:lvl w:ilvl="6" w:tplc="88C42C88">
      <w:start w:val="1"/>
      <w:numFmt w:val="bullet"/>
      <w:lvlText w:val=""/>
      <w:lvlJc w:val="left"/>
      <w:pPr>
        <w:ind w:left="5040" w:hanging="360"/>
      </w:pPr>
      <w:rPr>
        <w:rFonts w:ascii="Symbol" w:hAnsi="Symbol" w:hint="default"/>
      </w:rPr>
    </w:lvl>
    <w:lvl w:ilvl="7" w:tplc="C80AAD78">
      <w:start w:val="1"/>
      <w:numFmt w:val="bullet"/>
      <w:lvlText w:val="o"/>
      <w:lvlJc w:val="left"/>
      <w:pPr>
        <w:ind w:left="5760" w:hanging="360"/>
      </w:pPr>
      <w:rPr>
        <w:rFonts w:ascii="Courier New" w:hAnsi="Courier New" w:hint="default"/>
      </w:rPr>
    </w:lvl>
    <w:lvl w:ilvl="8" w:tplc="5F34E052">
      <w:start w:val="1"/>
      <w:numFmt w:val="bullet"/>
      <w:lvlText w:val=""/>
      <w:lvlJc w:val="left"/>
      <w:pPr>
        <w:ind w:left="6480" w:hanging="360"/>
      </w:pPr>
      <w:rPr>
        <w:rFonts w:ascii="Wingdings" w:hAnsi="Wingdings" w:hint="default"/>
      </w:rPr>
    </w:lvl>
  </w:abstractNum>
  <w:abstractNum w:abstractNumId="10" w15:restartNumberingAfterBreak="0">
    <w:nsid w:val="319C59E1"/>
    <w:multiLevelType w:val="hybridMultilevel"/>
    <w:tmpl w:val="FFFFFFFF"/>
    <w:lvl w:ilvl="0" w:tplc="C0EEFB70">
      <w:start w:val="1"/>
      <w:numFmt w:val="bullet"/>
      <w:lvlText w:val=""/>
      <w:lvlJc w:val="left"/>
      <w:pPr>
        <w:ind w:left="720" w:hanging="360"/>
      </w:pPr>
      <w:rPr>
        <w:rFonts w:ascii="Symbol" w:hAnsi="Symbol" w:hint="default"/>
      </w:rPr>
    </w:lvl>
    <w:lvl w:ilvl="1" w:tplc="8D706C3C">
      <w:start w:val="1"/>
      <w:numFmt w:val="bullet"/>
      <w:lvlText w:val="o"/>
      <w:lvlJc w:val="left"/>
      <w:pPr>
        <w:ind w:left="1440" w:hanging="360"/>
      </w:pPr>
      <w:rPr>
        <w:rFonts w:ascii="Courier New" w:hAnsi="Courier New" w:hint="default"/>
      </w:rPr>
    </w:lvl>
    <w:lvl w:ilvl="2" w:tplc="A5649A8E">
      <w:start w:val="1"/>
      <w:numFmt w:val="bullet"/>
      <w:lvlText w:val=""/>
      <w:lvlJc w:val="left"/>
      <w:pPr>
        <w:ind w:left="2160" w:hanging="360"/>
      </w:pPr>
      <w:rPr>
        <w:rFonts w:ascii="Wingdings" w:hAnsi="Wingdings" w:hint="default"/>
      </w:rPr>
    </w:lvl>
    <w:lvl w:ilvl="3" w:tplc="DC789F46">
      <w:start w:val="1"/>
      <w:numFmt w:val="bullet"/>
      <w:lvlText w:val=""/>
      <w:lvlJc w:val="left"/>
      <w:pPr>
        <w:ind w:left="2880" w:hanging="360"/>
      </w:pPr>
      <w:rPr>
        <w:rFonts w:ascii="Symbol" w:hAnsi="Symbol" w:hint="default"/>
      </w:rPr>
    </w:lvl>
    <w:lvl w:ilvl="4" w:tplc="C8285CA2">
      <w:start w:val="1"/>
      <w:numFmt w:val="bullet"/>
      <w:lvlText w:val="o"/>
      <w:lvlJc w:val="left"/>
      <w:pPr>
        <w:ind w:left="3600" w:hanging="360"/>
      </w:pPr>
      <w:rPr>
        <w:rFonts w:ascii="Courier New" w:hAnsi="Courier New" w:hint="default"/>
      </w:rPr>
    </w:lvl>
    <w:lvl w:ilvl="5" w:tplc="4B7A0F10">
      <w:start w:val="1"/>
      <w:numFmt w:val="bullet"/>
      <w:lvlText w:val=""/>
      <w:lvlJc w:val="left"/>
      <w:pPr>
        <w:ind w:left="4320" w:hanging="360"/>
      </w:pPr>
      <w:rPr>
        <w:rFonts w:ascii="Wingdings" w:hAnsi="Wingdings" w:hint="default"/>
      </w:rPr>
    </w:lvl>
    <w:lvl w:ilvl="6" w:tplc="4866E408">
      <w:start w:val="1"/>
      <w:numFmt w:val="bullet"/>
      <w:lvlText w:val=""/>
      <w:lvlJc w:val="left"/>
      <w:pPr>
        <w:ind w:left="5040" w:hanging="360"/>
      </w:pPr>
      <w:rPr>
        <w:rFonts w:ascii="Symbol" w:hAnsi="Symbol" w:hint="default"/>
      </w:rPr>
    </w:lvl>
    <w:lvl w:ilvl="7" w:tplc="B9462110">
      <w:start w:val="1"/>
      <w:numFmt w:val="bullet"/>
      <w:lvlText w:val="o"/>
      <w:lvlJc w:val="left"/>
      <w:pPr>
        <w:ind w:left="5760" w:hanging="360"/>
      </w:pPr>
      <w:rPr>
        <w:rFonts w:ascii="Courier New" w:hAnsi="Courier New" w:hint="default"/>
      </w:rPr>
    </w:lvl>
    <w:lvl w:ilvl="8" w:tplc="CB88D6C6">
      <w:start w:val="1"/>
      <w:numFmt w:val="bullet"/>
      <w:lvlText w:val=""/>
      <w:lvlJc w:val="left"/>
      <w:pPr>
        <w:ind w:left="6480" w:hanging="360"/>
      </w:pPr>
      <w:rPr>
        <w:rFonts w:ascii="Wingdings" w:hAnsi="Wingdings" w:hint="default"/>
      </w:rPr>
    </w:lvl>
  </w:abstractNum>
  <w:abstractNum w:abstractNumId="11" w15:restartNumberingAfterBreak="0">
    <w:nsid w:val="348B7A55"/>
    <w:multiLevelType w:val="hybridMultilevel"/>
    <w:tmpl w:val="FFFFFFFF"/>
    <w:lvl w:ilvl="0" w:tplc="1BE46530">
      <w:start w:val="1"/>
      <w:numFmt w:val="bullet"/>
      <w:lvlText w:val=""/>
      <w:lvlJc w:val="left"/>
      <w:pPr>
        <w:ind w:left="720" w:hanging="360"/>
      </w:pPr>
      <w:rPr>
        <w:rFonts w:ascii="Symbol" w:hAnsi="Symbol" w:hint="default"/>
      </w:rPr>
    </w:lvl>
    <w:lvl w:ilvl="1" w:tplc="57585E46">
      <w:start w:val="1"/>
      <w:numFmt w:val="bullet"/>
      <w:lvlText w:val="o"/>
      <w:lvlJc w:val="left"/>
      <w:pPr>
        <w:ind w:left="1440" w:hanging="360"/>
      </w:pPr>
      <w:rPr>
        <w:rFonts w:ascii="Courier New" w:hAnsi="Courier New" w:hint="default"/>
      </w:rPr>
    </w:lvl>
    <w:lvl w:ilvl="2" w:tplc="FF1A330A">
      <w:start w:val="1"/>
      <w:numFmt w:val="bullet"/>
      <w:lvlText w:val=""/>
      <w:lvlJc w:val="left"/>
      <w:pPr>
        <w:ind w:left="2160" w:hanging="360"/>
      </w:pPr>
      <w:rPr>
        <w:rFonts w:ascii="Wingdings" w:hAnsi="Wingdings" w:hint="default"/>
      </w:rPr>
    </w:lvl>
    <w:lvl w:ilvl="3" w:tplc="70F6FCC0">
      <w:start w:val="1"/>
      <w:numFmt w:val="bullet"/>
      <w:lvlText w:val=""/>
      <w:lvlJc w:val="left"/>
      <w:pPr>
        <w:ind w:left="2880" w:hanging="360"/>
      </w:pPr>
      <w:rPr>
        <w:rFonts w:ascii="Symbol" w:hAnsi="Symbol" w:hint="default"/>
      </w:rPr>
    </w:lvl>
    <w:lvl w:ilvl="4" w:tplc="11986EB8">
      <w:start w:val="1"/>
      <w:numFmt w:val="bullet"/>
      <w:lvlText w:val="o"/>
      <w:lvlJc w:val="left"/>
      <w:pPr>
        <w:ind w:left="3600" w:hanging="360"/>
      </w:pPr>
      <w:rPr>
        <w:rFonts w:ascii="Courier New" w:hAnsi="Courier New" w:hint="default"/>
      </w:rPr>
    </w:lvl>
    <w:lvl w:ilvl="5" w:tplc="E9366B64">
      <w:start w:val="1"/>
      <w:numFmt w:val="bullet"/>
      <w:lvlText w:val=""/>
      <w:lvlJc w:val="left"/>
      <w:pPr>
        <w:ind w:left="4320" w:hanging="360"/>
      </w:pPr>
      <w:rPr>
        <w:rFonts w:ascii="Wingdings" w:hAnsi="Wingdings" w:hint="default"/>
      </w:rPr>
    </w:lvl>
    <w:lvl w:ilvl="6" w:tplc="5598332C">
      <w:start w:val="1"/>
      <w:numFmt w:val="bullet"/>
      <w:lvlText w:val=""/>
      <w:lvlJc w:val="left"/>
      <w:pPr>
        <w:ind w:left="5040" w:hanging="360"/>
      </w:pPr>
      <w:rPr>
        <w:rFonts w:ascii="Symbol" w:hAnsi="Symbol" w:hint="default"/>
      </w:rPr>
    </w:lvl>
    <w:lvl w:ilvl="7" w:tplc="868E9278">
      <w:start w:val="1"/>
      <w:numFmt w:val="bullet"/>
      <w:lvlText w:val="o"/>
      <w:lvlJc w:val="left"/>
      <w:pPr>
        <w:ind w:left="5760" w:hanging="360"/>
      </w:pPr>
      <w:rPr>
        <w:rFonts w:ascii="Courier New" w:hAnsi="Courier New" w:hint="default"/>
      </w:rPr>
    </w:lvl>
    <w:lvl w:ilvl="8" w:tplc="9F4C9A4C">
      <w:start w:val="1"/>
      <w:numFmt w:val="bullet"/>
      <w:lvlText w:val=""/>
      <w:lvlJc w:val="left"/>
      <w:pPr>
        <w:ind w:left="6480" w:hanging="360"/>
      </w:pPr>
      <w:rPr>
        <w:rFonts w:ascii="Wingdings" w:hAnsi="Wingdings" w:hint="default"/>
      </w:rPr>
    </w:lvl>
  </w:abstractNum>
  <w:abstractNum w:abstractNumId="12" w15:restartNumberingAfterBreak="0">
    <w:nsid w:val="415C87FA"/>
    <w:multiLevelType w:val="hybridMultilevel"/>
    <w:tmpl w:val="FFFFFFFF"/>
    <w:lvl w:ilvl="0" w:tplc="C548E068">
      <w:start w:val="1"/>
      <w:numFmt w:val="bullet"/>
      <w:lvlText w:val=""/>
      <w:lvlJc w:val="left"/>
      <w:pPr>
        <w:ind w:left="720" w:hanging="360"/>
      </w:pPr>
      <w:rPr>
        <w:rFonts w:ascii="Symbol" w:hAnsi="Symbol" w:hint="default"/>
      </w:rPr>
    </w:lvl>
    <w:lvl w:ilvl="1" w:tplc="9604BA3C">
      <w:start w:val="1"/>
      <w:numFmt w:val="bullet"/>
      <w:lvlText w:val="o"/>
      <w:lvlJc w:val="left"/>
      <w:pPr>
        <w:ind w:left="1440" w:hanging="360"/>
      </w:pPr>
      <w:rPr>
        <w:rFonts w:ascii="Courier New" w:hAnsi="Courier New" w:hint="default"/>
      </w:rPr>
    </w:lvl>
    <w:lvl w:ilvl="2" w:tplc="310AC660">
      <w:start w:val="1"/>
      <w:numFmt w:val="bullet"/>
      <w:lvlText w:val=""/>
      <w:lvlJc w:val="left"/>
      <w:pPr>
        <w:ind w:left="2160" w:hanging="360"/>
      </w:pPr>
      <w:rPr>
        <w:rFonts w:ascii="Wingdings" w:hAnsi="Wingdings" w:hint="default"/>
      </w:rPr>
    </w:lvl>
    <w:lvl w:ilvl="3" w:tplc="F3A223EE">
      <w:start w:val="1"/>
      <w:numFmt w:val="bullet"/>
      <w:lvlText w:val=""/>
      <w:lvlJc w:val="left"/>
      <w:pPr>
        <w:ind w:left="2880" w:hanging="360"/>
      </w:pPr>
      <w:rPr>
        <w:rFonts w:ascii="Symbol" w:hAnsi="Symbol" w:hint="default"/>
      </w:rPr>
    </w:lvl>
    <w:lvl w:ilvl="4" w:tplc="CC2E896E">
      <w:start w:val="1"/>
      <w:numFmt w:val="bullet"/>
      <w:lvlText w:val="o"/>
      <w:lvlJc w:val="left"/>
      <w:pPr>
        <w:ind w:left="3600" w:hanging="360"/>
      </w:pPr>
      <w:rPr>
        <w:rFonts w:ascii="Courier New" w:hAnsi="Courier New" w:hint="default"/>
      </w:rPr>
    </w:lvl>
    <w:lvl w:ilvl="5" w:tplc="D14291CE">
      <w:start w:val="1"/>
      <w:numFmt w:val="bullet"/>
      <w:lvlText w:val=""/>
      <w:lvlJc w:val="left"/>
      <w:pPr>
        <w:ind w:left="4320" w:hanging="360"/>
      </w:pPr>
      <w:rPr>
        <w:rFonts w:ascii="Wingdings" w:hAnsi="Wingdings" w:hint="default"/>
      </w:rPr>
    </w:lvl>
    <w:lvl w:ilvl="6" w:tplc="F1F8593E">
      <w:start w:val="1"/>
      <w:numFmt w:val="bullet"/>
      <w:lvlText w:val=""/>
      <w:lvlJc w:val="left"/>
      <w:pPr>
        <w:ind w:left="5040" w:hanging="360"/>
      </w:pPr>
      <w:rPr>
        <w:rFonts w:ascii="Symbol" w:hAnsi="Symbol" w:hint="default"/>
      </w:rPr>
    </w:lvl>
    <w:lvl w:ilvl="7" w:tplc="3684EC10">
      <w:start w:val="1"/>
      <w:numFmt w:val="bullet"/>
      <w:lvlText w:val="o"/>
      <w:lvlJc w:val="left"/>
      <w:pPr>
        <w:ind w:left="5760" w:hanging="360"/>
      </w:pPr>
      <w:rPr>
        <w:rFonts w:ascii="Courier New" w:hAnsi="Courier New" w:hint="default"/>
      </w:rPr>
    </w:lvl>
    <w:lvl w:ilvl="8" w:tplc="B94405A8">
      <w:start w:val="1"/>
      <w:numFmt w:val="bullet"/>
      <w:lvlText w:val=""/>
      <w:lvlJc w:val="left"/>
      <w:pPr>
        <w:ind w:left="6480" w:hanging="360"/>
      </w:pPr>
      <w:rPr>
        <w:rFonts w:ascii="Wingdings" w:hAnsi="Wingdings" w:hint="default"/>
      </w:rPr>
    </w:lvl>
  </w:abstractNum>
  <w:abstractNum w:abstractNumId="13" w15:restartNumberingAfterBreak="0">
    <w:nsid w:val="43FBF2A2"/>
    <w:multiLevelType w:val="hybridMultilevel"/>
    <w:tmpl w:val="FFFFFFFF"/>
    <w:lvl w:ilvl="0" w:tplc="F9969B04">
      <w:start w:val="1"/>
      <w:numFmt w:val="bullet"/>
      <w:lvlText w:val=""/>
      <w:lvlJc w:val="left"/>
      <w:pPr>
        <w:ind w:left="720" w:hanging="360"/>
      </w:pPr>
      <w:rPr>
        <w:rFonts w:ascii="Symbol" w:hAnsi="Symbol" w:hint="default"/>
      </w:rPr>
    </w:lvl>
    <w:lvl w:ilvl="1" w:tplc="7B480128">
      <w:start w:val="1"/>
      <w:numFmt w:val="bullet"/>
      <w:lvlText w:val="o"/>
      <w:lvlJc w:val="left"/>
      <w:pPr>
        <w:ind w:left="1440" w:hanging="360"/>
      </w:pPr>
      <w:rPr>
        <w:rFonts w:ascii="Courier New" w:hAnsi="Courier New" w:hint="default"/>
      </w:rPr>
    </w:lvl>
    <w:lvl w:ilvl="2" w:tplc="C5F4B3F2">
      <w:start w:val="1"/>
      <w:numFmt w:val="bullet"/>
      <w:lvlText w:val=""/>
      <w:lvlJc w:val="left"/>
      <w:pPr>
        <w:ind w:left="2160" w:hanging="360"/>
      </w:pPr>
      <w:rPr>
        <w:rFonts w:ascii="Wingdings" w:hAnsi="Wingdings" w:hint="default"/>
      </w:rPr>
    </w:lvl>
    <w:lvl w:ilvl="3" w:tplc="D168413C">
      <w:start w:val="1"/>
      <w:numFmt w:val="bullet"/>
      <w:lvlText w:val=""/>
      <w:lvlJc w:val="left"/>
      <w:pPr>
        <w:ind w:left="2880" w:hanging="360"/>
      </w:pPr>
      <w:rPr>
        <w:rFonts w:ascii="Symbol" w:hAnsi="Symbol" w:hint="default"/>
      </w:rPr>
    </w:lvl>
    <w:lvl w:ilvl="4" w:tplc="2B526E18">
      <w:start w:val="1"/>
      <w:numFmt w:val="bullet"/>
      <w:lvlText w:val="o"/>
      <w:lvlJc w:val="left"/>
      <w:pPr>
        <w:ind w:left="3600" w:hanging="360"/>
      </w:pPr>
      <w:rPr>
        <w:rFonts w:ascii="Courier New" w:hAnsi="Courier New" w:hint="default"/>
      </w:rPr>
    </w:lvl>
    <w:lvl w:ilvl="5" w:tplc="1452F85A">
      <w:start w:val="1"/>
      <w:numFmt w:val="bullet"/>
      <w:lvlText w:val=""/>
      <w:lvlJc w:val="left"/>
      <w:pPr>
        <w:ind w:left="4320" w:hanging="360"/>
      </w:pPr>
      <w:rPr>
        <w:rFonts w:ascii="Wingdings" w:hAnsi="Wingdings" w:hint="default"/>
      </w:rPr>
    </w:lvl>
    <w:lvl w:ilvl="6" w:tplc="30C69F88">
      <w:start w:val="1"/>
      <w:numFmt w:val="bullet"/>
      <w:lvlText w:val=""/>
      <w:lvlJc w:val="left"/>
      <w:pPr>
        <w:ind w:left="5040" w:hanging="360"/>
      </w:pPr>
      <w:rPr>
        <w:rFonts w:ascii="Symbol" w:hAnsi="Symbol" w:hint="default"/>
      </w:rPr>
    </w:lvl>
    <w:lvl w:ilvl="7" w:tplc="99FE199A">
      <w:start w:val="1"/>
      <w:numFmt w:val="bullet"/>
      <w:lvlText w:val="o"/>
      <w:lvlJc w:val="left"/>
      <w:pPr>
        <w:ind w:left="5760" w:hanging="360"/>
      </w:pPr>
      <w:rPr>
        <w:rFonts w:ascii="Courier New" w:hAnsi="Courier New" w:hint="default"/>
      </w:rPr>
    </w:lvl>
    <w:lvl w:ilvl="8" w:tplc="A4189CE2">
      <w:start w:val="1"/>
      <w:numFmt w:val="bullet"/>
      <w:lvlText w:val=""/>
      <w:lvlJc w:val="left"/>
      <w:pPr>
        <w:ind w:left="6480" w:hanging="360"/>
      </w:pPr>
      <w:rPr>
        <w:rFonts w:ascii="Wingdings" w:hAnsi="Wingdings" w:hint="default"/>
      </w:rPr>
    </w:lvl>
  </w:abstractNum>
  <w:abstractNum w:abstractNumId="14" w15:restartNumberingAfterBreak="0">
    <w:nsid w:val="45DDCADF"/>
    <w:multiLevelType w:val="hybridMultilevel"/>
    <w:tmpl w:val="FFFFFFFF"/>
    <w:lvl w:ilvl="0" w:tplc="C59C9A74">
      <w:start w:val="1"/>
      <w:numFmt w:val="bullet"/>
      <w:lvlText w:val=""/>
      <w:lvlJc w:val="left"/>
      <w:pPr>
        <w:ind w:left="720" w:hanging="360"/>
      </w:pPr>
      <w:rPr>
        <w:rFonts w:ascii="Symbol" w:hAnsi="Symbol" w:hint="default"/>
      </w:rPr>
    </w:lvl>
    <w:lvl w:ilvl="1" w:tplc="E2A0BC7A">
      <w:start w:val="1"/>
      <w:numFmt w:val="bullet"/>
      <w:lvlText w:val="o"/>
      <w:lvlJc w:val="left"/>
      <w:pPr>
        <w:ind w:left="1440" w:hanging="360"/>
      </w:pPr>
      <w:rPr>
        <w:rFonts w:ascii="Courier New" w:hAnsi="Courier New" w:hint="default"/>
      </w:rPr>
    </w:lvl>
    <w:lvl w:ilvl="2" w:tplc="28FCD0B0">
      <w:start w:val="1"/>
      <w:numFmt w:val="bullet"/>
      <w:lvlText w:val=""/>
      <w:lvlJc w:val="left"/>
      <w:pPr>
        <w:ind w:left="2160" w:hanging="360"/>
      </w:pPr>
      <w:rPr>
        <w:rFonts w:ascii="Wingdings" w:hAnsi="Wingdings" w:hint="default"/>
      </w:rPr>
    </w:lvl>
    <w:lvl w:ilvl="3" w:tplc="907A1736">
      <w:start w:val="1"/>
      <w:numFmt w:val="bullet"/>
      <w:lvlText w:val=""/>
      <w:lvlJc w:val="left"/>
      <w:pPr>
        <w:ind w:left="2880" w:hanging="360"/>
      </w:pPr>
      <w:rPr>
        <w:rFonts w:ascii="Symbol" w:hAnsi="Symbol" w:hint="default"/>
      </w:rPr>
    </w:lvl>
    <w:lvl w:ilvl="4" w:tplc="E36A07FA">
      <w:start w:val="1"/>
      <w:numFmt w:val="bullet"/>
      <w:lvlText w:val="o"/>
      <w:lvlJc w:val="left"/>
      <w:pPr>
        <w:ind w:left="3600" w:hanging="360"/>
      </w:pPr>
      <w:rPr>
        <w:rFonts w:ascii="Courier New" w:hAnsi="Courier New" w:hint="default"/>
      </w:rPr>
    </w:lvl>
    <w:lvl w:ilvl="5" w:tplc="84D08390">
      <w:start w:val="1"/>
      <w:numFmt w:val="bullet"/>
      <w:lvlText w:val=""/>
      <w:lvlJc w:val="left"/>
      <w:pPr>
        <w:ind w:left="4320" w:hanging="360"/>
      </w:pPr>
      <w:rPr>
        <w:rFonts w:ascii="Wingdings" w:hAnsi="Wingdings" w:hint="default"/>
      </w:rPr>
    </w:lvl>
    <w:lvl w:ilvl="6" w:tplc="8E3E770C">
      <w:start w:val="1"/>
      <w:numFmt w:val="bullet"/>
      <w:lvlText w:val=""/>
      <w:lvlJc w:val="left"/>
      <w:pPr>
        <w:ind w:left="5040" w:hanging="360"/>
      </w:pPr>
      <w:rPr>
        <w:rFonts w:ascii="Symbol" w:hAnsi="Symbol" w:hint="default"/>
      </w:rPr>
    </w:lvl>
    <w:lvl w:ilvl="7" w:tplc="71D44774">
      <w:start w:val="1"/>
      <w:numFmt w:val="bullet"/>
      <w:lvlText w:val="o"/>
      <w:lvlJc w:val="left"/>
      <w:pPr>
        <w:ind w:left="5760" w:hanging="360"/>
      </w:pPr>
      <w:rPr>
        <w:rFonts w:ascii="Courier New" w:hAnsi="Courier New" w:hint="default"/>
      </w:rPr>
    </w:lvl>
    <w:lvl w:ilvl="8" w:tplc="909C4C48">
      <w:start w:val="1"/>
      <w:numFmt w:val="bullet"/>
      <w:lvlText w:val=""/>
      <w:lvlJc w:val="left"/>
      <w:pPr>
        <w:ind w:left="6480" w:hanging="360"/>
      </w:pPr>
      <w:rPr>
        <w:rFonts w:ascii="Wingdings" w:hAnsi="Wingdings" w:hint="default"/>
      </w:rPr>
    </w:lvl>
  </w:abstractNum>
  <w:abstractNum w:abstractNumId="15" w15:restartNumberingAfterBreak="0">
    <w:nsid w:val="4D9DF232"/>
    <w:multiLevelType w:val="hybridMultilevel"/>
    <w:tmpl w:val="FFFFFFFF"/>
    <w:lvl w:ilvl="0" w:tplc="9BC08804">
      <w:start w:val="1"/>
      <w:numFmt w:val="bullet"/>
      <w:lvlText w:val=""/>
      <w:lvlJc w:val="left"/>
      <w:pPr>
        <w:ind w:left="720" w:hanging="360"/>
      </w:pPr>
      <w:rPr>
        <w:rFonts w:ascii="Symbol" w:hAnsi="Symbol" w:hint="default"/>
      </w:rPr>
    </w:lvl>
    <w:lvl w:ilvl="1" w:tplc="91E8D852">
      <w:start w:val="1"/>
      <w:numFmt w:val="bullet"/>
      <w:lvlText w:val="o"/>
      <w:lvlJc w:val="left"/>
      <w:pPr>
        <w:ind w:left="1440" w:hanging="360"/>
      </w:pPr>
      <w:rPr>
        <w:rFonts w:ascii="Courier New" w:hAnsi="Courier New" w:hint="default"/>
      </w:rPr>
    </w:lvl>
    <w:lvl w:ilvl="2" w:tplc="6174337C">
      <w:start w:val="1"/>
      <w:numFmt w:val="bullet"/>
      <w:lvlText w:val=""/>
      <w:lvlJc w:val="left"/>
      <w:pPr>
        <w:ind w:left="2160" w:hanging="360"/>
      </w:pPr>
      <w:rPr>
        <w:rFonts w:ascii="Wingdings" w:hAnsi="Wingdings" w:hint="default"/>
      </w:rPr>
    </w:lvl>
    <w:lvl w:ilvl="3" w:tplc="7FBE2AC8">
      <w:start w:val="1"/>
      <w:numFmt w:val="bullet"/>
      <w:lvlText w:val=""/>
      <w:lvlJc w:val="left"/>
      <w:pPr>
        <w:ind w:left="2880" w:hanging="360"/>
      </w:pPr>
      <w:rPr>
        <w:rFonts w:ascii="Symbol" w:hAnsi="Symbol" w:hint="default"/>
      </w:rPr>
    </w:lvl>
    <w:lvl w:ilvl="4" w:tplc="9D9E39E4">
      <w:start w:val="1"/>
      <w:numFmt w:val="bullet"/>
      <w:lvlText w:val="o"/>
      <w:lvlJc w:val="left"/>
      <w:pPr>
        <w:ind w:left="3600" w:hanging="360"/>
      </w:pPr>
      <w:rPr>
        <w:rFonts w:ascii="Courier New" w:hAnsi="Courier New" w:hint="default"/>
      </w:rPr>
    </w:lvl>
    <w:lvl w:ilvl="5" w:tplc="55BCA0D4">
      <w:start w:val="1"/>
      <w:numFmt w:val="bullet"/>
      <w:lvlText w:val=""/>
      <w:lvlJc w:val="left"/>
      <w:pPr>
        <w:ind w:left="4320" w:hanging="360"/>
      </w:pPr>
      <w:rPr>
        <w:rFonts w:ascii="Wingdings" w:hAnsi="Wingdings" w:hint="default"/>
      </w:rPr>
    </w:lvl>
    <w:lvl w:ilvl="6" w:tplc="4F76D210">
      <w:start w:val="1"/>
      <w:numFmt w:val="bullet"/>
      <w:lvlText w:val=""/>
      <w:lvlJc w:val="left"/>
      <w:pPr>
        <w:ind w:left="5040" w:hanging="360"/>
      </w:pPr>
      <w:rPr>
        <w:rFonts w:ascii="Symbol" w:hAnsi="Symbol" w:hint="default"/>
      </w:rPr>
    </w:lvl>
    <w:lvl w:ilvl="7" w:tplc="46C0C49E">
      <w:start w:val="1"/>
      <w:numFmt w:val="bullet"/>
      <w:lvlText w:val="o"/>
      <w:lvlJc w:val="left"/>
      <w:pPr>
        <w:ind w:left="5760" w:hanging="360"/>
      </w:pPr>
      <w:rPr>
        <w:rFonts w:ascii="Courier New" w:hAnsi="Courier New" w:hint="default"/>
      </w:rPr>
    </w:lvl>
    <w:lvl w:ilvl="8" w:tplc="9C864404">
      <w:start w:val="1"/>
      <w:numFmt w:val="bullet"/>
      <w:lvlText w:val=""/>
      <w:lvlJc w:val="left"/>
      <w:pPr>
        <w:ind w:left="6480" w:hanging="360"/>
      </w:pPr>
      <w:rPr>
        <w:rFonts w:ascii="Wingdings" w:hAnsi="Wingdings" w:hint="default"/>
      </w:rPr>
    </w:lvl>
  </w:abstractNum>
  <w:abstractNum w:abstractNumId="16" w15:restartNumberingAfterBreak="0">
    <w:nsid w:val="4EFD4F48"/>
    <w:multiLevelType w:val="hybridMultilevel"/>
    <w:tmpl w:val="FFFFFFFF"/>
    <w:lvl w:ilvl="0" w:tplc="73249368">
      <w:start w:val="1"/>
      <w:numFmt w:val="bullet"/>
      <w:lvlText w:val=""/>
      <w:lvlJc w:val="left"/>
      <w:pPr>
        <w:ind w:left="720" w:hanging="360"/>
      </w:pPr>
      <w:rPr>
        <w:rFonts w:ascii="Symbol" w:hAnsi="Symbol" w:hint="default"/>
      </w:rPr>
    </w:lvl>
    <w:lvl w:ilvl="1" w:tplc="963E5EFE">
      <w:start w:val="1"/>
      <w:numFmt w:val="bullet"/>
      <w:lvlText w:val="o"/>
      <w:lvlJc w:val="left"/>
      <w:pPr>
        <w:ind w:left="1440" w:hanging="360"/>
      </w:pPr>
      <w:rPr>
        <w:rFonts w:ascii="Courier New" w:hAnsi="Courier New" w:hint="default"/>
      </w:rPr>
    </w:lvl>
    <w:lvl w:ilvl="2" w:tplc="A4E0C052">
      <w:start w:val="1"/>
      <w:numFmt w:val="bullet"/>
      <w:lvlText w:val=""/>
      <w:lvlJc w:val="left"/>
      <w:pPr>
        <w:ind w:left="2160" w:hanging="360"/>
      </w:pPr>
      <w:rPr>
        <w:rFonts w:ascii="Wingdings" w:hAnsi="Wingdings" w:hint="default"/>
      </w:rPr>
    </w:lvl>
    <w:lvl w:ilvl="3" w:tplc="9BA6C74C">
      <w:start w:val="1"/>
      <w:numFmt w:val="bullet"/>
      <w:lvlText w:val=""/>
      <w:lvlJc w:val="left"/>
      <w:pPr>
        <w:ind w:left="2880" w:hanging="360"/>
      </w:pPr>
      <w:rPr>
        <w:rFonts w:ascii="Symbol" w:hAnsi="Symbol" w:hint="default"/>
      </w:rPr>
    </w:lvl>
    <w:lvl w:ilvl="4" w:tplc="5F20BF3C">
      <w:start w:val="1"/>
      <w:numFmt w:val="bullet"/>
      <w:lvlText w:val="o"/>
      <w:lvlJc w:val="left"/>
      <w:pPr>
        <w:ind w:left="3600" w:hanging="360"/>
      </w:pPr>
      <w:rPr>
        <w:rFonts w:ascii="Courier New" w:hAnsi="Courier New" w:hint="default"/>
      </w:rPr>
    </w:lvl>
    <w:lvl w:ilvl="5" w:tplc="044C37BE">
      <w:start w:val="1"/>
      <w:numFmt w:val="bullet"/>
      <w:lvlText w:val=""/>
      <w:lvlJc w:val="left"/>
      <w:pPr>
        <w:ind w:left="4320" w:hanging="360"/>
      </w:pPr>
      <w:rPr>
        <w:rFonts w:ascii="Wingdings" w:hAnsi="Wingdings" w:hint="default"/>
      </w:rPr>
    </w:lvl>
    <w:lvl w:ilvl="6" w:tplc="FB0C82FA">
      <w:start w:val="1"/>
      <w:numFmt w:val="bullet"/>
      <w:lvlText w:val=""/>
      <w:lvlJc w:val="left"/>
      <w:pPr>
        <w:ind w:left="5040" w:hanging="360"/>
      </w:pPr>
      <w:rPr>
        <w:rFonts w:ascii="Symbol" w:hAnsi="Symbol" w:hint="default"/>
      </w:rPr>
    </w:lvl>
    <w:lvl w:ilvl="7" w:tplc="478AF49E">
      <w:start w:val="1"/>
      <w:numFmt w:val="bullet"/>
      <w:lvlText w:val="o"/>
      <w:lvlJc w:val="left"/>
      <w:pPr>
        <w:ind w:left="5760" w:hanging="360"/>
      </w:pPr>
      <w:rPr>
        <w:rFonts w:ascii="Courier New" w:hAnsi="Courier New" w:hint="default"/>
      </w:rPr>
    </w:lvl>
    <w:lvl w:ilvl="8" w:tplc="0774603C">
      <w:start w:val="1"/>
      <w:numFmt w:val="bullet"/>
      <w:lvlText w:val=""/>
      <w:lvlJc w:val="left"/>
      <w:pPr>
        <w:ind w:left="6480" w:hanging="360"/>
      </w:pPr>
      <w:rPr>
        <w:rFonts w:ascii="Wingdings" w:hAnsi="Wingdings" w:hint="default"/>
      </w:rPr>
    </w:lvl>
  </w:abstractNum>
  <w:abstractNum w:abstractNumId="17" w15:restartNumberingAfterBreak="0">
    <w:nsid w:val="51AFAC4C"/>
    <w:multiLevelType w:val="hybridMultilevel"/>
    <w:tmpl w:val="FFFFFFFF"/>
    <w:lvl w:ilvl="0" w:tplc="9D80CC58">
      <w:start w:val="1"/>
      <w:numFmt w:val="bullet"/>
      <w:lvlText w:val=""/>
      <w:lvlJc w:val="left"/>
      <w:pPr>
        <w:ind w:left="720" w:hanging="360"/>
      </w:pPr>
      <w:rPr>
        <w:rFonts w:ascii="Symbol" w:hAnsi="Symbol" w:hint="default"/>
      </w:rPr>
    </w:lvl>
    <w:lvl w:ilvl="1" w:tplc="D14CCE76">
      <w:start w:val="1"/>
      <w:numFmt w:val="bullet"/>
      <w:lvlText w:val="o"/>
      <w:lvlJc w:val="left"/>
      <w:pPr>
        <w:ind w:left="1440" w:hanging="360"/>
      </w:pPr>
      <w:rPr>
        <w:rFonts w:ascii="Courier New" w:hAnsi="Courier New" w:hint="default"/>
      </w:rPr>
    </w:lvl>
    <w:lvl w:ilvl="2" w:tplc="32484802">
      <w:start w:val="1"/>
      <w:numFmt w:val="bullet"/>
      <w:lvlText w:val=""/>
      <w:lvlJc w:val="left"/>
      <w:pPr>
        <w:ind w:left="2160" w:hanging="360"/>
      </w:pPr>
      <w:rPr>
        <w:rFonts w:ascii="Wingdings" w:hAnsi="Wingdings" w:hint="default"/>
      </w:rPr>
    </w:lvl>
    <w:lvl w:ilvl="3" w:tplc="0470ACD8">
      <w:start w:val="1"/>
      <w:numFmt w:val="bullet"/>
      <w:lvlText w:val=""/>
      <w:lvlJc w:val="left"/>
      <w:pPr>
        <w:ind w:left="2880" w:hanging="360"/>
      </w:pPr>
      <w:rPr>
        <w:rFonts w:ascii="Symbol" w:hAnsi="Symbol" w:hint="default"/>
      </w:rPr>
    </w:lvl>
    <w:lvl w:ilvl="4" w:tplc="84D66BE2">
      <w:start w:val="1"/>
      <w:numFmt w:val="bullet"/>
      <w:lvlText w:val="o"/>
      <w:lvlJc w:val="left"/>
      <w:pPr>
        <w:ind w:left="3600" w:hanging="360"/>
      </w:pPr>
      <w:rPr>
        <w:rFonts w:ascii="Courier New" w:hAnsi="Courier New" w:hint="default"/>
      </w:rPr>
    </w:lvl>
    <w:lvl w:ilvl="5" w:tplc="18641140">
      <w:start w:val="1"/>
      <w:numFmt w:val="bullet"/>
      <w:lvlText w:val=""/>
      <w:lvlJc w:val="left"/>
      <w:pPr>
        <w:ind w:left="4320" w:hanging="360"/>
      </w:pPr>
      <w:rPr>
        <w:rFonts w:ascii="Wingdings" w:hAnsi="Wingdings" w:hint="default"/>
      </w:rPr>
    </w:lvl>
    <w:lvl w:ilvl="6" w:tplc="47341BA4">
      <w:start w:val="1"/>
      <w:numFmt w:val="bullet"/>
      <w:lvlText w:val=""/>
      <w:lvlJc w:val="left"/>
      <w:pPr>
        <w:ind w:left="5040" w:hanging="360"/>
      </w:pPr>
      <w:rPr>
        <w:rFonts w:ascii="Symbol" w:hAnsi="Symbol" w:hint="default"/>
      </w:rPr>
    </w:lvl>
    <w:lvl w:ilvl="7" w:tplc="E1F2C26E">
      <w:start w:val="1"/>
      <w:numFmt w:val="bullet"/>
      <w:lvlText w:val="o"/>
      <w:lvlJc w:val="left"/>
      <w:pPr>
        <w:ind w:left="5760" w:hanging="360"/>
      </w:pPr>
      <w:rPr>
        <w:rFonts w:ascii="Courier New" w:hAnsi="Courier New" w:hint="default"/>
      </w:rPr>
    </w:lvl>
    <w:lvl w:ilvl="8" w:tplc="A63AB02A">
      <w:start w:val="1"/>
      <w:numFmt w:val="bullet"/>
      <w:lvlText w:val=""/>
      <w:lvlJc w:val="left"/>
      <w:pPr>
        <w:ind w:left="6480" w:hanging="360"/>
      </w:pPr>
      <w:rPr>
        <w:rFonts w:ascii="Wingdings" w:hAnsi="Wingdings" w:hint="default"/>
      </w:rPr>
    </w:lvl>
  </w:abstractNum>
  <w:abstractNum w:abstractNumId="18" w15:restartNumberingAfterBreak="0">
    <w:nsid w:val="651252D8"/>
    <w:multiLevelType w:val="hybridMultilevel"/>
    <w:tmpl w:val="FFFFFFFF"/>
    <w:lvl w:ilvl="0" w:tplc="E08AA614">
      <w:start w:val="1"/>
      <w:numFmt w:val="bullet"/>
      <w:lvlText w:val=""/>
      <w:lvlJc w:val="left"/>
      <w:pPr>
        <w:ind w:left="720" w:hanging="360"/>
      </w:pPr>
      <w:rPr>
        <w:rFonts w:ascii="Symbol" w:hAnsi="Symbol" w:hint="default"/>
      </w:rPr>
    </w:lvl>
    <w:lvl w:ilvl="1" w:tplc="EF60BDE8">
      <w:start w:val="1"/>
      <w:numFmt w:val="bullet"/>
      <w:lvlText w:val="o"/>
      <w:lvlJc w:val="left"/>
      <w:pPr>
        <w:ind w:left="1440" w:hanging="360"/>
      </w:pPr>
      <w:rPr>
        <w:rFonts w:ascii="Courier New" w:hAnsi="Courier New" w:hint="default"/>
      </w:rPr>
    </w:lvl>
    <w:lvl w:ilvl="2" w:tplc="20C6B438">
      <w:start w:val="1"/>
      <w:numFmt w:val="bullet"/>
      <w:lvlText w:val=""/>
      <w:lvlJc w:val="left"/>
      <w:pPr>
        <w:ind w:left="2160" w:hanging="360"/>
      </w:pPr>
      <w:rPr>
        <w:rFonts w:ascii="Wingdings" w:hAnsi="Wingdings" w:hint="default"/>
      </w:rPr>
    </w:lvl>
    <w:lvl w:ilvl="3" w:tplc="38AC853A">
      <w:start w:val="1"/>
      <w:numFmt w:val="bullet"/>
      <w:lvlText w:val=""/>
      <w:lvlJc w:val="left"/>
      <w:pPr>
        <w:ind w:left="2880" w:hanging="360"/>
      </w:pPr>
      <w:rPr>
        <w:rFonts w:ascii="Symbol" w:hAnsi="Symbol" w:hint="default"/>
      </w:rPr>
    </w:lvl>
    <w:lvl w:ilvl="4" w:tplc="7F2C31D2">
      <w:start w:val="1"/>
      <w:numFmt w:val="bullet"/>
      <w:lvlText w:val="o"/>
      <w:lvlJc w:val="left"/>
      <w:pPr>
        <w:ind w:left="3600" w:hanging="360"/>
      </w:pPr>
      <w:rPr>
        <w:rFonts w:ascii="Courier New" w:hAnsi="Courier New" w:hint="default"/>
      </w:rPr>
    </w:lvl>
    <w:lvl w:ilvl="5" w:tplc="9342D5BE">
      <w:start w:val="1"/>
      <w:numFmt w:val="bullet"/>
      <w:lvlText w:val=""/>
      <w:lvlJc w:val="left"/>
      <w:pPr>
        <w:ind w:left="4320" w:hanging="360"/>
      </w:pPr>
      <w:rPr>
        <w:rFonts w:ascii="Wingdings" w:hAnsi="Wingdings" w:hint="default"/>
      </w:rPr>
    </w:lvl>
    <w:lvl w:ilvl="6" w:tplc="8676C9C8">
      <w:start w:val="1"/>
      <w:numFmt w:val="bullet"/>
      <w:lvlText w:val=""/>
      <w:lvlJc w:val="left"/>
      <w:pPr>
        <w:ind w:left="5040" w:hanging="360"/>
      </w:pPr>
      <w:rPr>
        <w:rFonts w:ascii="Symbol" w:hAnsi="Symbol" w:hint="default"/>
      </w:rPr>
    </w:lvl>
    <w:lvl w:ilvl="7" w:tplc="920A0574">
      <w:start w:val="1"/>
      <w:numFmt w:val="bullet"/>
      <w:lvlText w:val="o"/>
      <w:lvlJc w:val="left"/>
      <w:pPr>
        <w:ind w:left="5760" w:hanging="360"/>
      </w:pPr>
      <w:rPr>
        <w:rFonts w:ascii="Courier New" w:hAnsi="Courier New" w:hint="default"/>
      </w:rPr>
    </w:lvl>
    <w:lvl w:ilvl="8" w:tplc="84B46D5C">
      <w:start w:val="1"/>
      <w:numFmt w:val="bullet"/>
      <w:lvlText w:val=""/>
      <w:lvlJc w:val="left"/>
      <w:pPr>
        <w:ind w:left="6480" w:hanging="360"/>
      </w:pPr>
      <w:rPr>
        <w:rFonts w:ascii="Wingdings" w:hAnsi="Wingdings" w:hint="default"/>
      </w:rPr>
    </w:lvl>
  </w:abstractNum>
  <w:abstractNum w:abstractNumId="19" w15:restartNumberingAfterBreak="0">
    <w:nsid w:val="6A8CD7FC"/>
    <w:multiLevelType w:val="hybridMultilevel"/>
    <w:tmpl w:val="FFFFFFFF"/>
    <w:lvl w:ilvl="0" w:tplc="9E6E574E">
      <w:start w:val="1"/>
      <w:numFmt w:val="bullet"/>
      <w:lvlText w:val=""/>
      <w:lvlJc w:val="left"/>
      <w:pPr>
        <w:ind w:left="720" w:hanging="360"/>
      </w:pPr>
      <w:rPr>
        <w:rFonts w:ascii="Symbol" w:hAnsi="Symbol" w:hint="default"/>
      </w:rPr>
    </w:lvl>
    <w:lvl w:ilvl="1" w:tplc="BC269C3C">
      <w:start w:val="1"/>
      <w:numFmt w:val="bullet"/>
      <w:lvlText w:val="o"/>
      <w:lvlJc w:val="left"/>
      <w:pPr>
        <w:ind w:left="1440" w:hanging="360"/>
      </w:pPr>
      <w:rPr>
        <w:rFonts w:ascii="Courier New" w:hAnsi="Courier New" w:hint="default"/>
      </w:rPr>
    </w:lvl>
    <w:lvl w:ilvl="2" w:tplc="2F62294A">
      <w:start w:val="1"/>
      <w:numFmt w:val="bullet"/>
      <w:lvlText w:val=""/>
      <w:lvlJc w:val="left"/>
      <w:pPr>
        <w:ind w:left="2160" w:hanging="360"/>
      </w:pPr>
      <w:rPr>
        <w:rFonts w:ascii="Wingdings" w:hAnsi="Wingdings" w:hint="default"/>
      </w:rPr>
    </w:lvl>
    <w:lvl w:ilvl="3" w:tplc="616E41F6">
      <w:start w:val="1"/>
      <w:numFmt w:val="bullet"/>
      <w:lvlText w:val=""/>
      <w:lvlJc w:val="left"/>
      <w:pPr>
        <w:ind w:left="2880" w:hanging="360"/>
      </w:pPr>
      <w:rPr>
        <w:rFonts w:ascii="Symbol" w:hAnsi="Symbol" w:hint="default"/>
      </w:rPr>
    </w:lvl>
    <w:lvl w:ilvl="4" w:tplc="F5C41DE8">
      <w:start w:val="1"/>
      <w:numFmt w:val="bullet"/>
      <w:lvlText w:val="o"/>
      <w:lvlJc w:val="left"/>
      <w:pPr>
        <w:ind w:left="3600" w:hanging="360"/>
      </w:pPr>
      <w:rPr>
        <w:rFonts w:ascii="Courier New" w:hAnsi="Courier New" w:hint="default"/>
      </w:rPr>
    </w:lvl>
    <w:lvl w:ilvl="5" w:tplc="C546938E">
      <w:start w:val="1"/>
      <w:numFmt w:val="bullet"/>
      <w:lvlText w:val=""/>
      <w:lvlJc w:val="left"/>
      <w:pPr>
        <w:ind w:left="4320" w:hanging="360"/>
      </w:pPr>
      <w:rPr>
        <w:rFonts w:ascii="Wingdings" w:hAnsi="Wingdings" w:hint="default"/>
      </w:rPr>
    </w:lvl>
    <w:lvl w:ilvl="6" w:tplc="47B2FFB0">
      <w:start w:val="1"/>
      <w:numFmt w:val="bullet"/>
      <w:lvlText w:val=""/>
      <w:lvlJc w:val="left"/>
      <w:pPr>
        <w:ind w:left="5040" w:hanging="360"/>
      </w:pPr>
      <w:rPr>
        <w:rFonts w:ascii="Symbol" w:hAnsi="Symbol" w:hint="default"/>
      </w:rPr>
    </w:lvl>
    <w:lvl w:ilvl="7" w:tplc="AAAC1666">
      <w:start w:val="1"/>
      <w:numFmt w:val="bullet"/>
      <w:lvlText w:val="o"/>
      <w:lvlJc w:val="left"/>
      <w:pPr>
        <w:ind w:left="5760" w:hanging="360"/>
      </w:pPr>
      <w:rPr>
        <w:rFonts w:ascii="Courier New" w:hAnsi="Courier New" w:hint="default"/>
      </w:rPr>
    </w:lvl>
    <w:lvl w:ilvl="8" w:tplc="CC9E56CC">
      <w:start w:val="1"/>
      <w:numFmt w:val="bullet"/>
      <w:lvlText w:val=""/>
      <w:lvlJc w:val="left"/>
      <w:pPr>
        <w:ind w:left="6480" w:hanging="360"/>
      </w:pPr>
      <w:rPr>
        <w:rFonts w:ascii="Wingdings" w:hAnsi="Wingdings" w:hint="default"/>
      </w:rPr>
    </w:lvl>
  </w:abstractNum>
  <w:abstractNum w:abstractNumId="20" w15:restartNumberingAfterBreak="0">
    <w:nsid w:val="6B82483C"/>
    <w:multiLevelType w:val="hybridMultilevel"/>
    <w:tmpl w:val="FFFFFFFF"/>
    <w:lvl w:ilvl="0" w:tplc="651EB070">
      <w:start w:val="1"/>
      <w:numFmt w:val="bullet"/>
      <w:lvlText w:val=""/>
      <w:lvlJc w:val="left"/>
      <w:pPr>
        <w:ind w:left="720" w:hanging="360"/>
      </w:pPr>
      <w:rPr>
        <w:rFonts w:ascii="Symbol" w:hAnsi="Symbol" w:hint="default"/>
      </w:rPr>
    </w:lvl>
    <w:lvl w:ilvl="1" w:tplc="66880FD2">
      <w:start w:val="1"/>
      <w:numFmt w:val="bullet"/>
      <w:lvlText w:val="o"/>
      <w:lvlJc w:val="left"/>
      <w:pPr>
        <w:ind w:left="1440" w:hanging="360"/>
      </w:pPr>
      <w:rPr>
        <w:rFonts w:ascii="Courier New" w:hAnsi="Courier New" w:hint="default"/>
      </w:rPr>
    </w:lvl>
    <w:lvl w:ilvl="2" w:tplc="35CE6DAA">
      <w:start w:val="1"/>
      <w:numFmt w:val="bullet"/>
      <w:lvlText w:val=""/>
      <w:lvlJc w:val="left"/>
      <w:pPr>
        <w:ind w:left="2160" w:hanging="360"/>
      </w:pPr>
      <w:rPr>
        <w:rFonts w:ascii="Wingdings" w:hAnsi="Wingdings" w:hint="default"/>
      </w:rPr>
    </w:lvl>
    <w:lvl w:ilvl="3" w:tplc="A3404FA8">
      <w:start w:val="1"/>
      <w:numFmt w:val="bullet"/>
      <w:lvlText w:val=""/>
      <w:lvlJc w:val="left"/>
      <w:pPr>
        <w:ind w:left="2880" w:hanging="360"/>
      </w:pPr>
      <w:rPr>
        <w:rFonts w:ascii="Symbol" w:hAnsi="Symbol" w:hint="default"/>
      </w:rPr>
    </w:lvl>
    <w:lvl w:ilvl="4" w:tplc="64FEE4C8">
      <w:start w:val="1"/>
      <w:numFmt w:val="bullet"/>
      <w:lvlText w:val="o"/>
      <w:lvlJc w:val="left"/>
      <w:pPr>
        <w:ind w:left="3600" w:hanging="360"/>
      </w:pPr>
      <w:rPr>
        <w:rFonts w:ascii="Courier New" w:hAnsi="Courier New" w:hint="default"/>
      </w:rPr>
    </w:lvl>
    <w:lvl w:ilvl="5" w:tplc="6BA62544">
      <w:start w:val="1"/>
      <w:numFmt w:val="bullet"/>
      <w:lvlText w:val=""/>
      <w:lvlJc w:val="left"/>
      <w:pPr>
        <w:ind w:left="4320" w:hanging="360"/>
      </w:pPr>
      <w:rPr>
        <w:rFonts w:ascii="Wingdings" w:hAnsi="Wingdings" w:hint="default"/>
      </w:rPr>
    </w:lvl>
    <w:lvl w:ilvl="6" w:tplc="0D5CDBDE">
      <w:start w:val="1"/>
      <w:numFmt w:val="bullet"/>
      <w:lvlText w:val=""/>
      <w:lvlJc w:val="left"/>
      <w:pPr>
        <w:ind w:left="5040" w:hanging="360"/>
      </w:pPr>
      <w:rPr>
        <w:rFonts w:ascii="Symbol" w:hAnsi="Symbol" w:hint="default"/>
      </w:rPr>
    </w:lvl>
    <w:lvl w:ilvl="7" w:tplc="693E0A44">
      <w:start w:val="1"/>
      <w:numFmt w:val="bullet"/>
      <w:lvlText w:val="o"/>
      <w:lvlJc w:val="left"/>
      <w:pPr>
        <w:ind w:left="5760" w:hanging="360"/>
      </w:pPr>
      <w:rPr>
        <w:rFonts w:ascii="Courier New" w:hAnsi="Courier New" w:hint="default"/>
      </w:rPr>
    </w:lvl>
    <w:lvl w:ilvl="8" w:tplc="2632B66E">
      <w:start w:val="1"/>
      <w:numFmt w:val="bullet"/>
      <w:lvlText w:val=""/>
      <w:lvlJc w:val="left"/>
      <w:pPr>
        <w:ind w:left="6480" w:hanging="360"/>
      </w:pPr>
      <w:rPr>
        <w:rFonts w:ascii="Wingdings" w:hAnsi="Wingdings" w:hint="default"/>
      </w:rPr>
    </w:lvl>
  </w:abstractNum>
  <w:abstractNum w:abstractNumId="21" w15:restartNumberingAfterBreak="0">
    <w:nsid w:val="7000B33C"/>
    <w:multiLevelType w:val="hybridMultilevel"/>
    <w:tmpl w:val="FFFFFFFF"/>
    <w:lvl w:ilvl="0" w:tplc="92D0AC9C">
      <w:start w:val="1"/>
      <w:numFmt w:val="bullet"/>
      <w:lvlText w:val=""/>
      <w:lvlJc w:val="left"/>
      <w:pPr>
        <w:ind w:left="720" w:hanging="360"/>
      </w:pPr>
      <w:rPr>
        <w:rFonts w:ascii="Symbol" w:hAnsi="Symbol" w:hint="default"/>
      </w:rPr>
    </w:lvl>
    <w:lvl w:ilvl="1" w:tplc="85C44282">
      <w:start w:val="1"/>
      <w:numFmt w:val="bullet"/>
      <w:lvlText w:val="o"/>
      <w:lvlJc w:val="left"/>
      <w:pPr>
        <w:ind w:left="1440" w:hanging="360"/>
      </w:pPr>
      <w:rPr>
        <w:rFonts w:ascii="Courier New" w:hAnsi="Courier New" w:hint="default"/>
      </w:rPr>
    </w:lvl>
    <w:lvl w:ilvl="2" w:tplc="00C27816">
      <w:start w:val="1"/>
      <w:numFmt w:val="bullet"/>
      <w:lvlText w:val=""/>
      <w:lvlJc w:val="left"/>
      <w:pPr>
        <w:ind w:left="2160" w:hanging="360"/>
      </w:pPr>
      <w:rPr>
        <w:rFonts w:ascii="Wingdings" w:hAnsi="Wingdings" w:hint="default"/>
      </w:rPr>
    </w:lvl>
    <w:lvl w:ilvl="3" w:tplc="698469EA">
      <w:start w:val="1"/>
      <w:numFmt w:val="bullet"/>
      <w:lvlText w:val=""/>
      <w:lvlJc w:val="left"/>
      <w:pPr>
        <w:ind w:left="2880" w:hanging="360"/>
      </w:pPr>
      <w:rPr>
        <w:rFonts w:ascii="Symbol" w:hAnsi="Symbol" w:hint="default"/>
      </w:rPr>
    </w:lvl>
    <w:lvl w:ilvl="4" w:tplc="9AA4281E">
      <w:start w:val="1"/>
      <w:numFmt w:val="bullet"/>
      <w:lvlText w:val="o"/>
      <w:lvlJc w:val="left"/>
      <w:pPr>
        <w:ind w:left="3600" w:hanging="360"/>
      </w:pPr>
      <w:rPr>
        <w:rFonts w:ascii="Courier New" w:hAnsi="Courier New" w:hint="default"/>
      </w:rPr>
    </w:lvl>
    <w:lvl w:ilvl="5" w:tplc="81B0A330">
      <w:start w:val="1"/>
      <w:numFmt w:val="bullet"/>
      <w:lvlText w:val=""/>
      <w:lvlJc w:val="left"/>
      <w:pPr>
        <w:ind w:left="4320" w:hanging="360"/>
      </w:pPr>
      <w:rPr>
        <w:rFonts w:ascii="Wingdings" w:hAnsi="Wingdings" w:hint="default"/>
      </w:rPr>
    </w:lvl>
    <w:lvl w:ilvl="6" w:tplc="F14C9EEC">
      <w:start w:val="1"/>
      <w:numFmt w:val="bullet"/>
      <w:lvlText w:val=""/>
      <w:lvlJc w:val="left"/>
      <w:pPr>
        <w:ind w:left="5040" w:hanging="360"/>
      </w:pPr>
      <w:rPr>
        <w:rFonts w:ascii="Symbol" w:hAnsi="Symbol" w:hint="default"/>
      </w:rPr>
    </w:lvl>
    <w:lvl w:ilvl="7" w:tplc="2ECA50AE">
      <w:start w:val="1"/>
      <w:numFmt w:val="bullet"/>
      <w:lvlText w:val="o"/>
      <w:lvlJc w:val="left"/>
      <w:pPr>
        <w:ind w:left="5760" w:hanging="360"/>
      </w:pPr>
      <w:rPr>
        <w:rFonts w:ascii="Courier New" w:hAnsi="Courier New" w:hint="default"/>
      </w:rPr>
    </w:lvl>
    <w:lvl w:ilvl="8" w:tplc="AED49DA6">
      <w:start w:val="1"/>
      <w:numFmt w:val="bullet"/>
      <w:lvlText w:val=""/>
      <w:lvlJc w:val="left"/>
      <w:pPr>
        <w:ind w:left="6480" w:hanging="360"/>
      </w:pPr>
      <w:rPr>
        <w:rFonts w:ascii="Wingdings" w:hAnsi="Wingdings" w:hint="default"/>
      </w:rPr>
    </w:lvl>
  </w:abstractNum>
  <w:abstractNum w:abstractNumId="22" w15:restartNumberingAfterBreak="0">
    <w:nsid w:val="70CE46FE"/>
    <w:multiLevelType w:val="hybridMultilevel"/>
    <w:tmpl w:val="3FA0307A"/>
    <w:lvl w:ilvl="0" w:tplc="11567C1E">
      <w:start w:val="1"/>
      <w:numFmt w:val="bullet"/>
      <w:lvlText w:val=""/>
      <w:lvlJc w:val="left"/>
      <w:pPr>
        <w:ind w:left="720" w:hanging="360"/>
      </w:pPr>
      <w:rPr>
        <w:rFonts w:ascii="Symbol" w:hAnsi="Symbol" w:hint="default"/>
      </w:rPr>
    </w:lvl>
    <w:lvl w:ilvl="1" w:tplc="EB942CAC">
      <w:start w:val="1"/>
      <w:numFmt w:val="bullet"/>
      <w:lvlText w:val="o"/>
      <w:lvlJc w:val="left"/>
      <w:pPr>
        <w:ind w:left="1440" w:hanging="360"/>
      </w:pPr>
      <w:rPr>
        <w:rFonts w:ascii="Courier New" w:hAnsi="Courier New" w:hint="default"/>
      </w:rPr>
    </w:lvl>
    <w:lvl w:ilvl="2" w:tplc="402E7582">
      <w:start w:val="1"/>
      <w:numFmt w:val="bullet"/>
      <w:lvlText w:val=""/>
      <w:lvlJc w:val="left"/>
      <w:pPr>
        <w:ind w:left="2160" w:hanging="360"/>
      </w:pPr>
      <w:rPr>
        <w:rFonts w:ascii="Wingdings" w:hAnsi="Wingdings" w:hint="default"/>
      </w:rPr>
    </w:lvl>
    <w:lvl w:ilvl="3" w:tplc="7E5E4FB8">
      <w:start w:val="1"/>
      <w:numFmt w:val="bullet"/>
      <w:lvlText w:val=""/>
      <w:lvlJc w:val="left"/>
      <w:pPr>
        <w:ind w:left="2880" w:hanging="360"/>
      </w:pPr>
      <w:rPr>
        <w:rFonts w:ascii="Symbol" w:hAnsi="Symbol" w:hint="default"/>
      </w:rPr>
    </w:lvl>
    <w:lvl w:ilvl="4" w:tplc="BE80D2E4">
      <w:start w:val="1"/>
      <w:numFmt w:val="bullet"/>
      <w:lvlText w:val="o"/>
      <w:lvlJc w:val="left"/>
      <w:pPr>
        <w:ind w:left="3600" w:hanging="360"/>
      </w:pPr>
      <w:rPr>
        <w:rFonts w:ascii="Courier New" w:hAnsi="Courier New" w:hint="default"/>
      </w:rPr>
    </w:lvl>
    <w:lvl w:ilvl="5" w:tplc="F89C2F92">
      <w:start w:val="1"/>
      <w:numFmt w:val="bullet"/>
      <w:lvlText w:val=""/>
      <w:lvlJc w:val="left"/>
      <w:pPr>
        <w:ind w:left="4320" w:hanging="360"/>
      </w:pPr>
      <w:rPr>
        <w:rFonts w:ascii="Wingdings" w:hAnsi="Wingdings" w:hint="default"/>
      </w:rPr>
    </w:lvl>
    <w:lvl w:ilvl="6" w:tplc="485EC4BA">
      <w:start w:val="1"/>
      <w:numFmt w:val="bullet"/>
      <w:lvlText w:val=""/>
      <w:lvlJc w:val="left"/>
      <w:pPr>
        <w:ind w:left="5040" w:hanging="360"/>
      </w:pPr>
      <w:rPr>
        <w:rFonts w:ascii="Symbol" w:hAnsi="Symbol" w:hint="default"/>
      </w:rPr>
    </w:lvl>
    <w:lvl w:ilvl="7" w:tplc="90C0A4EC">
      <w:start w:val="1"/>
      <w:numFmt w:val="bullet"/>
      <w:lvlText w:val="o"/>
      <w:lvlJc w:val="left"/>
      <w:pPr>
        <w:ind w:left="5760" w:hanging="360"/>
      </w:pPr>
      <w:rPr>
        <w:rFonts w:ascii="Courier New" w:hAnsi="Courier New" w:hint="default"/>
      </w:rPr>
    </w:lvl>
    <w:lvl w:ilvl="8" w:tplc="88047136">
      <w:start w:val="1"/>
      <w:numFmt w:val="bullet"/>
      <w:lvlText w:val=""/>
      <w:lvlJc w:val="left"/>
      <w:pPr>
        <w:ind w:left="6480" w:hanging="360"/>
      </w:pPr>
      <w:rPr>
        <w:rFonts w:ascii="Wingdings" w:hAnsi="Wingdings" w:hint="default"/>
      </w:rPr>
    </w:lvl>
  </w:abstractNum>
  <w:abstractNum w:abstractNumId="23" w15:restartNumberingAfterBreak="0">
    <w:nsid w:val="71FAA42B"/>
    <w:multiLevelType w:val="hybridMultilevel"/>
    <w:tmpl w:val="FFFFFFFF"/>
    <w:lvl w:ilvl="0" w:tplc="A4689D44">
      <w:start w:val="1"/>
      <w:numFmt w:val="bullet"/>
      <w:lvlText w:val=""/>
      <w:lvlJc w:val="left"/>
      <w:pPr>
        <w:ind w:left="720" w:hanging="360"/>
      </w:pPr>
      <w:rPr>
        <w:rFonts w:ascii="Symbol" w:hAnsi="Symbol" w:hint="default"/>
      </w:rPr>
    </w:lvl>
    <w:lvl w:ilvl="1" w:tplc="C54EDAB8">
      <w:start w:val="1"/>
      <w:numFmt w:val="bullet"/>
      <w:lvlText w:val="o"/>
      <w:lvlJc w:val="left"/>
      <w:pPr>
        <w:ind w:left="1440" w:hanging="360"/>
      </w:pPr>
      <w:rPr>
        <w:rFonts w:ascii="Courier New" w:hAnsi="Courier New" w:hint="default"/>
      </w:rPr>
    </w:lvl>
    <w:lvl w:ilvl="2" w:tplc="6B14459C">
      <w:start w:val="1"/>
      <w:numFmt w:val="bullet"/>
      <w:lvlText w:val=""/>
      <w:lvlJc w:val="left"/>
      <w:pPr>
        <w:ind w:left="2160" w:hanging="360"/>
      </w:pPr>
      <w:rPr>
        <w:rFonts w:ascii="Wingdings" w:hAnsi="Wingdings" w:hint="default"/>
      </w:rPr>
    </w:lvl>
    <w:lvl w:ilvl="3" w:tplc="C7F0D3A2">
      <w:start w:val="1"/>
      <w:numFmt w:val="bullet"/>
      <w:lvlText w:val=""/>
      <w:lvlJc w:val="left"/>
      <w:pPr>
        <w:ind w:left="2880" w:hanging="360"/>
      </w:pPr>
      <w:rPr>
        <w:rFonts w:ascii="Symbol" w:hAnsi="Symbol" w:hint="default"/>
      </w:rPr>
    </w:lvl>
    <w:lvl w:ilvl="4" w:tplc="97D07002">
      <w:start w:val="1"/>
      <w:numFmt w:val="bullet"/>
      <w:lvlText w:val="o"/>
      <w:lvlJc w:val="left"/>
      <w:pPr>
        <w:ind w:left="3600" w:hanging="360"/>
      </w:pPr>
      <w:rPr>
        <w:rFonts w:ascii="Courier New" w:hAnsi="Courier New" w:hint="default"/>
      </w:rPr>
    </w:lvl>
    <w:lvl w:ilvl="5" w:tplc="5EBA92AC">
      <w:start w:val="1"/>
      <w:numFmt w:val="bullet"/>
      <w:lvlText w:val=""/>
      <w:lvlJc w:val="left"/>
      <w:pPr>
        <w:ind w:left="4320" w:hanging="360"/>
      </w:pPr>
      <w:rPr>
        <w:rFonts w:ascii="Wingdings" w:hAnsi="Wingdings" w:hint="default"/>
      </w:rPr>
    </w:lvl>
    <w:lvl w:ilvl="6" w:tplc="39746314">
      <w:start w:val="1"/>
      <w:numFmt w:val="bullet"/>
      <w:lvlText w:val=""/>
      <w:lvlJc w:val="left"/>
      <w:pPr>
        <w:ind w:left="5040" w:hanging="360"/>
      </w:pPr>
      <w:rPr>
        <w:rFonts w:ascii="Symbol" w:hAnsi="Symbol" w:hint="default"/>
      </w:rPr>
    </w:lvl>
    <w:lvl w:ilvl="7" w:tplc="8F683044">
      <w:start w:val="1"/>
      <w:numFmt w:val="bullet"/>
      <w:lvlText w:val="o"/>
      <w:lvlJc w:val="left"/>
      <w:pPr>
        <w:ind w:left="5760" w:hanging="360"/>
      </w:pPr>
      <w:rPr>
        <w:rFonts w:ascii="Courier New" w:hAnsi="Courier New" w:hint="default"/>
      </w:rPr>
    </w:lvl>
    <w:lvl w:ilvl="8" w:tplc="FCBEA5B4">
      <w:start w:val="1"/>
      <w:numFmt w:val="bullet"/>
      <w:lvlText w:val=""/>
      <w:lvlJc w:val="left"/>
      <w:pPr>
        <w:ind w:left="6480" w:hanging="360"/>
      </w:pPr>
      <w:rPr>
        <w:rFonts w:ascii="Wingdings" w:hAnsi="Wingdings" w:hint="default"/>
      </w:rPr>
    </w:lvl>
  </w:abstractNum>
  <w:abstractNum w:abstractNumId="24" w15:restartNumberingAfterBreak="0">
    <w:nsid w:val="73A1F79A"/>
    <w:multiLevelType w:val="hybridMultilevel"/>
    <w:tmpl w:val="FFFFFFFF"/>
    <w:lvl w:ilvl="0" w:tplc="3A960736">
      <w:start w:val="1"/>
      <w:numFmt w:val="bullet"/>
      <w:lvlText w:val=""/>
      <w:lvlJc w:val="left"/>
      <w:pPr>
        <w:ind w:left="720" w:hanging="360"/>
      </w:pPr>
      <w:rPr>
        <w:rFonts w:ascii="Symbol" w:hAnsi="Symbol" w:hint="default"/>
      </w:rPr>
    </w:lvl>
    <w:lvl w:ilvl="1" w:tplc="0B4260BC">
      <w:start w:val="1"/>
      <w:numFmt w:val="bullet"/>
      <w:lvlText w:val="o"/>
      <w:lvlJc w:val="left"/>
      <w:pPr>
        <w:ind w:left="1440" w:hanging="360"/>
      </w:pPr>
      <w:rPr>
        <w:rFonts w:ascii="Courier New" w:hAnsi="Courier New" w:hint="default"/>
      </w:rPr>
    </w:lvl>
    <w:lvl w:ilvl="2" w:tplc="6B9C9ABA">
      <w:start w:val="1"/>
      <w:numFmt w:val="bullet"/>
      <w:lvlText w:val=""/>
      <w:lvlJc w:val="left"/>
      <w:pPr>
        <w:ind w:left="2160" w:hanging="360"/>
      </w:pPr>
      <w:rPr>
        <w:rFonts w:ascii="Wingdings" w:hAnsi="Wingdings" w:hint="default"/>
      </w:rPr>
    </w:lvl>
    <w:lvl w:ilvl="3" w:tplc="4D32D102">
      <w:start w:val="1"/>
      <w:numFmt w:val="bullet"/>
      <w:lvlText w:val=""/>
      <w:lvlJc w:val="left"/>
      <w:pPr>
        <w:ind w:left="2880" w:hanging="360"/>
      </w:pPr>
      <w:rPr>
        <w:rFonts w:ascii="Symbol" w:hAnsi="Symbol" w:hint="default"/>
      </w:rPr>
    </w:lvl>
    <w:lvl w:ilvl="4" w:tplc="F06E4EB6">
      <w:start w:val="1"/>
      <w:numFmt w:val="bullet"/>
      <w:lvlText w:val="o"/>
      <w:lvlJc w:val="left"/>
      <w:pPr>
        <w:ind w:left="3600" w:hanging="360"/>
      </w:pPr>
      <w:rPr>
        <w:rFonts w:ascii="Courier New" w:hAnsi="Courier New" w:hint="default"/>
      </w:rPr>
    </w:lvl>
    <w:lvl w:ilvl="5" w:tplc="105869BA">
      <w:start w:val="1"/>
      <w:numFmt w:val="bullet"/>
      <w:lvlText w:val=""/>
      <w:lvlJc w:val="left"/>
      <w:pPr>
        <w:ind w:left="4320" w:hanging="360"/>
      </w:pPr>
      <w:rPr>
        <w:rFonts w:ascii="Wingdings" w:hAnsi="Wingdings" w:hint="default"/>
      </w:rPr>
    </w:lvl>
    <w:lvl w:ilvl="6" w:tplc="A12A3050">
      <w:start w:val="1"/>
      <w:numFmt w:val="bullet"/>
      <w:lvlText w:val=""/>
      <w:lvlJc w:val="left"/>
      <w:pPr>
        <w:ind w:left="5040" w:hanging="360"/>
      </w:pPr>
      <w:rPr>
        <w:rFonts w:ascii="Symbol" w:hAnsi="Symbol" w:hint="default"/>
      </w:rPr>
    </w:lvl>
    <w:lvl w:ilvl="7" w:tplc="E8B4E39C">
      <w:start w:val="1"/>
      <w:numFmt w:val="bullet"/>
      <w:lvlText w:val="o"/>
      <w:lvlJc w:val="left"/>
      <w:pPr>
        <w:ind w:left="5760" w:hanging="360"/>
      </w:pPr>
      <w:rPr>
        <w:rFonts w:ascii="Courier New" w:hAnsi="Courier New" w:hint="default"/>
      </w:rPr>
    </w:lvl>
    <w:lvl w:ilvl="8" w:tplc="883CE388">
      <w:start w:val="1"/>
      <w:numFmt w:val="bullet"/>
      <w:lvlText w:val=""/>
      <w:lvlJc w:val="left"/>
      <w:pPr>
        <w:ind w:left="6480" w:hanging="360"/>
      </w:pPr>
      <w:rPr>
        <w:rFonts w:ascii="Wingdings" w:hAnsi="Wingdings" w:hint="default"/>
      </w:rPr>
    </w:lvl>
  </w:abstractNum>
  <w:num w:numId="1" w16cid:durableId="1129012498">
    <w:abstractNumId w:val="22"/>
  </w:num>
  <w:num w:numId="2" w16cid:durableId="1090662768">
    <w:abstractNumId w:val="24"/>
  </w:num>
  <w:num w:numId="3" w16cid:durableId="772555675">
    <w:abstractNumId w:val="12"/>
  </w:num>
  <w:num w:numId="4" w16cid:durableId="620191450">
    <w:abstractNumId w:val="19"/>
  </w:num>
  <w:num w:numId="5" w16cid:durableId="1428304221">
    <w:abstractNumId w:val="20"/>
  </w:num>
  <w:num w:numId="6" w16cid:durableId="1595748687">
    <w:abstractNumId w:val="17"/>
  </w:num>
  <w:num w:numId="7" w16cid:durableId="1486316491">
    <w:abstractNumId w:val="21"/>
  </w:num>
  <w:num w:numId="8" w16cid:durableId="486433556">
    <w:abstractNumId w:val="9"/>
  </w:num>
  <w:num w:numId="9" w16cid:durableId="1265116385">
    <w:abstractNumId w:val="2"/>
  </w:num>
  <w:num w:numId="10" w16cid:durableId="1319383214">
    <w:abstractNumId w:val="6"/>
  </w:num>
  <w:num w:numId="11" w16cid:durableId="86580787">
    <w:abstractNumId w:val="14"/>
  </w:num>
  <w:num w:numId="12" w16cid:durableId="1537304207">
    <w:abstractNumId w:val="7"/>
  </w:num>
  <w:num w:numId="13" w16cid:durableId="1319965818">
    <w:abstractNumId w:val="3"/>
  </w:num>
  <w:num w:numId="14" w16cid:durableId="1587155658">
    <w:abstractNumId w:val="16"/>
  </w:num>
  <w:num w:numId="15" w16cid:durableId="1246112342">
    <w:abstractNumId w:val="23"/>
  </w:num>
  <w:num w:numId="16" w16cid:durableId="1329869645">
    <w:abstractNumId w:val="0"/>
  </w:num>
  <w:num w:numId="17" w16cid:durableId="1686396692">
    <w:abstractNumId w:val="15"/>
  </w:num>
  <w:num w:numId="18" w16cid:durableId="945234095">
    <w:abstractNumId w:val="13"/>
  </w:num>
  <w:num w:numId="19" w16cid:durableId="1616717051">
    <w:abstractNumId w:val="8"/>
  </w:num>
  <w:num w:numId="20" w16cid:durableId="1098522902">
    <w:abstractNumId w:val="10"/>
  </w:num>
  <w:num w:numId="21" w16cid:durableId="1714185397">
    <w:abstractNumId w:val="11"/>
  </w:num>
  <w:num w:numId="22" w16cid:durableId="951060583">
    <w:abstractNumId w:val="4"/>
  </w:num>
  <w:num w:numId="23" w16cid:durableId="1520119373">
    <w:abstractNumId w:val="18"/>
  </w:num>
  <w:num w:numId="24" w16cid:durableId="480655353">
    <w:abstractNumId w:val="1"/>
  </w:num>
  <w:num w:numId="25" w16cid:durableId="5420644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C3AC4D"/>
    <w:rsid w:val="00040FFF"/>
    <w:rsid w:val="000E7660"/>
    <w:rsid w:val="00121798"/>
    <w:rsid w:val="001617DC"/>
    <w:rsid w:val="00214C1B"/>
    <w:rsid w:val="00253043"/>
    <w:rsid w:val="00270267"/>
    <w:rsid w:val="00322990"/>
    <w:rsid w:val="00363DF7"/>
    <w:rsid w:val="003670D5"/>
    <w:rsid w:val="003D0A47"/>
    <w:rsid w:val="003F0D89"/>
    <w:rsid w:val="00423E90"/>
    <w:rsid w:val="0043959D"/>
    <w:rsid w:val="00451833"/>
    <w:rsid w:val="004725B2"/>
    <w:rsid w:val="004F39D4"/>
    <w:rsid w:val="00542027"/>
    <w:rsid w:val="00550F2C"/>
    <w:rsid w:val="0055618C"/>
    <w:rsid w:val="005C17BE"/>
    <w:rsid w:val="005F1633"/>
    <w:rsid w:val="00663B33"/>
    <w:rsid w:val="006649CF"/>
    <w:rsid w:val="00673E9E"/>
    <w:rsid w:val="00676F59"/>
    <w:rsid w:val="006919E7"/>
    <w:rsid w:val="006C8DA5"/>
    <w:rsid w:val="006F5618"/>
    <w:rsid w:val="007C620C"/>
    <w:rsid w:val="007E46F8"/>
    <w:rsid w:val="0084382F"/>
    <w:rsid w:val="00861C13"/>
    <w:rsid w:val="00880828"/>
    <w:rsid w:val="009D4BA9"/>
    <w:rsid w:val="009E4727"/>
    <w:rsid w:val="00A25921"/>
    <w:rsid w:val="00A60F2C"/>
    <w:rsid w:val="00A93B3E"/>
    <w:rsid w:val="00AD13F2"/>
    <w:rsid w:val="00AF6E33"/>
    <w:rsid w:val="00C075C3"/>
    <w:rsid w:val="00C25348"/>
    <w:rsid w:val="00C37B16"/>
    <w:rsid w:val="00C82993"/>
    <w:rsid w:val="00D23318"/>
    <w:rsid w:val="00D77466"/>
    <w:rsid w:val="00E411B3"/>
    <w:rsid w:val="00E6342D"/>
    <w:rsid w:val="00E90704"/>
    <w:rsid w:val="00EB05CB"/>
    <w:rsid w:val="00EB1AF2"/>
    <w:rsid w:val="00EB3A31"/>
    <w:rsid w:val="00ED0145"/>
    <w:rsid w:val="00F12D4D"/>
    <w:rsid w:val="00F1473E"/>
    <w:rsid w:val="00F45611"/>
    <w:rsid w:val="00FC6C29"/>
    <w:rsid w:val="00FE2882"/>
    <w:rsid w:val="011BA1A8"/>
    <w:rsid w:val="014E2CB5"/>
    <w:rsid w:val="016B8E1B"/>
    <w:rsid w:val="01911539"/>
    <w:rsid w:val="01A88A35"/>
    <w:rsid w:val="01D24FC8"/>
    <w:rsid w:val="01EF1A65"/>
    <w:rsid w:val="025D8A2F"/>
    <w:rsid w:val="02A0391F"/>
    <w:rsid w:val="030BFBAC"/>
    <w:rsid w:val="035E31D4"/>
    <w:rsid w:val="03ABA958"/>
    <w:rsid w:val="03ACDEE0"/>
    <w:rsid w:val="03D7ACC0"/>
    <w:rsid w:val="040655B6"/>
    <w:rsid w:val="042C795C"/>
    <w:rsid w:val="04657AD6"/>
    <w:rsid w:val="0478F39A"/>
    <w:rsid w:val="04ABA98B"/>
    <w:rsid w:val="04BB9C50"/>
    <w:rsid w:val="04DBA82E"/>
    <w:rsid w:val="04DF066C"/>
    <w:rsid w:val="05065300"/>
    <w:rsid w:val="0532D1A5"/>
    <w:rsid w:val="053F8495"/>
    <w:rsid w:val="054CD4C2"/>
    <w:rsid w:val="05C57417"/>
    <w:rsid w:val="06AEC1B5"/>
    <w:rsid w:val="06AF021B"/>
    <w:rsid w:val="07514A9B"/>
    <w:rsid w:val="075E39AC"/>
    <w:rsid w:val="07B7E570"/>
    <w:rsid w:val="081D9B9F"/>
    <w:rsid w:val="08704C45"/>
    <w:rsid w:val="0888DBFD"/>
    <w:rsid w:val="08D310F2"/>
    <w:rsid w:val="08D8EFF2"/>
    <w:rsid w:val="08F6F4EC"/>
    <w:rsid w:val="090D4F70"/>
    <w:rsid w:val="0930508F"/>
    <w:rsid w:val="09D41F01"/>
    <w:rsid w:val="09E206FF"/>
    <w:rsid w:val="0A21B222"/>
    <w:rsid w:val="0AAC9E51"/>
    <w:rsid w:val="0ACB08D5"/>
    <w:rsid w:val="0B64876F"/>
    <w:rsid w:val="0B64E3FF"/>
    <w:rsid w:val="0BFC5A2C"/>
    <w:rsid w:val="0C192F81"/>
    <w:rsid w:val="0C2FBE83"/>
    <w:rsid w:val="0C3EAB57"/>
    <w:rsid w:val="0C4CF950"/>
    <w:rsid w:val="0C7211BD"/>
    <w:rsid w:val="0CAA2485"/>
    <w:rsid w:val="0D1E7216"/>
    <w:rsid w:val="0D25357E"/>
    <w:rsid w:val="0DD477E7"/>
    <w:rsid w:val="0DEC184B"/>
    <w:rsid w:val="0E23C083"/>
    <w:rsid w:val="0E88C9D4"/>
    <w:rsid w:val="0E8D0D97"/>
    <w:rsid w:val="0E8D20FB"/>
    <w:rsid w:val="0E9B8DDE"/>
    <w:rsid w:val="0E9C56E4"/>
    <w:rsid w:val="0EDEC319"/>
    <w:rsid w:val="0F076D3A"/>
    <w:rsid w:val="0F16DD64"/>
    <w:rsid w:val="0F1BEF86"/>
    <w:rsid w:val="0F4C1DA6"/>
    <w:rsid w:val="0F8B0249"/>
    <w:rsid w:val="0F9F3EB2"/>
    <w:rsid w:val="0FF00974"/>
    <w:rsid w:val="0FF187B3"/>
    <w:rsid w:val="108A08FA"/>
    <w:rsid w:val="10D7D05A"/>
    <w:rsid w:val="1115E9DE"/>
    <w:rsid w:val="11716890"/>
    <w:rsid w:val="117C364E"/>
    <w:rsid w:val="119F4AA3"/>
    <w:rsid w:val="11B1114C"/>
    <w:rsid w:val="11E6CC26"/>
    <w:rsid w:val="124D0E45"/>
    <w:rsid w:val="1253ACA0"/>
    <w:rsid w:val="1287077E"/>
    <w:rsid w:val="13B8778A"/>
    <w:rsid w:val="13BA9B6E"/>
    <w:rsid w:val="1462D66C"/>
    <w:rsid w:val="14DE76BD"/>
    <w:rsid w:val="151F426E"/>
    <w:rsid w:val="1546F79D"/>
    <w:rsid w:val="157EF197"/>
    <w:rsid w:val="15A074D4"/>
    <w:rsid w:val="15B5D6CA"/>
    <w:rsid w:val="15C7719A"/>
    <w:rsid w:val="15E698DC"/>
    <w:rsid w:val="163214D1"/>
    <w:rsid w:val="164221D6"/>
    <w:rsid w:val="1687969C"/>
    <w:rsid w:val="16925637"/>
    <w:rsid w:val="16A5AB4A"/>
    <w:rsid w:val="16C9D9BA"/>
    <w:rsid w:val="16E0A953"/>
    <w:rsid w:val="1717D201"/>
    <w:rsid w:val="176ABCF9"/>
    <w:rsid w:val="176EF624"/>
    <w:rsid w:val="17E872AB"/>
    <w:rsid w:val="17EE9730"/>
    <w:rsid w:val="1802870F"/>
    <w:rsid w:val="18245BC5"/>
    <w:rsid w:val="18AECA20"/>
    <w:rsid w:val="192CC476"/>
    <w:rsid w:val="195BCA74"/>
    <w:rsid w:val="1963242A"/>
    <w:rsid w:val="19A0550F"/>
    <w:rsid w:val="19C547F6"/>
    <w:rsid w:val="19F7BA4E"/>
    <w:rsid w:val="1A1AD47B"/>
    <w:rsid w:val="1A1B51AF"/>
    <w:rsid w:val="1AC2C6EB"/>
    <w:rsid w:val="1B072323"/>
    <w:rsid w:val="1B407160"/>
    <w:rsid w:val="1B4DB89C"/>
    <w:rsid w:val="1B8461AA"/>
    <w:rsid w:val="1BB3459E"/>
    <w:rsid w:val="1BEF7DEE"/>
    <w:rsid w:val="1BF21520"/>
    <w:rsid w:val="1C277A41"/>
    <w:rsid w:val="1C46D7CC"/>
    <w:rsid w:val="1C5F0E41"/>
    <w:rsid w:val="1C9A5FFD"/>
    <w:rsid w:val="1CE9F93D"/>
    <w:rsid w:val="1F0AEC42"/>
    <w:rsid w:val="1F23AB21"/>
    <w:rsid w:val="2047FE89"/>
    <w:rsid w:val="205370FF"/>
    <w:rsid w:val="20DF2678"/>
    <w:rsid w:val="2104C49F"/>
    <w:rsid w:val="21861E07"/>
    <w:rsid w:val="21A1840B"/>
    <w:rsid w:val="21E6D8F0"/>
    <w:rsid w:val="21F53007"/>
    <w:rsid w:val="22471F8C"/>
    <w:rsid w:val="224AA0CE"/>
    <w:rsid w:val="2254E873"/>
    <w:rsid w:val="22886EB3"/>
    <w:rsid w:val="22B1C8AA"/>
    <w:rsid w:val="22B949C3"/>
    <w:rsid w:val="22D3B48C"/>
    <w:rsid w:val="22DE442D"/>
    <w:rsid w:val="234910E2"/>
    <w:rsid w:val="234943CC"/>
    <w:rsid w:val="239DDC8D"/>
    <w:rsid w:val="23C42E0C"/>
    <w:rsid w:val="240C3856"/>
    <w:rsid w:val="240CAD77"/>
    <w:rsid w:val="24569237"/>
    <w:rsid w:val="2471DA91"/>
    <w:rsid w:val="2486C945"/>
    <w:rsid w:val="24981E93"/>
    <w:rsid w:val="24D75F0E"/>
    <w:rsid w:val="2540325B"/>
    <w:rsid w:val="261930B9"/>
    <w:rsid w:val="264CB259"/>
    <w:rsid w:val="26DE1177"/>
    <w:rsid w:val="26F3E592"/>
    <w:rsid w:val="276B5F9D"/>
    <w:rsid w:val="276E8114"/>
    <w:rsid w:val="27D94506"/>
    <w:rsid w:val="27E12A9C"/>
    <w:rsid w:val="27FC50D7"/>
    <w:rsid w:val="28A03E3D"/>
    <w:rsid w:val="28C1DEBF"/>
    <w:rsid w:val="28C2CB93"/>
    <w:rsid w:val="28C3F6F8"/>
    <w:rsid w:val="29382CB5"/>
    <w:rsid w:val="2A1BD31B"/>
    <w:rsid w:val="2A6AB994"/>
    <w:rsid w:val="2A70BA0F"/>
    <w:rsid w:val="2B466D5E"/>
    <w:rsid w:val="2B4815E6"/>
    <w:rsid w:val="2B890A71"/>
    <w:rsid w:val="2B9A6A17"/>
    <w:rsid w:val="2BF3FBB3"/>
    <w:rsid w:val="2C0B7F89"/>
    <w:rsid w:val="2CBE42A5"/>
    <w:rsid w:val="2D4CD692"/>
    <w:rsid w:val="2D681DE5"/>
    <w:rsid w:val="2DF306C0"/>
    <w:rsid w:val="2E15BA3D"/>
    <w:rsid w:val="2E1ACB42"/>
    <w:rsid w:val="2E5E1D26"/>
    <w:rsid w:val="2E724355"/>
    <w:rsid w:val="2E805F7E"/>
    <w:rsid w:val="2F419B7A"/>
    <w:rsid w:val="2F4B7402"/>
    <w:rsid w:val="2F7F6BFE"/>
    <w:rsid w:val="2FA8B96A"/>
    <w:rsid w:val="301AE30C"/>
    <w:rsid w:val="303ED26F"/>
    <w:rsid w:val="3060C03C"/>
    <w:rsid w:val="311A4D1B"/>
    <w:rsid w:val="31378C9B"/>
    <w:rsid w:val="315E683C"/>
    <w:rsid w:val="3185E6B8"/>
    <w:rsid w:val="3187193B"/>
    <w:rsid w:val="31A4BA78"/>
    <w:rsid w:val="324529FD"/>
    <w:rsid w:val="3270233F"/>
    <w:rsid w:val="32AB1234"/>
    <w:rsid w:val="32C7BC1B"/>
    <w:rsid w:val="32DA6B90"/>
    <w:rsid w:val="32E009FE"/>
    <w:rsid w:val="32FF5049"/>
    <w:rsid w:val="3323702D"/>
    <w:rsid w:val="332D9B1E"/>
    <w:rsid w:val="333F5662"/>
    <w:rsid w:val="337AFA58"/>
    <w:rsid w:val="34185322"/>
    <w:rsid w:val="342D9254"/>
    <w:rsid w:val="352C84D5"/>
    <w:rsid w:val="35465521"/>
    <w:rsid w:val="354DF46C"/>
    <w:rsid w:val="3592AEC1"/>
    <w:rsid w:val="3597C3A4"/>
    <w:rsid w:val="35A9DBF5"/>
    <w:rsid w:val="35E96DB0"/>
    <w:rsid w:val="368AC429"/>
    <w:rsid w:val="37613ADB"/>
    <w:rsid w:val="3779220E"/>
    <w:rsid w:val="3814CE3B"/>
    <w:rsid w:val="382C2591"/>
    <w:rsid w:val="394691DE"/>
    <w:rsid w:val="395AC2BB"/>
    <w:rsid w:val="396D1610"/>
    <w:rsid w:val="3976F70F"/>
    <w:rsid w:val="398E8B03"/>
    <w:rsid w:val="399A8438"/>
    <w:rsid w:val="399E65C1"/>
    <w:rsid w:val="39F79D7E"/>
    <w:rsid w:val="3A134A45"/>
    <w:rsid w:val="3A3365A4"/>
    <w:rsid w:val="3A598007"/>
    <w:rsid w:val="3A8C0E99"/>
    <w:rsid w:val="3AA8AA25"/>
    <w:rsid w:val="3B27D702"/>
    <w:rsid w:val="3B89B1CB"/>
    <w:rsid w:val="3B91B0DE"/>
    <w:rsid w:val="3BA13E5C"/>
    <w:rsid w:val="3BD2C9D9"/>
    <w:rsid w:val="3C142F90"/>
    <w:rsid w:val="3C32583E"/>
    <w:rsid w:val="3CA7A385"/>
    <w:rsid w:val="3CB29969"/>
    <w:rsid w:val="3CB7E87A"/>
    <w:rsid w:val="3CE19911"/>
    <w:rsid w:val="3CE662FC"/>
    <w:rsid w:val="3CF6940D"/>
    <w:rsid w:val="3D2EE809"/>
    <w:rsid w:val="3D98643B"/>
    <w:rsid w:val="3DA6C1E9"/>
    <w:rsid w:val="3DABD410"/>
    <w:rsid w:val="3E30C404"/>
    <w:rsid w:val="3E91D98B"/>
    <w:rsid w:val="3EB9296C"/>
    <w:rsid w:val="3F0A440A"/>
    <w:rsid w:val="3F12DE16"/>
    <w:rsid w:val="3FD16A36"/>
    <w:rsid w:val="40056A3F"/>
    <w:rsid w:val="4082CA99"/>
    <w:rsid w:val="408B9F3E"/>
    <w:rsid w:val="40D98A88"/>
    <w:rsid w:val="40EB54E0"/>
    <w:rsid w:val="4108FFF3"/>
    <w:rsid w:val="41209EA2"/>
    <w:rsid w:val="412CDAE0"/>
    <w:rsid w:val="419F2CFC"/>
    <w:rsid w:val="41ACABB3"/>
    <w:rsid w:val="41DB1969"/>
    <w:rsid w:val="421D3E0F"/>
    <w:rsid w:val="42270BCD"/>
    <w:rsid w:val="4256932B"/>
    <w:rsid w:val="42F96935"/>
    <w:rsid w:val="4327594D"/>
    <w:rsid w:val="43A8CFF3"/>
    <w:rsid w:val="43B10816"/>
    <w:rsid w:val="43F9C878"/>
    <w:rsid w:val="44829E81"/>
    <w:rsid w:val="449DDC89"/>
    <w:rsid w:val="457981B9"/>
    <w:rsid w:val="45D53563"/>
    <w:rsid w:val="45F29B93"/>
    <w:rsid w:val="45FBEAD1"/>
    <w:rsid w:val="46459865"/>
    <w:rsid w:val="464AA9FE"/>
    <w:rsid w:val="466A076C"/>
    <w:rsid w:val="46905FBC"/>
    <w:rsid w:val="46D9ECB4"/>
    <w:rsid w:val="46E994EC"/>
    <w:rsid w:val="46ECCF71"/>
    <w:rsid w:val="472276DB"/>
    <w:rsid w:val="474EDC8E"/>
    <w:rsid w:val="4781BFCB"/>
    <w:rsid w:val="47B88ABD"/>
    <w:rsid w:val="47C10941"/>
    <w:rsid w:val="4834027D"/>
    <w:rsid w:val="48669CBA"/>
    <w:rsid w:val="4889DFB7"/>
    <w:rsid w:val="48967DF8"/>
    <w:rsid w:val="48D169BD"/>
    <w:rsid w:val="491C0FEF"/>
    <w:rsid w:val="495E52A2"/>
    <w:rsid w:val="49C3AC4D"/>
    <w:rsid w:val="49C54187"/>
    <w:rsid w:val="49C736B7"/>
    <w:rsid w:val="49F8372D"/>
    <w:rsid w:val="4ADA37BF"/>
    <w:rsid w:val="4AE6B15C"/>
    <w:rsid w:val="4B05F5CB"/>
    <w:rsid w:val="4B776018"/>
    <w:rsid w:val="4BC4A810"/>
    <w:rsid w:val="4C9D816B"/>
    <w:rsid w:val="4CA79C4D"/>
    <w:rsid w:val="4CA9B8F0"/>
    <w:rsid w:val="4CCF59B0"/>
    <w:rsid w:val="4CD4459E"/>
    <w:rsid w:val="4CDD9D83"/>
    <w:rsid w:val="4D162F24"/>
    <w:rsid w:val="4D24A536"/>
    <w:rsid w:val="4D5E6234"/>
    <w:rsid w:val="4E08E9EC"/>
    <w:rsid w:val="4E3D5201"/>
    <w:rsid w:val="4E528194"/>
    <w:rsid w:val="4E611C17"/>
    <w:rsid w:val="4EF1C4CF"/>
    <w:rsid w:val="4F27165B"/>
    <w:rsid w:val="4F2CCA4E"/>
    <w:rsid w:val="4F3F00C9"/>
    <w:rsid w:val="4F417A77"/>
    <w:rsid w:val="4F4A33AC"/>
    <w:rsid w:val="4F67893A"/>
    <w:rsid w:val="4F68D383"/>
    <w:rsid w:val="4F836779"/>
    <w:rsid w:val="4F948306"/>
    <w:rsid w:val="4FC1916F"/>
    <w:rsid w:val="4FC5C1FC"/>
    <w:rsid w:val="50077BD3"/>
    <w:rsid w:val="500D35FC"/>
    <w:rsid w:val="50140925"/>
    <w:rsid w:val="5073C7D9"/>
    <w:rsid w:val="50B181AE"/>
    <w:rsid w:val="50F4BD26"/>
    <w:rsid w:val="518A65E3"/>
    <w:rsid w:val="51BF7557"/>
    <w:rsid w:val="523FD4CD"/>
    <w:rsid w:val="525D395A"/>
    <w:rsid w:val="52A8A898"/>
    <w:rsid w:val="52F3D51F"/>
    <w:rsid w:val="537243A4"/>
    <w:rsid w:val="53796E9F"/>
    <w:rsid w:val="53FD755D"/>
    <w:rsid w:val="54C9DA18"/>
    <w:rsid w:val="5532D358"/>
    <w:rsid w:val="55815D5C"/>
    <w:rsid w:val="55961289"/>
    <w:rsid w:val="55C29777"/>
    <w:rsid w:val="55F7A250"/>
    <w:rsid w:val="562C44BB"/>
    <w:rsid w:val="56408572"/>
    <w:rsid w:val="565CFB6C"/>
    <w:rsid w:val="568AC6D7"/>
    <w:rsid w:val="56923E91"/>
    <w:rsid w:val="56957323"/>
    <w:rsid w:val="56AEA3FB"/>
    <w:rsid w:val="56EDECD5"/>
    <w:rsid w:val="5717EA20"/>
    <w:rsid w:val="57189328"/>
    <w:rsid w:val="574C78BC"/>
    <w:rsid w:val="57B5694F"/>
    <w:rsid w:val="57BAFD33"/>
    <w:rsid w:val="57DD69D9"/>
    <w:rsid w:val="583C4CEB"/>
    <w:rsid w:val="58990FC8"/>
    <w:rsid w:val="58A12DD4"/>
    <w:rsid w:val="58D0457C"/>
    <w:rsid w:val="58DE8AC5"/>
    <w:rsid w:val="59B182E9"/>
    <w:rsid w:val="59B93424"/>
    <w:rsid w:val="59D0334C"/>
    <w:rsid w:val="59D50194"/>
    <w:rsid w:val="59FE933F"/>
    <w:rsid w:val="5AA33A2A"/>
    <w:rsid w:val="5AAB62FF"/>
    <w:rsid w:val="5AE50D9D"/>
    <w:rsid w:val="5AF5049F"/>
    <w:rsid w:val="5B119BFE"/>
    <w:rsid w:val="5B8BF500"/>
    <w:rsid w:val="5BA77740"/>
    <w:rsid w:val="5BEAC405"/>
    <w:rsid w:val="5C1AC303"/>
    <w:rsid w:val="5C5A4D6C"/>
    <w:rsid w:val="5C67BA58"/>
    <w:rsid w:val="5CE1B125"/>
    <w:rsid w:val="5D14B395"/>
    <w:rsid w:val="5D2695E7"/>
    <w:rsid w:val="5D3540C7"/>
    <w:rsid w:val="5D82949B"/>
    <w:rsid w:val="5D905E5F"/>
    <w:rsid w:val="5DDFE8D3"/>
    <w:rsid w:val="5DF2EDB8"/>
    <w:rsid w:val="5DFA24A6"/>
    <w:rsid w:val="5E3A8B99"/>
    <w:rsid w:val="5E476248"/>
    <w:rsid w:val="5F3CA2BB"/>
    <w:rsid w:val="5F41A63E"/>
    <w:rsid w:val="5F5A0F7B"/>
    <w:rsid w:val="5F6C661B"/>
    <w:rsid w:val="5F742DDE"/>
    <w:rsid w:val="5F80074A"/>
    <w:rsid w:val="5FB0E29A"/>
    <w:rsid w:val="5FB5C66E"/>
    <w:rsid w:val="5FCFA3EE"/>
    <w:rsid w:val="5FE1FE5E"/>
    <w:rsid w:val="5FE4C97B"/>
    <w:rsid w:val="5FE68BA1"/>
    <w:rsid w:val="6008466D"/>
    <w:rsid w:val="607BB693"/>
    <w:rsid w:val="60D62D42"/>
    <w:rsid w:val="6144F6BE"/>
    <w:rsid w:val="61AACBA5"/>
    <w:rsid w:val="620D2125"/>
    <w:rsid w:val="624DA0B1"/>
    <w:rsid w:val="626BD8F8"/>
    <w:rsid w:val="62791A96"/>
    <w:rsid w:val="62CDDBFD"/>
    <w:rsid w:val="63712BF4"/>
    <w:rsid w:val="63BDA348"/>
    <w:rsid w:val="640491E8"/>
    <w:rsid w:val="6425C9C5"/>
    <w:rsid w:val="64578067"/>
    <w:rsid w:val="64CBA132"/>
    <w:rsid w:val="64E624E5"/>
    <w:rsid w:val="650BD3DD"/>
    <w:rsid w:val="658C4A5A"/>
    <w:rsid w:val="65AAFC26"/>
    <w:rsid w:val="663C113A"/>
    <w:rsid w:val="664AB868"/>
    <w:rsid w:val="66780AB8"/>
    <w:rsid w:val="66B28497"/>
    <w:rsid w:val="66BC416D"/>
    <w:rsid w:val="6707316A"/>
    <w:rsid w:val="6829B62F"/>
    <w:rsid w:val="68361717"/>
    <w:rsid w:val="6856E0CA"/>
    <w:rsid w:val="687D6C02"/>
    <w:rsid w:val="68CB48E2"/>
    <w:rsid w:val="68EDCFEA"/>
    <w:rsid w:val="68F7F4BB"/>
    <w:rsid w:val="68FB8098"/>
    <w:rsid w:val="6923BB2C"/>
    <w:rsid w:val="692D4A62"/>
    <w:rsid w:val="6944125D"/>
    <w:rsid w:val="69CA8043"/>
    <w:rsid w:val="69D370D4"/>
    <w:rsid w:val="69E1DFC5"/>
    <w:rsid w:val="69FA45E1"/>
    <w:rsid w:val="6A25D0DA"/>
    <w:rsid w:val="6A3DF6A3"/>
    <w:rsid w:val="6A7F8BF4"/>
    <w:rsid w:val="6AEF5FE5"/>
    <w:rsid w:val="6B0B3DFB"/>
    <w:rsid w:val="6B1EF988"/>
    <w:rsid w:val="6B3719C4"/>
    <w:rsid w:val="6B62C194"/>
    <w:rsid w:val="6B6D234A"/>
    <w:rsid w:val="6B911B18"/>
    <w:rsid w:val="6B916E92"/>
    <w:rsid w:val="6BB24CB9"/>
    <w:rsid w:val="6C3DA0C2"/>
    <w:rsid w:val="6C909701"/>
    <w:rsid w:val="6D4D8E52"/>
    <w:rsid w:val="6D800EAB"/>
    <w:rsid w:val="6D90B449"/>
    <w:rsid w:val="6E6E67B2"/>
    <w:rsid w:val="6E875FC8"/>
    <w:rsid w:val="6E928655"/>
    <w:rsid w:val="6EBD0291"/>
    <w:rsid w:val="6EF9C998"/>
    <w:rsid w:val="6F009F7D"/>
    <w:rsid w:val="6F06D5F2"/>
    <w:rsid w:val="6F16377E"/>
    <w:rsid w:val="6F1C3A59"/>
    <w:rsid w:val="6F43A973"/>
    <w:rsid w:val="6F56DA8C"/>
    <w:rsid w:val="6F7D5DD6"/>
    <w:rsid w:val="6FFE1743"/>
    <w:rsid w:val="7053F8B0"/>
    <w:rsid w:val="705EB4BF"/>
    <w:rsid w:val="70CC587A"/>
    <w:rsid w:val="70D0A902"/>
    <w:rsid w:val="719C299F"/>
    <w:rsid w:val="71A06881"/>
    <w:rsid w:val="71B8CC37"/>
    <w:rsid w:val="71E5FF28"/>
    <w:rsid w:val="71FD2D02"/>
    <w:rsid w:val="72285B2B"/>
    <w:rsid w:val="7234AD43"/>
    <w:rsid w:val="725325B6"/>
    <w:rsid w:val="72A8B73A"/>
    <w:rsid w:val="72BDF0BA"/>
    <w:rsid w:val="72C35CF5"/>
    <w:rsid w:val="73620FF1"/>
    <w:rsid w:val="736FCFC9"/>
    <w:rsid w:val="73ED0A8C"/>
    <w:rsid w:val="740E1AEE"/>
    <w:rsid w:val="752E966E"/>
    <w:rsid w:val="7577F5A8"/>
    <w:rsid w:val="759405EA"/>
    <w:rsid w:val="75C90162"/>
    <w:rsid w:val="75F20AF4"/>
    <w:rsid w:val="761A2A63"/>
    <w:rsid w:val="766DFDE7"/>
    <w:rsid w:val="76BC5246"/>
    <w:rsid w:val="76D91730"/>
    <w:rsid w:val="76E6F51F"/>
    <w:rsid w:val="7778DBB9"/>
    <w:rsid w:val="7789938D"/>
    <w:rsid w:val="77932665"/>
    <w:rsid w:val="780EBD26"/>
    <w:rsid w:val="78161D31"/>
    <w:rsid w:val="78418689"/>
    <w:rsid w:val="78793CB5"/>
    <w:rsid w:val="787DEED3"/>
    <w:rsid w:val="788AE2D7"/>
    <w:rsid w:val="793BA3C4"/>
    <w:rsid w:val="794E5587"/>
    <w:rsid w:val="797CBEA2"/>
    <w:rsid w:val="79E547A3"/>
    <w:rsid w:val="7A117D19"/>
    <w:rsid w:val="7A34EE34"/>
    <w:rsid w:val="7A45B8DA"/>
    <w:rsid w:val="7A48ECB0"/>
    <w:rsid w:val="7A824566"/>
    <w:rsid w:val="7A93ABF1"/>
    <w:rsid w:val="7A9856A9"/>
    <w:rsid w:val="7AAACE8A"/>
    <w:rsid w:val="7B484A7B"/>
    <w:rsid w:val="7B518DAF"/>
    <w:rsid w:val="7B549913"/>
    <w:rsid w:val="7B5F79A7"/>
    <w:rsid w:val="7B65AC5F"/>
    <w:rsid w:val="7B75CF2B"/>
    <w:rsid w:val="7B7B7536"/>
    <w:rsid w:val="7BEBFA78"/>
    <w:rsid w:val="7C01435F"/>
    <w:rsid w:val="7C387FA4"/>
    <w:rsid w:val="7C3AE21E"/>
    <w:rsid w:val="7C3BF9EC"/>
    <w:rsid w:val="7CB1293C"/>
    <w:rsid w:val="7CC476C5"/>
    <w:rsid w:val="7CC653A1"/>
    <w:rsid w:val="7D05309C"/>
    <w:rsid w:val="7DAD22EB"/>
    <w:rsid w:val="7DB9D758"/>
    <w:rsid w:val="7DCA75ED"/>
    <w:rsid w:val="7DDB451C"/>
    <w:rsid w:val="7E1FCD83"/>
    <w:rsid w:val="7E374DC5"/>
    <w:rsid w:val="7E5EE8EF"/>
    <w:rsid w:val="7EB2CF84"/>
    <w:rsid w:val="7F0DCA32"/>
    <w:rsid w:val="7F26012F"/>
    <w:rsid w:val="7F59C466"/>
    <w:rsid w:val="7F9F6709"/>
    <w:rsid w:val="7FAE636A"/>
    <w:rsid w:val="7FB1E2C8"/>
    <w:rsid w:val="7FD1BA40"/>
    <w:rsid w:val="7FD5B52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3AC4D"/>
  <w15:chartTrackingRefBased/>
  <w15:docId w15:val="{9C1041B0-FEAC-4601-B1C2-FA25E013C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759405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759405EA"/>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59405EA"/>
    <w:pPr>
      <w:ind w:left="720"/>
      <w:contextualSpacing/>
    </w:pPr>
  </w:style>
  <w:style w:type="character" w:styleId="Hyperlink">
    <w:name w:val="Hyperlink"/>
    <w:basedOn w:val="DefaultParagraphFont"/>
    <w:uiPriority w:val="99"/>
    <w:unhideWhenUsed/>
    <w:rsid w:val="00121798"/>
    <w:rPr>
      <w:color w:val="467886" w:themeColor="hyperlink"/>
      <w:u w:val="single"/>
    </w:rPr>
  </w:style>
  <w:style w:type="character" w:styleId="UnresolvedMention">
    <w:name w:val="Unresolved Mention"/>
    <w:basedOn w:val="DefaultParagraphFont"/>
    <w:uiPriority w:val="99"/>
    <w:semiHidden/>
    <w:unhideWhenUsed/>
    <w:rsid w:val="00121798"/>
    <w:rPr>
      <w:color w:val="605E5C"/>
      <w:shd w:val="clear" w:color="auto" w:fill="E1DFDD"/>
    </w:rPr>
  </w:style>
  <w:style w:type="paragraph" w:styleId="FootnoteText">
    <w:name w:val="footnote text"/>
    <w:basedOn w:val="Normal"/>
    <w:link w:val="FootnoteTextChar"/>
    <w:uiPriority w:val="99"/>
    <w:semiHidden/>
    <w:unhideWhenUsed/>
    <w:rsid w:val="00C2534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25348"/>
    <w:rPr>
      <w:sz w:val="20"/>
      <w:szCs w:val="20"/>
    </w:rPr>
  </w:style>
  <w:style w:type="character" w:styleId="FootnoteReference">
    <w:name w:val="footnote reference"/>
    <w:basedOn w:val="DefaultParagraphFont"/>
    <w:uiPriority w:val="99"/>
    <w:semiHidden/>
    <w:unhideWhenUsed/>
    <w:rsid w:val="00C25348"/>
    <w:rPr>
      <w:vertAlign w:val="superscript"/>
    </w:rPr>
  </w:style>
  <w:style w:type="paragraph" w:styleId="EndnoteText">
    <w:name w:val="endnote text"/>
    <w:basedOn w:val="Normal"/>
    <w:link w:val="EndnoteTextChar"/>
    <w:uiPriority w:val="99"/>
    <w:semiHidden/>
    <w:unhideWhenUsed/>
    <w:rsid w:val="00C2534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25348"/>
    <w:rPr>
      <w:sz w:val="20"/>
      <w:szCs w:val="20"/>
    </w:rPr>
  </w:style>
  <w:style w:type="character" w:styleId="EndnoteReference">
    <w:name w:val="endnote reference"/>
    <w:basedOn w:val="DefaultParagraphFont"/>
    <w:uiPriority w:val="99"/>
    <w:semiHidden/>
    <w:unhideWhenUsed/>
    <w:rsid w:val="00C2534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college.police.uk/s3fs-public/2021-11/Recognising-responding-vulnerability-related-risks-Evidence-review-part-2.pdf" TargetMode="External"/><Relationship Id="rId18" Type="http://schemas.openxmlformats.org/officeDocument/2006/relationships/hyperlink" Target="https://view.officeapps.live.com/op/view.aspx?src=https%3A%2F%2Fwww.equalityhumanrights.com%2Fsites%2Fdefault%2Ffiles%2Fconsultation-response-police-race-action-plan-august-2022.docx&amp;wdOrigin=BROWSELINK" TargetMode="External"/><Relationship Id="rId26" Type="http://schemas.openxmlformats.org/officeDocument/2006/relationships/hyperlink" Target="https://doi.org/10.1177/02697580251369522" TargetMode="External"/><Relationship Id="rId39" Type="http://schemas.openxmlformats.org/officeDocument/2006/relationships/hyperlink" Target="https://doi.org/10.1177/0964663916680130" TargetMode="External"/><Relationship Id="rId21" Type="http://schemas.openxmlformats.org/officeDocument/2006/relationships/hyperlink" Target="https://hmicfrs.justiceinspectorates.gov.uk/publications/police-response-to-violence-against-women-and-girls/" TargetMode="External"/><Relationship Id="rId34" Type="http://schemas.openxmlformats.org/officeDocument/2006/relationships/hyperlink" Target="https://openaccess.city.ac.uk/id/eprint/19905/" TargetMode="External"/><Relationship Id="rId42" Type="http://schemas.openxmlformats.org/officeDocument/2006/relationships/hyperlink" Target="https://books.google.co.uk/books?hl=en&amp;lr=&amp;id=l6bLEAAAQBAJ&amp;oi=fnd&amp;pg=PA99&amp;dq=Tyler" TargetMode="External"/><Relationship Id="rId47" Type="http://schemas.openxmlformats.org/officeDocument/2006/relationships/hyperlink" Target="https://uwe-repository.worktribe.com/preview/5632114/Anneleise%20Williams_%20___Analysis%20of%20the%20Cross-Examination%20of%20Complainants%20and%20Defendants%20within%20Rape%20Trials__%20%28PhD%20Thesis_%20University%20of%20the%20West%20of%20England%20March%202020%29.pdf"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ps.gov.uk/publication/cps-data-summary-quarter-4-2021-2022" TargetMode="External"/><Relationship Id="rId29" Type="http://schemas.openxmlformats.org/officeDocument/2006/relationships/hyperlink" Target="https://www.gov.uk/government/consultations/delivering-justice-for-victims-a-consultation-on-improving-victims-experiences-of-the-justice-system" TargetMode="External"/><Relationship Id="rId11" Type="http://schemas.openxmlformats.org/officeDocument/2006/relationships/hyperlink" Target="https://assets.college.police.uk/s3fs-public/2024-12/Vetting-authorised-professional-practice.pdf" TargetMode="External"/><Relationship Id="rId24" Type="http://schemas.openxmlformats.org/officeDocument/2006/relationships/hyperlink" Target="https://www.nuffieldfoundation.org/project/changing-face-of-cross-examination-in-criminal-trials?utm_source=chatgpt.com" TargetMode="External"/><Relationship Id="rId32" Type="http://schemas.openxmlformats.org/officeDocument/2006/relationships/hyperlink" Target="https://cdn.websitebuilder.service.justice.gov.uk/uploads/sites/6/2025/10/Victims-Survey-2024-report-16.10.25.pdf" TargetMode="External"/><Relationship Id="rId37" Type="http://schemas.openxmlformats.org/officeDocument/2006/relationships/hyperlink" Target="https://doi.org/10.1080/14767430.2025.2503620" TargetMode="External"/><Relationship Id="rId40" Type="http://schemas.openxmlformats.org/officeDocument/2006/relationships/hyperlink" Target="https://southallblacksisters.org.uk/get-help/immigration-advice/" TargetMode="External"/><Relationship Id="rId45" Type="http://schemas.openxmlformats.org/officeDocument/2006/relationships/hyperlink" Target="https://victimscommissioner.org.uk/document/2023-24_annual_report/" TargetMode="External"/><Relationship Id="rId5" Type="http://schemas.openxmlformats.org/officeDocument/2006/relationships/webSettings" Target="webSettings.xml"/><Relationship Id="rId15" Type="http://schemas.openxmlformats.org/officeDocument/2006/relationships/hyperlink" Target="http://www.cps.gov.uk" TargetMode="External"/><Relationship Id="rId23" Type="http://schemas.openxmlformats.org/officeDocument/2006/relationships/hyperlink" Target="https://www.gov.uk/government/publications/tackling-violence-against-women-and-girls-strategy" TargetMode="External"/><Relationship Id="rId28" Type="http://schemas.openxmlformats.org/officeDocument/2006/relationships/hyperlink" Target="https://assets.publishing.service.gov.uk/media/60620279d3bf7f5ceaca0d89/victims-code-2020.pdf" TargetMode="External"/><Relationship Id="rId36" Type="http://schemas.openxmlformats.org/officeDocument/2006/relationships/hyperlink" Target="https://www.ons.gov.uk/peoplepopulationandcommunity/crimeandjustice/articles/violenceagainstwomenandgirls/researchupdatenovember2023" TargetMode="External"/><Relationship Id="rId49" Type="http://schemas.openxmlformats.org/officeDocument/2006/relationships/fontTable" Target="fontTable.xml"/><Relationship Id="rId10" Type="http://schemas.openxmlformats.org/officeDocument/2006/relationships/hyperlink" Target="https://www.centreforwomensjustice.org.uk/ppda" TargetMode="External"/><Relationship Id="rId19" Type="http://schemas.openxmlformats.org/officeDocument/2006/relationships/hyperlink" Target="https://www.legislation.gov.uk/ukpga/1999/23/contents" TargetMode="External"/><Relationship Id="rId31" Type="http://schemas.openxmlformats.org/officeDocument/2006/relationships/hyperlink" Target="https://www.gov.uk/government/publications/impact-evaluation-of-pre-recorded-cross-examination?utm_source=chatgpt.com" TargetMode="External"/><Relationship Id="rId44" Type="http://schemas.openxmlformats.org/officeDocument/2006/relationships/hyperlink" Target="https://victimscommissioner.org.uk/" TargetMode="External"/><Relationship Id="rId4" Type="http://schemas.openxmlformats.org/officeDocument/2006/relationships/settings" Target="settings.xml"/><Relationship Id="rId9" Type="http://schemas.openxmlformats.org/officeDocument/2006/relationships/hyperlink" Target="https://doi.org/10.1350/ijep.2006.11.1.1" TargetMode="External"/><Relationship Id="rId14" Type="http://schemas.openxmlformats.org/officeDocument/2006/relationships/hyperlink" Target="https://www.cps.gov.uk/" TargetMode="External"/><Relationship Id="rId22" Type="http://schemas.openxmlformats.org/officeDocument/2006/relationships/hyperlink" Target="https://www.libertyhumanrights.org.uk/wp-content/uploads/2020/03/HO_Review_Police_and_HO_data_sharing_migrant_victims-LTC2022030914543737.pdf" TargetMode="External"/><Relationship Id="rId27" Type="http://schemas.openxmlformats.org/officeDocument/2006/relationships/hyperlink" Target="https://doi.org/10.3390/socsci13040198" TargetMode="External"/><Relationship Id="rId30" Type="http://schemas.openxmlformats.org/officeDocument/2006/relationships/hyperlink" Target="https://www.gov.uk/government/publications/the-code-of-practice-for-victims-of-crime/code-of-practice-for-victims-of-crime-in-england-and-wales-victims-code" TargetMode="External"/><Relationship Id="rId35" Type="http://schemas.openxmlformats.org/officeDocument/2006/relationships/hyperlink" Target="http://www.ons.gov.uk" TargetMode="External"/><Relationship Id="rId43" Type="http://schemas.openxmlformats.org/officeDocument/2006/relationships/hyperlink" Target="https://www.victimsupport.org.uk/going-court/whos-who-in-the-criminal-justice-system/" TargetMode="External"/><Relationship Id="rId48" Type="http://schemas.openxmlformats.org/officeDocument/2006/relationships/hyperlink" Target="https://www.grammarly.com/" TargetMode="External"/><Relationship Id="rId8" Type="http://schemas.openxmlformats.org/officeDocument/2006/relationships/hyperlink" Target="https://doi.org/10.1016/j.ijlp.2004.12.004" TargetMode="External"/><Relationship Id="rId51" Type="http://schemas.microsoft.com/office/2020/10/relationships/intelligence" Target="intelligence2.xml"/><Relationship Id="rId3" Type="http://schemas.openxmlformats.org/officeDocument/2006/relationships/styles" Target="styles.xml"/><Relationship Id="rId12" Type="http://schemas.openxmlformats.org/officeDocument/2006/relationships/hyperlink" Target="https://www.college.police.uk/guidance/vulnerability-related-risks" TargetMode="External"/><Relationship Id="rId17" Type="http://schemas.openxmlformats.org/officeDocument/2006/relationships/hyperlink" Target="https://doi.org/10.1017/s0922156523000651" TargetMode="External"/><Relationship Id="rId25" Type="http://schemas.openxmlformats.org/officeDocument/2006/relationships/hyperlink" Target="https://doi.org/10.17030/uclan.thesis.00052938" TargetMode="External"/><Relationship Id="rId33" Type="http://schemas.openxmlformats.org/officeDocument/2006/relationships/hyperlink" Target="https://doi.org/10.1177/0886260520978190" TargetMode="External"/><Relationship Id="rId38" Type="http://schemas.openxmlformats.org/officeDocument/2006/relationships/hyperlink" Target="https://safelives.org.uk/wp-content/uploads/SafeLives-Impact-Report-2021-22.pdf" TargetMode="External"/><Relationship Id="rId46" Type="http://schemas.openxmlformats.org/officeDocument/2006/relationships/hyperlink" Target="https://doi.org/10.1177/1362480610383452" TargetMode="External"/><Relationship Id="rId20" Type="http://schemas.openxmlformats.org/officeDocument/2006/relationships/hyperlink" Target="https://assets.publishing.service.gov.uk/media/5bbca235ed915d23aa4c2e2d/victim-strategy.pdf" TargetMode="External"/><Relationship Id="rId41" Type="http://schemas.openxmlformats.org/officeDocument/2006/relationships/hyperlink" Target="https://stepupmigrantwomen.org/"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6D00807-2FCA-4023-B4B2-AD7B78AC98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6125</Words>
  <Characters>34917</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Jones (2500925)</dc:creator>
  <cp:keywords/>
  <dc:description/>
  <cp:lastModifiedBy>Leah Jones</cp:lastModifiedBy>
  <cp:revision>2</cp:revision>
  <dcterms:created xsi:type="dcterms:W3CDTF">2026-05-01T16:37:00Z</dcterms:created>
  <dcterms:modified xsi:type="dcterms:W3CDTF">2026-05-01T16:37:00Z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41387f0e-8dd7-4d66-84b5-c4299274e3ab</vt:lpwstr>
  </property>
</Properties>
</file>