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D81FAFB" w14:paraId="5E5787A5" wp14:textId="3619ECB1">
      <w:pPr>
        <w:pStyle w:val="Normal"/>
        <w:jc w:val="center"/>
        <w:rPr>
          <w:b w:val="1"/>
          <w:bCs w:val="1"/>
          <w:sz w:val="40"/>
          <w:szCs w:val="40"/>
          <w:u w:val="single"/>
        </w:rPr>
      </w:pPr>
      <w:r w:rsidRPr="7D81FAFB" w:rsidR="7D81FAFB">
        <w:rPr>
          <w:b w:val="1"/>
          <w:bCs w:val="1"/>
          <w:sz w:val="40"/>
          <w:szCs w:val="40"/>
          <w:u w:val="single"/>
        </w:rPr>
        <w:t>A Guidance Handbook for Early Years keyworkers during childhood transitions</w:t>
      </w:r>
    </w:p>
    <w:p w:rsidR="7D81FAFB" w:rsidP="7D81FAFB" w:rsidRDefault="7D81FAFB" w14:paraId="39F1CA91" w14:textId="4F7EC138">
      <w:pPr>
        <w:pStyle w:val="Normal"/>
        <w:jc w:val="center"/>
        <w:rPr>
          <w:b w:val="1"/>
          <w:bCs w:val="1"/>
          <w:sz w:val="40"/>
          <w:szCs w:val="40"/>
          <w:u w:val="single"/>
        </w:rPr>
      </w:pPr>
    </w:p>
    <w:p w:rsidR="7D81FAFB" w:rsidP="7D81FAFB" w:rsidRDefault="7D81FAFB" w14:paraId="095F9135" w14:textId="6553F1BF">
      <w:pPr>
        <w:pStyle w:val="Normal"/>
        <w:jc w:val="center"/>
        <w:rPr>
          <w:b w:val="1"/>
          <w:bCs w:val="1"/>
          <w:sz w:val="40"/>
          <w:szCs w:val="40"/>
          <w:u w:val="single"/>
        </w:rPr>
      </w:pPr>
    </w:p>
    <w:p w:rsidR="7D81FAFB" w:rsidP="7D81FAFB" w:rsidRDefault="7D81FAFB" w14:paraId="43E257BE" w14:textId="6BC8EC6F">
      <w:pPr>
        <w:pStyle w:val="Normal"/>
        <w:jc w:val="center"/>
        <w:rPr>
          <w:b w:val="1"/>
          <w:bCs w:val="1"/>
          <w:sz w:val="40"/>
          <w:szCs w:val="40"/>
          <w:u w:val="single"/>
        </w:rPr>
      </w:pPr>
    </w:p>
    <w:p w:rsidR="7D81FAFB" w:rsidP="7D81FAFB" w:rsidRDefault="7D81FAFB" w14:paraId="4DAAA185" w14:textId="6AA5C2AE">
      <w:pPr>
        <w:pStyle w:val="Normal"/>
        <w:jc w:val="center"/>
        <w:rPr>
          <w:rFonts w:ascii="Times New Roman" w:hAnsi="Times New Roman" w:eastAsia="Times New Roman" w:cs="Times New Roman"/>
          <w:b w:val="1"/>
          <w:bCs w:val="1"/>
          <w:sz w:val="40"/>
          <w:szCs w:val="40"/>
          <w:u w:val="single"/>
        </w:rPr>
      </w:pPr>
    </w:p>
    <w:p w:rsidR="7D81FAFB" w:rsidP="7D81FAFB" w:rsidRDefault="7D81FAFB" w14:paraId="30CCFA83" w14:textId="5817681E">
      <w:pPr>
        <w:pStyle w:val="Normal"/>
        <w:jc w:val="center"/>
        <w:rPr>
          <w:rFonts w:ascii="Times New Roman" w:hAnsi="Times New Roman" w:eastAsia="Times New Roman" w:cs="Times New Roman"/>
          <w:noProof w:val="0"/>
          <w:color w:val="2D2D2D"/>
          <w:sz w:val="40"/>
          <w:szCs w:val="40"/>
          <w:lang w:val="en-GB"/>
        </w:rPr>
      </w:pPr>
      <w:r w:rsidRPr="7D81FAFB" w:rsidR="7D81FAFB">
        <w:rPr>
          <w:rFonts w:ascii="Times New Roman" w:hAnsi="Times New Roman" w:eastAsia="Times New Roman" w:cs="Times New Roman"/>
          <w:noProof w:val="0"/>
          <w:color w:val="2D2D2D"/>
          <w:sz w:val="40"/>
          <w:szCs w:val="40"/>
          <w:lang w:val="en-GB"/>
        </w:rPr>
        <w:t xml:space="preserve"> “You cannot make people learn. You can only provide the right conditions for learning to happen.” </w:t>
      </w:r>
    </w:p>
    <w:p w:rsidR="7D81FAFB" w:rsidP="7D81FAFB" w:rsidRDefault="7D81FAFB" w14:paraId="32EF9D6D" w14:textId="1ADF562F">
      <w:pPr>
        <w:pStyle w:val="Normal"/>
        <w:jc w:val="center"/>
        <w:rPr>
          <w:rFonts w:ascii="Times New Roman" w:hAnsi="Times New Roman" w:eastAsia="Times New Roman" w:cs="Times New Roman"/>
          <w:noProof w:val="0"/>
          <w:color w:val="2D2D2D"/>
          <w:sz w:val="40"/>
          <w:szCs w:val="40"/>
          <w:lang w:val="en-GB"/>
        </w:rPr>
      </w:pPr>
      <w:r w:rsidRPr="7D81FAFB" w:rsidR="7D81FAFB">
        <w:rPr>
          <w:rFonts w:ascii="Times New Roman" w:hAnsi="Times New Roman" w:eastAsia="Times New Roman" w:cs="Times New Roman"/>
          <w:noProof w:val="0"/>
          <w:color w:val="2D2D2D"/>
          <w:sz w:val="40"/>
          <w:szCs w:val="40"/>
          <w:lang w:val="en-GB"/>
        </w:rPr>
        <w:t xml:space="preserve">~ Vince </w:t>
      </w:r>
      <w:proofErr w:type="spellStart"/>
      <w:r w:rsidRPr="7D81FAFB" w:rsidR="7D81FAFB">
        <w:rPr>
          <w:rFonts w:ascii="Times New Roman" w:hAnsi="Times New Roman" w:eastAsia="Times New Roman" w:cs="Times New Roman"/>
          <w:noProof w:val="0"/>
          <w:color w:val="2D2D2D"/>
          <w:sz w:val="40"/>
          <w:szCs w:val="40"/>
          <w:lang w:val="en-GB"/>
        </w:rPr>
        <w:t>Gowmon</w:t>
      </w:r>
      <w:proofErr w:type="spellEnd"/>
    </w:p>
    <w:p w:rsidR="7D81FAFB" w:rsidP="7D81FAFB" w:rsidRDefault="7D81FAFB" w14:paraId="55E2A6D6" w14:textId="7589FF75">
      <w:pPr>
        <w:pStyle w:val="Normal"/>
        <w:jc w:val="center"/>
        <w:rPr>
          <w:b w:val="1"/>
          <w:bCs w:val="1"/>
          <w:sz w:val="40"/>
          <w:szCs w:val="40"/>
          <w:u w:val="single"/>
        </w:rPr>
      </w:pPr>
    </w:p>
    <w:p w:rsidR="7D81FAFB" w:rsidP="7D81FAFB" w:rsidRDefault="7D81FAFB" w14:paraId="62E4AC49" w14:textId="361658AA">
      <w:pPr>
        <w:pStyle w:val="Normal"/>
        <w:jc w:val="center"/>
        <w:rPr>
          <w:b w:val="1"/>
          <w:bCs w:val="1"/>
          <w:sz w:val="40"/>
          <w:szCs w:val="40"/>
          <w:u w:val="single"/>
        </w:rPr>
      </w:pPr>
    </w:p>
    <w:p w:rsidR="7D81FAFB" w:rsidP="7D81FAFB" w:rsidRDefault="7D81FAFB" w14:paraId="01B06194" w14:textId="59114343">
      <w:pPr>
        <w:pStyle w:val="Normal"/>
        <w:jc w:val="center"/>
      </w:pPr>
      <w:r>
        <w:drawing>
          <wp:inline wp14:editId="336CEFD3" wp14:anchorId="14344866">
            <wp:extent cx="3762375" cy="2734119"/>
            <wp:effectExtent l="0" t="0" r="0" b="0"/>
            <wp:docPr id="933838101" name="" title=""/>
            <wp:cNvGraphicFramePr>
              <a:graphicFrameLocks noChangeAspect="1"/>
            </wp:cNvGraphicFramePr>
            <a:graphic>
              <a:graphicData uri="http://schemas.openxmlformats.org/drawingml/2006/picture">
                <pic:pic>
                  <pic:nvPicPr>
                    <pic:cNvPr id="0" name=""/>
                    <pic:cNvPicPr/>
                  </pic:nvPicPr>
                  <pic:blipFill>
                    <a:blip r:embed="Rc05aa8f43f284575">
                      <a:extLst>
                        <a:ext xmlns:a="http://schemas.openxmlformats.org/drawingml/2006/main" uri="{28A0092B-C50C-407E-A947-70E740481C1C}">
                          <a14:useLocalDpi val="0"/>
                        </a:ext>
                      </a:extLst>
                    </a:blip>
                    <a:stretch>
                      <a:fillRect/>
                    </a:stretch>
                  </pic:blipFill>
                  <pic:spPr>
                    <a:xfrm>
                      <a:off x="0" y="0"/>
                      <a:ext cx="3762375" cy="2734119"/>
                    </a:xfrm>
                    <a:prstGeom prst="rect">
                      <a:avLst/>
                    </a:prstGeom>
                  </pic:spPr>
                </pic:pic>
              </a:graphicData>
            </a:graphic>
          </wp:inline>
        </w:drawing>
      </w:r>
    </w:p>
    <w:p w:rsidR="7D81FAFB" w:rsidP="7D81FAFB" w:rsidRDefault="7D81FAFB" w14:paraId="09A29B2C" w14:textId="1F9D87DE">
      <w:pPr>
        <w:pStyle w:val="Normal"/>
        <w:jc w:val="right"/>
        <w:rPr>
          <w:b w:val="0"/>
          <w:bCs w:val="0"/>
          <w:sz w:val="28"/>
          <w:szCs w:val="28"/>
          <w:u w:val="none"/>
        </w:rPr>
      </w:pPr>
      <w:r w:rsidRPr="7D81FAFB" w:rsidR="7D81FAFB">
        <w:rPr>
          <w:b w:val="0"/>
          <w:bCs w:val="0"/>
          <w:sz w:val="28"/>
          <w:szCs w:val="28"/>
          <w:u w:val="none"/>
        </w:rPr>
        <w:t>(Source: Richard Jones)</w:t>
      </w:r>
    </w:p>
    <w:p w:rsidR="7D81FAFB" w:rsidP="7D81FAFB" w:rsidRDefault="7D81FAFB" w14:paraId="14DCC3DB" w14:textId="1AEAA9E3">
      <w:pPr>
        <w:pStyle w:val="Normal"/>
        <w:jc w:val="center"/>
        <w:rPr>
          <w:b w:val="1"/>
          <w:bCs w:val="1"/>
          <w:sz w:val="40"/>
          <w:szCs w:val="40"/>
          <w:u w:val="single"/>
        </w:rPr>
      </w:pPr>
    </w:p>
    <w:p w:rsidR="7D81FAFB" w:rsidP="7D81FAFB" w:rsidRDefault="7D81FAFB" w14:paraId="1317675A" w14:textId="21BC2164">
      <w:pPr>
        <w:pStyle w:val="Normal"/>
        <w:jc w:val="center"/>
        <w:rPr>
          <w:b w:val="1"/>
          <w:bCs w:val="1"/>
          <w:sz w:val="40"/>
          <w:szCs w:val="40"/>
          <w:u w:val="single"/>
        </w:rPr>
      </w:pPr>
    </w:p>
    <w:p w:rsidR="7D81FAFB" w:rsidP="7D81FAFB" w:rsidRDefault="7D81FAFB" w14:paraId="12641C15" w14:textId="4BCB74BB">
      <w:pPr>
        <w:pStyle w:val="Normal"/>
        <w:jc w:val="center"/>
        <w:rPr>
          <w:b w:val="1"/>
          <w:bCs w:val="1"/>
          <w:sz w:val="40"/>
          <w:szCs w:val="40"/>
          <w:u w:val="single"/>
        </w:rPr>
      </w:pPr>
    </w:p>
    <w:p w:rsidR="7D81FAFB" w:rsidP="7D81FAFB" w:rsidRDefault="7D81FAFB" w14:paraId="0B8741FE" w14:textId="22F3C3B7">
      <w:pPr>
        <w:pStyle w:val="Normal"/>
        <w:jc w:val="center"/>
        <w:rPr>
          <w:b w:val="1"/>
          <w:bCs w:val="1"/>
          <w:sz w:val="40"/>
          <w:szCs w:val="40"/>
          <w:u w:val="single"/>
        </w:rPr>
      </w:pPr>
    </w:p>
    <w:p w:rsidR="7D81FAFB" w:rsidP="7D81FAFB" w:rsidRDefault="7D81FAFB" w14:paraId="3EBC9D99" w14:textId="42F7C14F">
      <w:pPr>
        <w:pStyle w:val="Normal"/>
        <w:jc w:val="center"/>
        <w:rPr>
          <w:b w:val="1"/>
          <w:bCs w:val="1"/>
          <w:sz w:val="40"/>
          <w:szCs w:val="40"/>
          <w:u w:val="single"/>
        </w:rPr>
      </w:pPr>
    </w:p>
    <w:p w:rsidR="7D81FAFB" w:rsidP="7D81FAFB" w:rsidRDefault="7D81FAFB" w14:paraId="7687BFC5" w14:textId="4A5A8BC6">
      <w:pPr>
        <w:pStyle w:val="Normal"/>
        <w:jc w:val="center"/>
        <w:rPr>
          <w:b w:val="1"/>
          <w:bCs w:val="1"/>
          <w:sz w:val="40"/>
          <w:szCs w:val="40"/>
          <w:u w:val="single"/>
        </w:rPr>
      </w:pPr>
    </w:p>
    <w:p w:rsidR="7D81FAFB" w:rsidP="7D81FAFB" w:rsidRDefault="7D81FAFB" w14:paraId="60D23DA1" w14:textId="644726E1">
      <w:pPr>
        <w:pStyle w:val="Normal"/>
        <w:jc w:val="center"/>
        <w:rPr>
          <w:b w:val="1"/>
          <w:bCs w:val="1"/>
          <w:sz w:val="40"/>
          <w:szCs w:val="40"/>
          <w:u w:val="single"/>
        </w:rPr>
      </w:pPr>
    </w:p>
    <w:p w:rsidR="7D81FAFB" w:rsidP="7D81FAFB" w:rsidRDefault="7D81FAFB" w14:paraId="28EEB16B" w14:textId="6F5D3E4B">
      <w:pPr>
        <w:pStyle w:val="Normal"/>
        <w:jc w:val="center"/>
        <w:rPr>
          <w:b w:val="1"/>
          <w:bCs w:val="1"/>
          <w:sz w:val="40"/>
          <w:szCs w:val="40"/>
          <w:u w:val="single"/>
        </w:rPr>
      </w:pPr>
    </w:p>
    <w:p w:rsidR="7D81FAFB" w:rsidP="7D81FAFB" w:rsidRDefault="7D81FAFB" w14:paraId="479773DF" w14:textId="2E2D8DF5">
      <w:pPr>
        <w:pStyle w:val="Normal"/>
        <w:jc w:val="center"/>
        <w:rPr>
          <w:b w:val="1"/>
          <w:bCs w:val="1"/>
          <w:sz w:val="40"/>
          <w:szCs w:val="40"/>
          <w:u w:val="single"/>
        </w:rPr>
      </w:pPr>
    </w:p>
    <w:p w:rsidR="7D81FAFB" w:rsidP="7D81FAFB" w:rsidRDefault="7D81FAFB" w14:paraId="63B8F563" w14:textId="2F3ADD8A">
      <w:pPr>
        <w:pStyle w:val="Normal"/>
        <w:jc w:val="center"/>
        <w:rPr>
          <w:b w:val="1"/>
          <w:bCs w:val="1"/>
          <w:sz w:val="40"/>
          <w:szCs w:val="40"/>
          <w:u w:val="single"/>
        </w:rPr>
      </w:pPr>
    </w:p>
    <w:p w:rsidR="7D81FAFB" w:rsidP="7D81FAFB" w:rsidRDefault="7D81FAFB" w14:paraId="0318C97C" w14:textId="09D341CC">
      <w:pPr>
        <w:pStyle w:val="Normal"/>
        <w:jc w:val="center"/>
        <w:rPr>
          <w:b w:val="1"/>
          <w:bCs w:val="1"/>
          <w:sz w:val="40"/>
          <w:szCs w:val="40"/>
          <w:u w:val="single"/>
        </w:rPr>
      </w:pPr>
    </w:p>
    <w:p w:rsidR="7D81FAFB" w:rsidP="7D81FAFB" w:rsidRDefault="7D81FAFB" w14:paraId="462C15D0" w14:textId="71BBAF4B">
      <w:pPr>
        <w:pStyle w:val="Normal"/>
        <w:jc w:val="center"/>
        <w:rPr>
          <w:b w:val="1"/>
          <w:bCs w:val="1"/>
          <w:sz w:val="40"/>
          <w:szCs w:val="40"/>
          <w:u w:val="single"/>
        </w:rPr>
      </w:pPr>
    </w:p>
    <w:p w:rsidR="7D81FAFB" w:rsidP="7D81FAFB" w:rsidRDefault="7D81FAFB" w14:paraId="77035A31" w14:textId="7B78993E">
      <w:pPr>
        <w:pStyle w:val="Normal"/>
        <w:jc w:val="center"/>
        <w:rPr>
          <w:b w:val="1"/>
          <w:bCs w:val="1"/>
          <w:sz w:val="40"/>
          <w:szCs w:val="40"/>
          <w:u w:val="single"/>
        </w:rPr>
      </w:pPr>
      <w:r w:rsidRPr="7D81FAFB" w:rsidR="7D81FAFB">
        <w:rPr>
          <w:b w:val="1"/>
          <w:bCs w:val="1"/>
          <w:sz w:val="40"/>
          <w:szCs w:val="40"/>
          <w:u w:val="single"/>
        </w:rPr>
        <w:t>Contents</w:t>
      </w:r>
      <w:r w:rsidRPr="7D81FAFB" w:rsidR="7D81FAFB">
        <w:rPr>
          <w:b w:val="1"/>
          <w:bCs w:val="1"/>
          <w:sz w:val="40"/>
          <w:szCs w:val="40"/>
          <w:u w:val="none"/>
        </w:rPr>
        <w:t xml:space="preserve">                                                    </w:t>
      </w:r>
      <w:r w:rsidRPr="7D81FAFB" w:rsidR="7D81FAFB">
        <w:rPr>
          <w:b w:val="1"/>
          <w:bCs w:val="1"/>
          <w:sz w:val="40"/>
          <w:szCs w:val="40"/>
          <w:u w:val="single"/>
        </w:rPr>
        <w:t>Page no.</w:t>
      </w:r>
    </w:p>
    <w:p w:rsidR="7D81FAFB" w:rsidP="7D81FAFB" w:rsidRDefault="7D81FAFB" w14:paraId="077F58B6" w14:textId="0DE8EFC6">
      <w:pPr>
        <w:pStyle w:val="Normal"/>
        <w:ind w:left="0"/>
        <w:jc w:val="both"/>
        <w:rPr>
          <w:b w:val="1"/>
          <w:bCs w:val="1"/>
          <w:sz w:val="40"/>
          <w:szCs w:val="40"/>
          <w:u w:val="single"/>
        </w:rPr>
      </w:pPr>
      <w:r w:rsidRPr="7D81FAFB" w:rsidR="7D81FAFB">
        <w:rPr>
          <w:b w:val="0"/>
          <w:bCs w:val="0"/>
          <w:sz w:val="40"/>
          <w:szCs w:val="40"/>
          <w:u w:val="none"/>
        </w:rPr>
        <w:t>Introduction                                                           3</w:t>
      </w:r>
    </w:p>
    <w:p w:rsidR="7D81FAFB" w:rsidP="7D81FAFB" w:rsidRDefault="7D81FAFB" w14:paraId="14AB7F15" w14:textId="1521AEBA">
      <w:pPr>
        <w:pStyle w:val="Normal"/>
        <w:ind w:left="0"/>
        <w:jc w:val="both"/>
        <w:rPr>
          <w:b w:val="0"/>
          <w:bCs w:val="0"/>
          <w:sz w:val="40"/>
          <w:szCs w:val="40"/>
          <w:u w:val="none"/>
        </w:rPr>
      </w:pPr>
      <w:r w:rsidRPr="7D81FAFB" w:rsidR="7D81FAFB">
        <w:rPr>
          <w:b w:val="0"/>
          <w:bCs w:val="0"/>
          <w:sz w:val="40"/>
          <w:szCs w:val="40"/>
          <w:u w:val="none"/>
        </w:rPr>
        <w:t>How to use the guidance handbook                  5</w:t>
      </w:r>
    </w:p>
    <w:p w:rsidR="7D81FAFB" w:rsidP="7D81FAFB" w:rsidRDefault="7D81FAFB" w14:paraId="39E832BD" w14:textId="3B9B96DC">
      <w:pPr>
        <w:pStyle w:val="Normal"/>
        <w:ind w:left="0"/>
        <w:jc w:val="both"/>
        <w:rPr>
          <w:b w:val="0"/>
          <w:bCs w:val="0"/>
          <w:sz w:val="40"/>
          <w:szCs w:val="40"/>
          <w:u w:val="none"/>
        </w:rPr>
      </w:pPr>
      <w:r w:rsidRPr="7D81FAFB" w:rsidR="7D81FAFB">
        <w:rPr>
          <w:b w:val="0"/>
          <w:bCs w:val="0"/>
          <w:sz w:val="40"/>
          <w:szCs w:val="40"/>
          <w:u w:val="none"/>
        </w:rPr>
        <w:t>The role of the adult                                             7</w:t>
      </w:r>
    </w:p>
    <w:p w:rsidR="7D81FAFB" w:rsidP="7D81FAFB" w:rsidRDefault="7D81FAFB" w14:paraId="1701046D" w14:textId="42A75194">
      <w:pPr>
        <w:pStyle w:val="Normal"/>
        <w:ind w:left="0"/>
        <w:jc w:val="both"/>
        <w:rPr>
          <w:b w:val="0"/>
          <w:bCs w:val="0"/>
          <w:sz w:val="40"/>
          <w:szCs w:val="40"/>
          <w:u w:val="none"/>
        </w:rPr>
      </w:pPr>
      <w:r w:rsidRPr="7D81FAFB" w:rsidR="7D81FAFB">
        <w:rPr>
          <w:b w:val="0"/>
          <w:bCs w:val="0"/>
          <w:sz w:val="40"/>
          <w:szCs w:val="40"/>
          <w:u w:val="none"/>
        </w:rPr>
        <w:t>The needs of the child                                          9</w:t>
      </w:r>
    </w:p>
    <w:p w:rsidR="7D81FAFB" w:rsidP="7D81FAFB" w:rsidRDefault="7D81FAFB" w14:paraId="419ABEBB" w14:textId="218B2CEF">
      <w:pPr>
        <w:pStyle w:val="Normal"/>
        <w:ind w:left="0"/>
        <w:jc w:val="both"/>
        <w:rPr>
          <w:b w:val="0"/>
          <w:bCs w:val="0"/>
          <w:sz w:val="40"/>
          <w:szCs w:val="40"/>
          <w:u w:val="none"/>
        </w:rPr>
      </w:pPr>
      <w:r w:rsidRPr="7D81FAFB" w:rsidR="7D81FAFB">
        <w:rPr>
          <w:b w:val="0"/>
          <w:bCs w:val="0"/>
          <w:sz w:val="40"/>
          <w:szCs w:val="40"/>
          <w:u w:val="none"/>
        </w:rPr>
        <w:t>Partnerships                                                          11</w:t>
      </w:r>
    </w:p>
    <w:p w:rsidR="7D81FAFB" w:rsidP="7D81FAFB" w:rsidRDefault="7D81FAFB" w14:paraId="44027D58" w14:textId="17567EEF">
      <w:pPr>
        <w:pStyle w:val="Normal"/>
        <w:ind w:left="0"/>
        <w:jc w:val="both"/>
        <w:rPr>
          <w:b w:val="0"/>
          <w:bCs w:val="0"/>
          <w:sz w:val="40"/>
          <w:szCs w:val="40"/>
          <w:u w:val="none"/>
        </w:rPr>
      </w:pPr>
      <w:r w:rsidRPr="7D81FAFB" w:rsidR="7D81FAFB">
        <w:rPr>
          <w:b w:val="0"/>
          <w:bCs w:val="0"/>
          <w:sz w:val="40"/>
          <w:szCs w:val="40"/>
          <w:u w:val="none"/>
        </w:rPr>
        <w:t>Interventions                                                         12</w:t>
      </w:r>
    </w:p>
    <w:p w:rsidR="7D81FAFB" w:rsidP="7D81FAFB" w:rsidRDefault="7D81FAFB" w14:paraId="219F401B" w14:textId="6CAE63A1">
      <w:pPr>
        <w:pStyle w:val="Normal"/>
        <w:ind w:left="0"/>
        <w:jc w:val="left"/>
        <w:rPr>
          <w:b w:val="0"/>
          <w:bCs w:val="0"/>
          <w:sz w:val="40"/>
          <w:szCs w:val="40"/>
          <w:u w:val="none"/>
        </w:rPr>
      </w:pPr>
      <w:r w:rsidRPr="7D81FAFB" w:rsidR="7D81FAFB">
        <w:rPr>
          <w:b w:val="0"/>
          <w:bCs w:val="0"/>
          <w:sz w:val="40"/>
          <w:szCs w:val="40"/>
          <w:u w:val="none"/>
        </w:rPr>
        <w:t>Proposed outcomes                                             13</w:t>
      </w:r>
    </w:p>
    <w:p w:rsidR="7D81FAFB" w:rsidP="7D81FAFB" w:rsidRDefault="7D81FAFB" w14:paraId="4D948E18" w14:textId="2D63AA7F">
      <w:pPr>
        <w:pStyle w:val="Normal"/>
        <w:ind w:left="0"/>
        <w:jc w:val="left"/>
        <w:rPr>
          <w:b w:val="0"/>
          <w:bCs w:val="0"/>
          <w:sz w:val="40"/>
          <w:szCs w:val="40"/>
          <w:u w:val="none"/>
        </w:rPr>
      </w:pPr>
      <w:r w:rsidRPr="7D81FAFB" w:rsidR="7D81FAFB">
        <w:rPr>
          <w:b w:val="0"/>
          <w:bCs w:val="0"/>
          <w:sz w:val="40"/>
          <w:szCs w:val="40"/>
          <w:u w:val="none"/>
        </w:rPr>
        <w:t>Reference list                                                        14</w:t>
      </w:r>
    </w:p>
    <w:p w:rsidR="7D81FAFB" w:rsidP="7D81FAFB" w:rsidRDefault="7D81FAFB" w14:paraId="4CC590AE" w14:textId="3FCC8DBB">
      <w:pPr>
        <w:pStyle w:val="Normal"/>
        <w:jc w:val="left"/>
        <w:rPr>
          <w:b w:val="0"/>
          <w:bCs w:val="0"/>
          <w:sz w:val="40"/>
          <w:szCs w:val="40"/>
          <w:u w:val="none"/>
        </w:rPr>
      </w:pPr>
    </w:p>
    <w:p w:rsidR="7D81FAFB" w:rsidP="7D81FAFB" w:rsidRDefault="7D81FAFB" w14:paraId="27AD144F" w14:textId="774E7F1F">
      <w:pPr>
        <w:pStyle w:val="Normal"/>
        <w:jc w:val="left"/>
        <w:rPr>
          <w:b w:val="0"/>
          <w:bCs w:val="0"/>
          <w:sz w:val="40"/>
          <w:szCs w:val="40"/>
          <w:u w:val="none"/>
        </w:rPr>
      </w:pPr>
    </w:p>
    <w:p w:rsidR="7D81FAFB" w:rsidP="7D81FAFB" w:rsidRDefault="7D81FAFB" w14:paraId="09CD30CE" w14:textId="564808EA">
      <w:pPr>
        <w:pStyle w:val="Normal"/>
        <w:jc w:val="left"/>
        <w:rPr>
          <w:b w:val="0"/>
          <w:bCs w:val="0"/>
          <w:sz w:val="40"/>
          <w:szCs w:val="40"/>
          <w:u w:val="none"/>
        </w:rPr>
      </w:pPr>
    </w:p>
    <w:p w:rsidR="7D81FAFB" w:rsidP="7D81FAFB" w:rsidRDefault="7D81FAFB" w14:paraId="51D0444B" w14:textId="1DDA3CCA">
      <w:pPr>
        <w:pStyle w:val="Normal"/>
        <w:jc w:val="left"/>
        <w:rPr>
          <w:b w:val="0"/>
          <w:bCs w:val="0"/>
          <w:sz w:val="40"/>
          <w:szCs w:val="40"/>
          <w:u w:val="none"/>
        </w:rPr>
      </w:pPr>
      <w:r w:rsidRPr="7D81FAFB" w:rsidR="7D81FAFB">
        <w:rPr>
          <w:b w:val="1"/>
          <w:bCs w:val="1"/>
          <w:sz w:val="40"/>
          <w:szCs w:val="40"/>
          <w:u w:val="single"/>
        </w:rPr>
        <w:t>Introduction</w:t>
      </w:r>
    </w:p>
    <w:p w:rsidR="7D81FAFB" w:rsidP="7D81FAFB" w:rsidRDefault="7D81FAFB" w14:paraId="3B496FEE" w14:textId="48890AFE">
      <w:pPr>
        <w:pStyle w:val="Normal"/>
        <w:jc w:val="both"/>
        <w:rPr>
          <w:b w:val="0"/>
          <w:bCs w:val="0"/>
          <w:sz w:val="32"/>
          <w:szCs w:val="32"/>
          <w:u w:val="none"/>
        </w:rPr>
      </w:pPr>
      <w:r w:rsidRPr="7D81FAFB" w:rsidR="7D81FAFB">
        <w:rPr>
          <w:b w:val="0"/>
          <w:bCs w:val="0"/>
          <w:sz w:val="32"/>
          <w:szCs w:val="32"/>
          <w:u w:val="none"/>
        </w:rPr>
        <w:t>This handbook will focus on how keyworkers in early years setting can understand and support young children's learning and development during transitions. It will emphasise the importance of effective communication between the keyworker and the child in order for the child to feel comfortable and valued when going through these transitions.</w:t>
      </w:r>
    </w:p>
    <w:p w:rsidR="7D81FAFB" w:rsidP="7D81FAFB" w:rsidRDefault="7D81FAFB" w14:paraId="1BC3BAAD" w14:textId="019780F6">
      <w:pPr>
        <w:pStyle w:val="Normal"/>
        <w:jc w:val="both"/>
        <w:rPr>
          <w:b w:val="0"/>
          <w:bCs w:val="0"/>
          <w:sz w:val="32"/>
          <w:szCs w:val="32"/>
          <w:u w:val="none"/>
        </w:rPr>
      </w:pPr>
      <w:r w:rsidRPr="7D81FAFB" w:rsidR="7D81FAFB">
        <w:rPr>
          <w:b w:val="0"/>
          <w:bCs w:val="0"/>
          <w:sz w:val="32"/>
          <w:szCs w:val="32"/>
          <w:u w:val="none"/>
        </w:rPr>
        <w:t xml:space="preserve">A transition can be defined by Oxford dictionary (2018) as the process of changing from one state to another. </w:t>
      </w:r>
      <w:r w:rsidRPr="7D81FAFB" w:rsidR="7D81FAFB">
        <w:rPr>
          <w:rFonts w:ascii="Calibri" w:hAnsi="Calibri" w:eastAsia="Calibri" w:cs="Calibri"/>
          <w:noProof w:val="0"/>
          <w:sz w:val="32"/>
          <w:szCs w:val="32"/>
          <w:lang w:val="en-GB"/>
        </w:rPr>
        <w:t>Many transitions are experienced throughout childhood, particularly from birth to five years old, and through to adulthood. A transition a child faces could be as simple as transitioning from nursery to reception, yet it is important that they are carried out effectively as transitions are significant to an early year's child’s emotional wellbeing and development. All children will react differently when faced with these transitions, some with confidence or apprehension, and too many adjustments can mean it is likely to have some long-lasting effects if the importance of continuity and coherence is not well understood. It is important how the first transitions are carried out/handled, this is because they could have a large impact on the child’s capacity to handle change in both short and long term. These first transitions are shaped by social structures and involve parents/carers as well as early years practitioners. In order for the transition children face from home to pre-school to be successful, the preparation for this should begin early. (Daly, Byers, Taylor, 2009). Therefore, it is important that all these significant people in a child’s life can understand that transitions can be stressful for children and that their ability to help the children to cope with this momentous experience in their childhood will help their future resilience to change.</w:t>
      </w:r>
    </w:p>
    <w:p w:rsidR="7D81FAFB" w:rsidP="7D81FAFB" w:rsidRDefault="7D81FAFB" w14:paraId="66C32D5E" w14:textId="2025C21D">
      <w:pPr>
        <w:jc w:val="both"/>
        <w:rPr>
          <w:rFonts w:ascii="Calibri" w:hAnsi="Calibri" w:eastAsia="Calibri" w:cs="Calibri" w:asciiTheme="minorAscii" w:hAnsiTheme="minorAscii" w:eastAsiaTheme="minorAscii" w:cstheme="minorAscii"/>
          <w:noProof w:val="0"/>
          <w:sz w:val="32"/>
          <w:szCs w:val="32"/>
          <w:lang w:val="en-GB"/>
        </w:rPr>
      </w:pPr>
      <w:r w:rsidRPr="7D81FAFB" w:rsidR="7D81FAFB">
        <w:rPr>
          <w:rFonts w:ascii="Calibri" w:hAnsi="Calibri" w:eastAsia="Calibri" w:cs="Calibri" w:asciiTheme="minorAscii" w:hAnsiTheme="minorAscii" w:eastAsiaTheme="minorAscii" w:cstheme="minorAscii"/>
          <w:noProof w:val="0"/>
          <w:sz w:val="32"/>
          <w:szCs w:val="32"/>
          <w:lang w:val="en-GB"/>
        </w:rPr>
        <w:t>In order for a smooth transition and a positive outcome for the child, effective communication and socialisation between both practitioner/parents and child throughout the transition process is key to success, as there could be both positive or negative effects on the child's development during this process. This can involve physical, emotional, personal or psychological development. Therefore, it is crucial that the transitions are done as smoothly as possible for the child to feel settled into their new environment as they leave their ‘comfort zone.’</w:t>
      </w:r>
    </w:p>
    <w:p w:rsidR="7D81FAFB" w:rsidP="7D81FAFB" w:rsidRDefault="7D81FAFB" w14:paraId="5C6D1115" w14:textId="191316B2">
      <w:pPr>
        <w:jc w:val="both"/>
        <w:rPr>
          <w:rFonts w:ascii="Calibri" w:hAnsi="Calibri" w:eastAsia="Calibri" w:cs="Calibri" w:asciiTheme="minorAscii" w:hAnsiTheme="minorAscii" w:eastAsiaTheme="minorAscii" w:cstheme="minorAscii"/>
          <w:noProof w:val="0"/>
          <w:sz w:val="32"/>
          <w:szCs w:val="32"/>
          <w:lang w:val="en-GB"/>
        </w:rPr>
      </w:pPr>
      <w:r w:rsidRPr="7D81FAFB" w:rsidR="7D81FAFB">
        <w:rPr>
          <w:rFonts w:ascii="Calibri" w:hAnsi="Calibri" w:eastAsia="Calibri" w:cs="Calibri" w:asciiTheme="minorAscii" w:hAnsiTheme="minorAscii" w:eastAsiaTheme="minorAscii" w:cstheme="minorAscii"/>
          <w:noProof w:val="0"/>
          <w:sz w:val="32"/>
          <w:szCs w:val="32"/>
          <w:lang w:val="en-GB"/>
        </w:rPr>
        <w:t xml:space="preserve">Bronfenbrenner (1979) identified that those children who experienced a smooth, positive transition from home into a pre-school setting, are more likely to make successful transitions in the future. He also emphasised that the outcome of the child and their ability to become a successful learner depended on the environment that the child would develop and transition into.  The child will have a better chance to grow, learn and develop when these relationships and environments are more nurturing as well as encouraging. Bronfenbrenner states that listening and responding to young children as they prepare and experience a transition, can help them to make meaning change. </w:t>
      </w:r>
    </w:p>
    <w:p w:rsidR="7D81FAFB" w:rsidP="7D81FAFB" w:rsidRDefault="7D81FAFB" w14:paraId="671A2CFF" w14:textId="07B9AB32">
      <w:pPr>
        <w:jc w:val="both"/>
      </w:pPr>
      <w:r>
        <w:br/>
      </w:r>
      <w:r w:rsidRPr="7D81FAFB" w:rsidR="7D81FAFB">
        <w:rPr>
          <w:rFonts w:ascii="Calibri" w:hAnsi="Calibri" w:eastAsia="Calibri" w:cs="Calibri" w:asciiTheme="minorAscii" w:hAnsiTheme="minorAscii" w:eastAsiaTheme="minorAscii" w:cstheme="minorAscii"/>
          <w:noProof w:val="0"/>
          <w:sz w:val="32"/>
          <w:szCs w:val="32"/>
          <w:lang w:val="en-GB"/>
        </w:rPr>
        <w:t xml:space="preserve">Bronfenbrenner’s Bioecological Model of the Human Development represents a way of understanding children’s development and experiences. It focuses on how a person's development is affected by everything in their surrounding environment and illustrates the complexity and range of transitions that a child may encounter on a daily basis. </w:t>
      </w:r>
    </w:p>
    <w:p w:rsidR="7D81FAFB" w:rsidP="7D81FAFB" w:rsidRDefault="7D81FAFB" w14:paraId="70295942" w14:textId="2FA5F37B">
      <w:pPr>
        <w:pStyle w:val="Normal"/>
        <w:jc w:val="both"/>
        <w:rPr>
          <w:rFonts w:ascii="Calibri" w:hAnsi="Calibri" w:eastAsia="Calibri" w:cs="Calibri" w:asciiTheme="minorAscii" w:hAnsiTheme="minorAscii" w:eastAsiaTheme="minorAscii" w:cstheme="minorAscii"/>
          <w:noProof w:val="0"/>
          <w:sz w:val="32"/>
          <w:szCs w:val="32"/>
          <w:lang w:val="en-GB"/>
        </w:rPr>
      </w:pPr>
    </w:p>
    <w:p w:rsidR="7D81FAFB" w:rsidP="7D81FAFB" w:rsidRDefault="7D81FAFB" w14:paraId="5DE9403E" w14:textId="7E34D1D3">
      <w:pPr>
        <w:pStyle w:val="Normal"/>
        <w:jc w:val="center"/>
      </w:pPr>
      <w:r>
        <w:drawing>
          <wp:inline wp14:editId="34CB7C4D" wp14:anchorId="263CEA36">
            <wp:extent cx="4533900" cy="4572000"/>
            <wp:effectExtent l="0" t="0" r="0" b="0"/>
            <wp:docPr id="1749598154" name="" title=""/>
            <wp:cNvGraphicFramePr>
              <a:graphicFrameLocks noChangeAspect="1"/>
            </wp:cNvGraphicFramePr>
            <a:graphic>
              <a:graphicData uri="http://schemas.openxmlformats.org/drawingml/2006/picture">
                <pic:pic>
                  <pic:nvPicPr>
                    <pic:cNvPr id="0" name=""/>
                    <pic:cNvPicPr/>
                  </pic:nvPicPr>
                  <pic:blipFill>
                    <a:blip r:embed="R68df94b43ed64755">
                      <a:extLst>
                        <a:ext xmlns:a="http://schemas.openxmlformats.org/drawingml/2006/main" uri="{28A0092B-C50C-407E-A947-70E740481C1C}">
                          <a14:useLocalDpi val="0"/>
                        </a:ext>
                      </a:extLst>
                    </a:blip>
                    <a:stretch>
                      <a:fillRect/>
                    </a:stretch>
                  </pic:blipFill>
                  <pic:spPr>
                    <a:xfrm>
                      <a:off x="0" y="0"/>
                      <a:ext cx="4533900" cy="4572000"/>
                    </a:xfrm>
                    <a:prstGeom prst="rect">
                      <a:avLst/>
                    </a:prstGeom>
                  </pic:spPr>
                </pic:pic>
              </a:graphicData>
            </a:graphic>
          </wp:inline>
        </w:drawing>
      </w:r>
    </w:p>
    <w:p w:rsidR="7D81FAFB" w:rsidP="7D81FAFB" w:rsidRDefault="7D81FAFB" w14:paraId="60ABFF5D" w14:textId="3F3E8B90">
      <w:pPr>
        <w:pStyle w:val="Normal"/>
        <w:jc w:val="both"/>
      </w:pPr>
    </w:p>
    <w:p w:rsidR="7D81FAFB" w:rsidP="7D81FAFB" w:rsidRDefault="7D81FAFB" w14:paraId="2D10F9EF" w14:textId="355C7809">
      <w:pPr>
        <w:pStyle w:val="Normal"/>
        <w:jc w:val="center"/>
      </w:pPr>
      <w:r w:rsidRPr="7D81FAFB" w:rsidR="7D81FAFB">
        <w:rPr>
          <w:sz w:val="32"/>
          <w:szCs w:val="32"/>
        </w:rPr>
        <w:t>(Source: Bronfenbrenner model, Pinterest. 2016)</w:t>
      </w:r>
    </w:p>
    <w:p w:rsidR="7D81FAFB" w:rsidP="7D81FAFB" w:rsidRDefault="7D81FAFB" w14:paraId="4AFD59ED" w14:textId="1FB1D586">
      <w:pPr>
        <w:pStyle w:val="Normal"/>
        <w:jc w:val="both"/>
        <w:rPr>
          <w:rFonts w:ascii="Calibri" w:hAnsi="Calibri" w:eastAsia="Calibri" w:cs="Calibri" w:asciiTheme="minorAscii" w:hAnsiTheme="minorAscii" w:eastAsiaTheme="minorAscii" w:cstheme="minorAscii"/>
          <w:noProof w:val="0"/>
          <w:sz w:val="32"/>
          <w:szCs w:val="32"/>
          <w:lang w:val="en-GB"/>
        </w:rPr>
      </w:pPr>
    </w:p>
    <w:p w:rsidR="7D81FAFB" w:rsidP="7D81FAFB" w:rsidRDefault="7D81FAFB" w14:paraId="29B2C262" w14:textId="1664279A">
      <w:pPr>
        <w:pStyle w:val="Normal"/>
        <w:jc w:val="left"/>
        <w:rPr>
          <w:rFonts w:ascii="Calibri" w:hAnsi="Calibri" w:eastAsia="Calibri" w:cs="Calibri" w:asciiTheme="minorAscii" w:hAnsiTheme="minorAscii" w:eastAsiaTheme="minorAscii" w:cstheme="minorAscii"/>
          <w:noProof w:val="0"/>
          <w:sz w:val="32"/>
          <w:szCs w:val="32"/>
          <w:lang w:val="en-GB"/>
        </w:rPr>
      </w:pPr>
      <w:r w:rsidRPr="7D81FAFB" w:rsidR="7D81FAFB">
        <w:rPr>
          <w:b w:val="1"/>
          <w:bCs w:val="1"/>
          <w:sz w:val="40"/>
          <w:szCs w:val="40"/>
          <w:u w:val="single"/>
        </w:rPr>
        <w:t>How to use this guidance handbook</w:t>
      </w:r>
    </w:p>
    <w:p w:rsidR="7D81FAFB" w:rsidP="7D81FAFB" w:rsidRDefault="7D81FAFB" w14:paraId="49CF1FC8" w14:textId="0E2CA3A3">
      <w:pPr>
        <w:pStyle w:val="Normal"/>
        <w:jc w:val="both"/>
        <w:rPr>
          <w:b w:val="0"/>
          <w:bCs w:val="0"/>
          <w:sz w:val="32"/>
          <w:szCs w:val="32"/>
          <w:u w:val="none"/>
        </w:rPr>
      </w:pPr>
      <w:r w:rsidRPr="7D81FAFB" w:rsidR="7D81FAFB">
        <w:rPr>
          <w:rFonts w:ascii="Calibri" w:hAnsi="Calibri" w:eastAsia="Calibri" w:cs="Calibri" w:asciiTheme="minorAscii" w:hAnsiTheme="minorAscii" w:eastAsiaTheme="minorAscii" w:cstheme="minorAscii"/>
          <w:b w:val="0"/>
          <w:bCs w:val="0"/>
          <w:noProof w:val="0"/>
          <w:color w:val="202124"/>
          <w:sz w:val="32"/>
          <w:szCs w:val="32"/>
          <w:lang w:val="en-GB"/>
        </w:rPr>
        <w:t xml:space="preserve">Children thrive when they feel a sense of a secure, loving relationship by the key people in a child’s life. This tends to be the parent and the early years practitioner, who allow the children to feel safe and cared for. </w:t>
      </w:r>
      <w:r w:rsidRPr="7D81FAFB" w:rsidR="7D81FAFB">
        <w:rPr>
          <w:rFonts w:ascii="Calibri" w:hAnsi="Calibri" w:eastAsia="Calibri" w:cs="Calibri"/>
          <w:noProof w:val="0"/>
          <w:sz w:val="32"/>
          <w:szCs w:val="32"/>
          <w:lang w:val="en-GB"/>
        </w:rPr>
        <w:t>This guidance handbook is precisely designed for these keyworkers who are working with children age 2- 4 years where they would be in pre-school settings. This handbook should be used by the keyworker as a guide to enhance their knowledge of the importance of effective communication for children’s development during these transitions.</w:t>
      </w:r>
    </w:p>
    <w:p w:rsidR="7D81FAFB" w:rsidP="7D81FAFB" w:rsidRDefault="7D81FAFB" w14:paraId="04C0E229" w14:textId="59BF2DC1">
      <w:pPr>
        <w:pStyle w:val="Normal"/>
        <w:jc w:val="both"/>
        <w:rPr>
          <w:rFonts w:ascii="Calibri" w:hAnsi="Calibri" w:eastAsia="Calibri" w:cs="Calibri" w:asciiTheme="minorAscii" w:hAnsiTheme="minorAscii" w:eastAsiaTheme="minorAscii" w:cstheme="minorAscii"/>
          <w:noProof w:val="0"/>
          <w:sz w:val="32"/>
          <w:szCs w:val="32"/>
          <w:lang w:val="en-GB"/>
        </w:rPr>
      </w:pPr>
      <w:r w:rsidRPr="7D81FAFB" w:rsidR="7D81FAFB">
        <w:rPr>
          <w:rFonts w:ascii="Calibri" w:hAnsi="Calibri" w:eastAsia="Calibri" w:cs="Calibri"/>
          <w:noProof w:val="0"/>
          <w:sz w:val="32"/>
          <w:szCs w:val="32"/>
          <w:lang w:val="en-GB"/>
        </w:rPr>
        <w:t>The aim for this guidance handbook is t</w:t>
      </w:r>
      <w:r w:rsidRPr="7D81FAFB" w:rsidR="7D81FAFB">
        <w:rPr>
          <w:rFonts w:ascii="Calibri" w:hAnsi="Calibri" w:eastAsia="Calibri" w:cs="Calibri" w:asciiTheme="minorAscii" w:hAnsiTheme="minorAscii" w:eastAsiaTheme="minorAscii" w:cstheme="minorAscii"/>
          <w:noProof w:val="0"/>
          <w:color w:val="1A1A1A"/>
          <w:sz w:val="32"/>
          <w:szCs w:val="32"/>
          <w:lang w:val="en-GB"/>
        </w:rPr>
        <w:t xml:space="preserve">o facilitate smooth transitions for young children from nursey to reception as well as from reception to year 1, being the foundation phase at primary school. Throughout this handbook it will cover </w:t>
      </w:r>
      <w:r w:rsidRPr="7D81FAFB" w:rsidR="7D81FAFB">
        <w:rPr>
          <w:rFonts w:ascii="Calibri" w:hAnsi="Calibri" w:eastAsia="Calibri" w:cs="Calibri" w:asciiTheme="minorAscii" w:hAnsiTheme="minorAscii" w:eastAsiaTheme="minorAscii" w:cstheme="minorAscii"/>
          <w:noProof w:val="0"/>
          <w:sz w:val="32"/>
          <w:szCs w:val="32"/>
          <w:lang w:val="en-GB"/>
        </w:rPr>
        <w:t xml:space="preserve">your role as the adult as well as the needs of the child. Sigmund Freud states “children develop confidence in themselves and their abilities because of their interactions with the world”. This supports that practitioners must ensure the transition is a gradual process focusing on the child's well-being, this can be done by using a holistic approach. This is an approach to learning that focuses on the importance of emotional, psychological and physical well-being of young children throughout early childhood. Therefore, this handbook will ensure that keyworkers understand that getting transitions right is crucial for all children and should not be seen as an event but as a process that includes children, practitioners and children together. </w:t>
      </w:r>
    </w:p>
    <w:p w:rsidR="7D81FAFB" w:rsidP="7D81FAFB" w:rsidRDefault="7D81FAFB" w14:paraId="04C05CE2" w14:textId="14CB465E">
      <w:pPr>
        <w:pStyle w:val="Normal"/>
        <w:jc w:val="both"/>
        <w:rPr>
          <w:rFonts w:ascii="Calibri" w:hAnsi="Calibri" w:eastAsia="Calibri" w:cs="Calibri" w:asciiTheme="minorAscii" w:hAnsiTheme="minorAscii" w:eastAsiaTheme="minorAscii" w:cstheme="minorAscii"/>
          <w:noProof w:val="0"/>
          <w:sz w:val="32"/>
          <w:szCs w:val="32"/>
          <w:lang w:val="en-GB"/>
        </w:rPr>
      </w:pPr>
      <w:r w:rsidRPr="7D81FAFB" w:rsidR="7D81FAFB">
        <w:rPr>
          <w:rFonts w:ascii="Calibri" w:hAnsi="Calibri" w:eastAsia="Calibri" w:cs="Calibri" w:asciiTheme="minorAscii" w:hAnsiTheme="minorAscii" w:eastAsiaTheme="minorAscii" w:cstheme="minorAscii"/>
          <w:noProof w:val="0"/>
          <w:sz w:val="32"/>
          <w:szCs w:val="32"/>
          <w:lang w:val="en-GB"/>
        </w:rPr>
        <w:t>By using this guidance, keyworkers should be able to understand how to support a smooth transition by planning and preparing for improved transitions for children between different provisions. The keyworker should be able to form a good relationship with the child’s parent/carer and respect the parents as partners throughout the transition, as well as understand that it can be a time of worry for them as well their child. Successful transitions are dependent on the commitment from all keyworkers involved and positive relationships between the parent and practitioner are significantly important for the child as they construct a platform for secure development and effective communication systems. (Patel,2000)</w:t>
      </w:r>
    </w:p>
    <w:p w:rsidR="7D81FAFB" w:rsidP="7D81FAFB" w:rsidRDefault="7D81FAFB" w14:paraId="396B2CD3" w14:textId="5D26FA51">
      <w:pPr>
        <w:pStyle w:val="Normal"/>
        <w:jc w:val="both"/>
        <w:rPr>
          <w:rFonts w:ascii="Calibri" w:hAnsi="Calibri" w:eastAsia="Calibri" w:cs="Calibri" w:asciiTheme="minorAscii" w:hAnsiTheme="minorAscii" w:eastAsiaTheme="minorAscii" w:cstheme="minorAscii"/>
          <w:noProof w:val="0"/>
          <w:color w:val="1A1A1A"/>
          <w:sz w:val="32"/>
          <w:szCs w:val="32"/>
          <w:lang w:val="en-GB"/>
        </w:rPr>
      </w:pPr>
    </w:p>
    <w:p w:rsidR="7D81FAFB" w:rsidP="7D81FAFB" w:rsidRDefault="7D81FAFB" w14:paraId="20F71D2D" w14:textId="115F7C78">
      <w:pPr>
        <w:pStyle w:val="Normal"/>
        <w:ind w:left="0"/>
        <w:jc w:val="both"/>
        <w:rPr>
          <w:b w:val="0"/>
          <w:bCs w:val="0"/>
          <w:sz w:val="32"/>
          <w:szCs w:val="32"/>
          <w:u w:val="none"/>
        </w:rPr>
      </w:pPr>
      <w:r w:rsidRPr="7D81FAFB" w:rsidR="7D81FAFB">
        <w:rPr>
          <w:b w:val="1"/>
          <w:bCs w:val="1"/>
          <w:sz w:val="40"/>
          <w:szCs w:val="40"/>
          <w:u w:val="single"/>
        </w:rPr>
        <w:t>The role of the adult</w:t>
      </w:r>
    </w:p>
    <w:p w:rsidR="7D81FAFB" w:rsidP="7D81FAFB" w:rsidRDefault="7D81FAFB" w14:paraId="5A3D3D37" w14:textId="3EA0B780">
      <w:pPr>
        <w:pStyle w:val="Normal"/>
        <w:jc w:val="both"/>
        <w:rPr>
          <w:b w:val="0"/>
          <w:bCs w:val="0"/>
          <w:sz w:val="32"/>
          <w:szCs w:val="32"/>
          <w:u w:val="none"/>
        </w:rPr>
      </w:pPr>
      <w:r w:rsidRPr="7D81FAFB" w:rsidR="7D81FAFB">
        <w:rPr>
          <w:b w:val="0"/>
          <w:bCs w:val="0"/>
          <w:sz w:val="32"/>
          <w:szCs w:val="32"/>
          <w:u w:val="none"/>
        </w:rPr>
        <w:t xml:space="preserve">Early years practitioners are a significant person in young children's lives during their transition stage, so it is up to them as well as the parents/carers to work together to ensure the child is fully supported. The practitioner and parent can make sure the child’s needs are met appropriately by planning ahead. </w:t>
      </w:r>
      <w:r w:rsidRPr="7D81FAFB" w:rsidR="7D81FAFB">
        <w:rPr>
          <w:rFonts w:ascii="Calibri" w:hAnsi="Calibri" w:eastAsia="Calibri" w:cs="Calibri" w:asciiTheme="minorAscii" w:hAnsiTheme="minorAscii" w:eastAsiaTheme="minorAscii" w:cstheme="minorAscii"/>
          <w:noProof w:val="0"/>
          <w:sz w:val="32"/>
          <w:szCs w:val="32"/>
          <w:lang w:val="en-GB"/>
        </w:rPr>
        <w:t xml:space="preserve">The needs of each child need to be identified and tailored to each individual in order to encourage independence for the child to settle into their </w:t>
      </w:r>
      <w:r w:rsidRPr="7D81FAFB" w:rsidR="7D81FAFB">
        <w:rPr>
          <w:rFonts w:ascii="Calibri" w:hAnsi="Calibri" w:eastAsia="Calibri" w:cs="Calibri" w:asciiTheme="minorAscii" w:hAnsiTheme="minorAscii" w:eastAsiaTheme="minorAscii" w:cstheme="minorAscii"/>
          <w:noProof w:val="0"/>
          <w:sz w:val="32"/>
          <w:szCs w:val="32"/>
          <w:lang w:val="en-GB"/>
        </w:rPr>
        <w:t>surroundings</w:t>
      </w:r>
      <w:r w:rsidRPr="7D81FAFB" w:rsidR="7D81FAFB">
        <w:rPr>
          <w:rFonts w:ascii="Calibri" w:hAnsi="Calibri" w:eastAsia="Calibri" w:cs="Calibri" w:asciiTheme="minorAscii" w:hAnsiTheme="minorAscii" w:eastAsiaTheme="minorAscii" w:cstheme="minorAscii"/>
          <w:noProof w:val="0"/>
          <w:sz w:val="32"/>
          <w:szCs w:val="32"/>
          <w:lang w:val="en-GB"/>
        </w:rPr>
        <w:t>. This can be done by effective communication between the practitioner and the parents;</w:t>
      </w:r>
    </w:p>
    <w:p w:rsidR="7D81FAFB" w:rsidP="7D81FAFB" w:rsidRDefault="7D81FAFB" w14:paraId="3CAAF1C0" w14:textId="035F4F88">
      <w:pPr>
        <w:pStyle w:val="ListParagraph"/>
        <w:numPr>
          <w:ilvl w:val="0"/>
          <w:numId w:val="2"/>
        </w:numPr>
        <w:jc w:val="both"/>
        <w:rPr>
          <w:rFonts w:ascii="Calibri" w:hAnsi="Calibri" w:eastAsia="Calibri" w:cs="Calibri" w:asciiTheme="minorAscii" w:hAnsiTheme="minorAscii" w:eastAsiaTheme="minorAscii" w:cstheme="minorAscii"/>
          <w:color w:val="000000" w:themeColor="text1" w:themeTint="FF" w:themeShade="FF"/>
          <w:sz w:val="32"/>
          <w:szCs w:val="32"/>
        </w:rPr>
      </w:pPr>
      <w:r w:rsidRPr="7D81FAFB" w:rsidR="7D81FAFB">
        <w:rPr>
          <w:rFonts w:ascii="Calibri" w:hAnsi="Calibri" w:eastAsia="Calibri" w:cs="Calibri" w:asciiTheme="minorAscii" w:hAnsiTheme="minorAscii" w:eastAsiaTheme="minorAscii" w:cstheme="minorAscii"/>
          <w:noProof w:val="0"/>
          <w:color w:val="auto"/>
          <w:sz w:val="32"/>
          <w:szCs w:val="32"/>
          <w:lang w:val="en-GB"/>
        </w:rPr>
        <w:t xml:space="preserve">Ask parents for information about their own child, preferably including their sleeping, feeding and changing routines. This allows the practitioner to plan for any individual needs. </w:t>
      </w:r>
    </w:p>
    <w:p w:rsidR="7D81FAFB" w:rsidP="7D81FAFB" w:rsidRDefault="7D81FAFB" w14:paraId="4D99B372" w14:textId="790959A4">
      <w:pPr>
        <w:pStyle w:val="ListParagraph"/>
        <w:numPr>
          <w:ilvl w:val="0"/>
          <w:numId w:val="2"/>
        </w:numPr>
        <w:jc w:val="both"/>
        <w:rPr>
          <w:rFonts w:ascii="Calibri" w:hAnsi="Calibri" w:eastAsia="Calibri" w:cs="Calibri" w:asciiTheme="minorAscii" w:hAnsiTheme="minorAscii" w:eastAsiaTheme="minorAscii" w:cstheme="minorAscii"/>
          <w:color w:val="000000" w:themeColor="text1" w:themeTint="FF" w:themeShade="FF"/>
          <w:sz w:val="32"/>
          <w:szCs w:val="32"/>
        </w:rPr>
      </w:pPr>
      <w:r w:rsidRPr="7D81FAFB" w:rsidR="7D81FAFB">
        <w:rPr>
          <w:rFonts w:ascii="Calibri" w:hAnsi="Calibri" w:eastAsia="Calibri" w:cs="Calibri" w:asciiTheme="minorAscii" w:hAnsiTheme="minorAscii" w:eastAsiaTheme="minorAscii" w:cstheme="minorAscii"/>
          <w:noProof w:val="0"/>
          <w:color w:val="auto"/>
          <w:sz w:val="32"/>
          <w:szCs w:val="32"/>
          <w:lang w:val="en-GB"/>
        </w:rPr>
        <w:t>Invite parents to stay with the child as they adjust to the new environment.</w:t>
      </w:r>
    </w:p>
    <w:p w:rsidR="7D81FAFB" w:rsidP="7D81FAFB" w:rsidRDefault="7D81FAFB" w14:paraId="5DA9C23B" w14:textId="4EC2D298">
      <w:pPr>
        <w:pStyle w:val="ListParagraph"/>
        <w:numPr>
          <w:ilvl w:val="0"/>
          <w:numId w:val="2"/>
        </w:numPr>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r w:rsidRPr="7D81FAFB" w:rsidR="7D81FAFB">
        <w:rPr>
          <w:rFonts w:ascii="Calibri" w:hAnsi="Calibri" w:eastAsia="Calibri" w:cs="Calibri" w:asciiTheme="minorAscii" w:hAnsiTheme="minorAscii" w:eastAsiaTheme="minorAscii" w:cstheme="minorAscii"/>
          <w:noProof w:val="0"/>
          <w:color w:val="auto"/>
          <w:sz w:val="32"/>
          <w:szCs w:val="32"/>
          <w:lang w:val="en-GB"/>
        </w:rPr>
        <w:t>On a daily basis, review with parents how the child is settling in.  A settling-in diary can also be used to track progress.</w:t>
      </w:r>
    </w:p>
    <w:p w:rsidR="7D81FAFB" w:rsidP="7D81FAFB" w:rsidRDefault="7D81FAFB" w14:paraId="19C5C664" w14:textId="7771B592">
      <w:pPr>
        <w:pStyle w:val="Normal"/>
        <w:jc w:val="both"/>
        <w:rPr>
          <w:rFonts w:ascii="Calibri" w:hAnsi="Calibri" w:eastAsia="Calibri" w:cs="Calibri" w:asciiTheme="minorAscii" w:hAnsiTheme="minorAscii" w:eastAsiaTheme="minorAscii" w:cstheme="minorAscii"/>
          <w:noProof w:val="0"/>
          <w:color w:val="auto"/>
          <w:sz w:val="32"/>
          <w:szCs w:val="32"/>
          <w:lang w:val="en-GB"/>
        </w:rPr>
      </w:pPr>
      <w:r w:rsidRPr="7D81FAFB" w:rsidR="7D81FAFB">
        <w:rPr>
          <w:rFonts w:ascii="Calibri" w:hAnsi="Calibri" w:eastAsia="Calibri" w:cs="Calibri" w:asciiTheme="minorAscii" w:hAnsiTheme="minorAscii" w:eastAsiaTheme="minorAscii" w:cstheme="minorAscii"/>
          <w:noProof w:val="0"/>
          <w:sz w:val="32"/>
          <w:szCs w:val="32"/>
          <w:lang w:val="en-GB"/>
        </w:rPr>
        <w:t>The practitioner will support the child when they move onto the next step, such as transitioning from reception to year 1. For this to be a smooth transition the practitioner needs to be flexible with their approach and it must be specific to the needs of each individual child. However, they also need to be cautious of the individual's family needs as the family should also be supported throughout this transition as it is a stressful time for them too. This can be a successful transition for all by using the key worker approach. This is where a reciprocal relationship is formed between the practitioner, the child and the family. It allows the child to feel confident to form further relationships as they have felt a sense of security. (Oxford Brookes University, 2020). Bowlby believes that young children become attached to their mother figure and that children need a strong base allowing them to socially develop. His work focused on the fact it is important for the practitioner and child to form a strong bond so the child feels a sense of comfort when parted with their parent, as children tend to feel a sense of loss during this transition</w:t>
      </w:r>
      <w:r w:rsidRPr="7D81FAFB" w:rsidR="7D81FAFB">
        <w:rPr>
          <w:rFonts w:ascii="Calibri" w:hAnsi="Calibri" w:eastAsia="Calibri" w:cs="Calibri" w:asciiTheme="minorAscii" w:hAnsiTheme="minorAscii" w:eastAsiaTheme="minorAscii" w:cstheme="minorAscii"/>
          <w:i w:val="1"/>
          <w:iCs w:val="1"/>
          <w:noProof w:val="0"/>
          <w:color w:val="auto"/>
          <w:sz w:val="32"/>
          <w:szCs w:val="32"/>
          <w:lang w:val="en-GB"/>
        </w:rPr>
        <w:t xml:space="preserve"> </w:t>
      </w:r>
      <w:r w:rsidRPr="7D81FAFB" w:rsidR="7D81FAFB">
        <w:rPr>
          <w:rFonts w:ascii="Calibri" w:hAnsi="Calibri" w:eastAsia="Calibri" w:cs="Calibri" w:asciiTheme="minorAscii" w:hAnsiTheme="minorAscii" w:eastAsiaTheme="minorAscii" w:cstheme="minorAscii"/>
          <w:noProof w:val="0"/>
          <w:color w:val="auto"/>
          <w:sz w:val="32"/>
          <w:szCs w:val="32"/>
          <w:lang w:val="en-GB"/>
        </w:rPr>
        <w:t xml:space="preserve">(Daly, Byers, Taylor, 2004) </w:t>
      </w:r>
    </w:p>
    <w:p w:rsidR="7D81FAFB" w:rsidP="7D81FAFB" w:rsidRDefault="7D81FAFB" w14:paraId="3B22B8A8" w14:textId="3A429EEA">
      <w:pPr>
        <w:pStyle w:val="Normal"/>
        <w:jc w:val="both"/>
        <w:rPr>
          <w:rFonts w:ascii="Calibri" w:hAnsi="Calibri" w:eastAsia="Calibri" w:cs="Calibri"/>
          <w:noProof w:val="0"/>
          <w:sz w:val="32"/>
          <w:szCs w:val="32"/>
          <w:lang w:val="en-GB"/>
        </w:rPr>
      </w:pPr>
      <w:r w:rsidRPr="7D81FAFB" w:rsidR="7D81FAFB">
        <w:rPr>
          <w:rFonts w:ascii="Calibri" w:hAnsi="Calibri" w:eastAsia="Calibri" w:cs="Calibri"/>
          <w:noProof w:val="0"/>
          <w:sz w:val="32"/>
          <w:szCs w:val="32"/>
          <w:lang w:val="en-GB"/>
        </w:rPr>
        <w:t>This process should firstly begin with a home visit from the practitioner where information about the child can be gathered in a home environment. This allows the family to ask any questions as well as being the initial building block of their relationship. Bronfenbrenner supports this as he believed that during the child’s early years, it is important that parents and practitioners have a comfortable partnership between home to pre-school or nursery to primary school, as this creates a less stressful transition for both the parent and the child. (Bronfenbrenner, 2015). It also gives the practitioner the opportunity to gather background information such as any additional needs, disabilities or development concerns that would need to be taken into account. In addition to this, the child visiting the nursery/pre-school setting, will massively help the child to settle in as it allows them to become more familiar with their new surroundings and new people (staff). Once the child has settled in, it is up to the keyworkers to sustain their commitment to the child's transition by:</w:t>
      </w:r>
    </w:p>
    <w:p w:rsidR="7D81FAFB" w:rsidP="7D81FAFB" w:rsidRDefault="7D81FAFB" w14:paraId="7332C720" w14:textId="589939B2">
      <w:pPr>
        <w:pStyle w:val="Normal"/>
        <w:jc w:val="left"/>
        <w:rPr>
          <w:rFonts w:ascii="Calibri" w:hAnsi="Calibri" w:eastAsia="Calibri" w:cs="Calibri" w:asciiTheme="minorAscii" w:hAnsiTheme="minorAscii" w:eastAsiaTheme="minorAscii" w:cstheme="minorAscii"/>
          <w:noProof w:val="0"/>
          <w:sz w:val="32"/>
          <w:szCs w:val="32"/>
          <w:lang w:val="en-GB"/>
        </w:rPr>
      </w:pPr>
      <w:r w:rsidRPr="7D81FAFB" w:rsidR="7D81FAFB">
        <w:rPr>
          <w:rFonts w:ascii="Calibri" w:hAnsi="Calibri" w:eastAsia="Calibri" w:cs="Calibri" w:asciiTheme="minorAscii" w:hAnsiTheme="minorAscii" w:eastAsiaTheme="minorAscii" w:cstheme="minorAscii"/>
          <w:noProof w:val="0"/>
          <w:sz w:val="32"/>
          <w:szCs w:val="32"/>
          <w:lang w:val="en-GB"/>
        </w:rPr>
        <w:t>•  Ensure processes and procedures are supportive and inclusive</w:t>
      </w:r>
    </w:p>
    <w:p w:rsidR="7D81FAFB" w:rsidP="7D81FAFB" w:rsidRDefault="7D81FAFB" w14:paraId="1B56C4D6" w14:textId="60EA1711">
      <w:pPr>
        <w:pStyle w:val="Normal"/>
        <w:jc w:val="both"/>
        <w:rPr>
          <w:rFonts w:ascii="Calibri" w:hAnsi="Calibri" w:eastAsia="Calibri" w:cs="Calibri" w:asciiTheme="minorAscii" w:hAnsiTheme="minorAscii" w:eastAsiaTheme="minorAscii" w:cstheme="minorAscii"/>
          <w:noProof w:val="0"/>
          <w:sz w:val="32"/>
          <w:szCs w:val="32"/>
          <w:lang w:val="en-GB"/>
        </w:rPr>
      </w:pPr>
      <w:r w:rsidRPr="7D81FAFB" w:rsidR="7D81FAFB">
        <w:rPr>
          <w:rFonts w:ascii="Calibri" w:hAnsi="Calibri" w:eastAsia="Calibri" w:cs="Calibri" w:asciiTheme="minorAscii" w:hAnsiTheme="minorAscii" w:eastAsiaTheme="minorAscii" w:cstheme="minorAscii"/>
          <w:noProof w:val="0"/>
          <w:sz w:val="32"/>
          <w:szCs w:val="32"/>
          <w:lang w:val="en-GB"/>
        </w:rPr>
        <w:t>• Effective communication between practitioner, parents and the child</w:t>
      </w:r>
    </w:p>
    <w:p w:rsidR="7D81FAFB" w:rsidP="7D81FAFB" w:rsidRDefault="7D81FAFB" w14:paraId="6F150230" w14:textId="16586779">
      <w:pPr>
        <w:pStyle w:val="Normal"/>
        <w:jc w:val="both"/>
        <w:rPr>
          <w:rFonts w:ascii="Calibri" w:hAnsi="Calibri" w:eastAsia="Calibri" w:cs="Calibri" w:asciiTheme="minorAscii" w:hAnsiTheme="minorAscii" w:eastAsiaTheme="minorAscii" w:cstheme="minorAscii"/>
          <w:noProof w:val="0"/>
          <w:sz w:val="32"/>
          <w:szCs w:val="32"/>
          <w:lang w:val="en-GB"/>
        </w:rPr>
      </w:pPr>
      <w:r w:rsidRPr="7D81FAFB" w:rsidR="7D81FAFB">
        <w:rPr>
          <w:rFonts w:ascii="Calibri" w:hAnsi="Calibri" w:eastAsia="Calibri" w:cs="Calibri" w:asciiTheme="minorAscii" w:hAnsiTheme="minorAscii" w:eastAsiaTheme="minorAscii" w:cstheme="minorAscii"/>
          <w:noProof w:val="0"/>
          <w:sz w:val="32"/>
          <w:szCs w:val="32"/>
          <w:lang w:val="en-GB"/>
        </w:rPr>
        <w:t>•  Making sure parents are involved and supported</w:t>
      </w:r>
    </w:p>
    <w:p w:rsidR="7D81FAFB" w:rsidP="7D81FAFB" w:rsidRDefault="7D81FAFB" w14:paraId="4E4D97A3" w14:textId="11CF8400">
      <w:pPr>
        <w:pStyle w:val="Normal"/>
        <w:ind w:left="0"/>
        <w:jc w:val="both"/>
        <w:rPr>
          <w:rFonts w:ascii="-webkit-standard" w:hAnsi="-webkit-standard" w:eastAsia="-webkit-standard" w:cs="-webkit-standard"/>
          <w:noProof w:val="0"/>
          <w:sz w:val="24"/>
          <w:szCs w:val="24"/>
          <w:lang w:val="en-GB"/>
        </w:rPr>
      </w:pPr>
      <w:r w:rsidRPr="7D81FAFB" w:rsidR="7D81FAFB">
        <w:rPr>
          <w:rFonts w:ascii="Calibri" w:hAnsi="Calibri" w:eastAsia="Calibri" w:cs="Calibri" w:asciiTheme="minorAscii" w:hAnsiTheme="minorAscii" w:eastAsiaTheme="minorAscii" w:cstheme="minorAscii"/>
          <w:noProof w:val="0"/>
          <w:color w:val="auto"/>
          <w:sz w:val="32"/>
          <w:szCs w:val="32"/>
          <w:lang w:val="en-GB"/>
        </w:rPr>
        <w:t>•  Have welcoming and non-stigmatising environments</w:t>
      </w:r>
    </w:p>
    <w:p w:rsidR="7D81FAFB" w:rsidP="7D81FAFB" w:rsidRDefault="7D81FAFB" w14:paraId="71591A08" w14:textId="07B2184B">
      <w:pPr>
        <w:pStyle w:val="Normal"/>
        <w:ind w:left="0"/>
        <w:jc w:val="both"/>
        <w:rPr>
          <w:rFonts w:ascii="Calibri" w:hAnsi="Calibri" w:eastAsia="Calibri" w:cs="Calibri" w:asciiTheme="minorAscii" w:hAnsiTheme="minorAscii" w:eastAsiaTheme="minorAscii" w:cstheme="minorAscii"/>
          <w:noProof w:val="0"/>
          <w:color w:val="auto"/>
          <w:sz w:val="32"/>
          <w:szCs w:val="32"/>
          <w:lang w:val="en-GB"/>
        </w:rPr>
      </w:pPr>
      <w:r w:rsidRPr="7D81FAFB" w:rsidR="7D81FAFB">
        <w:rPr>
          <w:rFonts w:ascii="Calibri" w:hAnsi="Calibri" w:eastAsia="Calibri" w:cs="Calibri" w:asciiTheme="minorAscii" w:hAnsiTheme="minorAscii" w:eastAsiaTheme="minorAscii" w:cstheme="minorAscii"/>
          <w:noProof w:val="0"/>
          <w:color w:val="auto"/>
          <w:sz w:val="32"/>
          <w:szCs w:val="32"/>
          <w:lang w:val="en-GB"/>
        </w:rPr>
        <w:t>•  To value both child and family</w:t>
      </w:r>
    </w:p>
    <w:p w:rsidR="7D81FAFB" w:rsidP="7D81FAFB" w:rsidRDefault="7D81FAFB" w14:paraId="58123613" w14:textId="608AED29">
      <w:pPr>
        <w:pStyle w:val="Normal"/>
        <w:ind w:left="0"/>
        <w:jc w:val="both"/>
        <w:rPr>
          <w:rFonts w:ascii="Calibri" w:hAnsi="Calibri" w:eastAsia="Calibri" w:cs="Calibri" w:asciiTheme="minorAscii" w:hAnsiTheme="minorAscii" w:eastAsiaTheme="minorAscii" w:cstheme="minorAscii"/>
          <w:noProof w:val="0"/>
          <w:color w:val="auto"/>
          <w:sz w:val="32"/>
          <w:szCs w:val="32"/>
          <w:lang w:val="en-GB"/>
        </w:rPr>
      </w:pPr>
      <w:r w:rsidRPr="7D81FAFB" w:rsidR="7D81FAFB">
        <w:rPr>
          <w:rFonts w:ascii="Calibri" w:hAnsi="Calibri" w:eastAsia="Calibri" w:cs="Calibri" w:asciiTheme="minorAscii" w:hAnsiTheme="minorAscii" w:eastAsiaTheme="minorAscii" w:cstheme="minorAscii"/>
          <w:noProof w:val="0"/>
          <w:color w:val="auto"/>
          <w:sz w:val="32"/>
          <w:szCs w:val="32"/>
          <w:lang w:val="en-GB"/>
        </w:rPr>
        <w:t xml:space="preserve">•  To carry on supporting the child whilst transitioning onto to their next stage. For example, providing visits to pre-school when transitioning from nursery to reception. </w:t>
      </w:r>
    </w:p>
    <w:p w:rsidR="7D81FAFB" w:rsidP="7D81FAFB" w:rsidRDefault="7D81FAFB" w14:paraId="76D18847" w14:textId="5612D572">
      <w:pPr>
        <w:pStyle w:val="Normal"/>
        <w:jc w:val="both"/>
        <w:rPr>
          <w:rFonts w:ascii="Calibri" w:hAnsi="Calibri" w:eastAsia="Calibri" w:cs="Calibri" w:asciiTheme="minorAscii" w:hAnsiTheme="minorAscii" w:eastAsiaTheme="minorAscii" w:cstheme="minorAscii"/>
          <w:noProof w:val="0"/>
          <w:sz w:val="32"/>
          <w:szCs w:val="32"/>
          <w:lang w:val="en-GB"/>
        </w:rPr>
      </w:pPr>
      <w:r w:rsidRPr="7D81FAFB" w:rsidR="7D81FAFB">
        <w:rPr>
          <w:rFonts w:ascii="Calibri" w:hAnsi="Calibri" w:eastAsia="Calibri" w:cs="Calibri" w:asciiTheme="minorAscii" w:hAnsiTheme="minorAscii" w:eastAsiaTheme="minorAscii" w:cstheme="minorAscii"/>
          <w:noProof w:val="0"/>
          <w:color w:val="auto"/>
          <w:sz w:val="32"/>
          <w:szCs w:val="32"/>
          <w:lang w:val="en-GB"/>
        </w:rPr>
        <w:t xml:space="preserve">These processes carried out effectively by all keyworkers coming together will provide a successful transition. This will have a positive outcome on the child in the long term as children learn most effectively when interacting with others. Education can be known as process of living, not preparation for future living. This is because teachers do not just cover a topic criteria but how to live in a society. (John Devey, 1859). </w:t>
      </w:r>
      <w:r w:rsidRPr="7D81FAFB" w:rsidR="7D81FAFB">
        <w:rPr>
          <w:rFonts w:ascii="Calibri" w:hAnsi="Calibri" w:eastAsia="Calibri" w:cs="Calibri"/>
          <w:noProof w:val="0"/>
          <w:sz w:val="32"/>
          <w:szCs w:val="32"/>
          <w:lang w:val="en-GB"/>
        </w:rPr>
        <w:t>Therefore, it is in their best interest of the child for the transitions they face to be effective, whereas if a transition is poor this can traumatise a child into thinking all transitions in the future will again be traumatic.</w:t>
      </w:r>
    </w:p>
    <w:p w:rsidR="7D81FAFB" w:rsidP="7D81FAFB" w:rsidRDefault="7D81FAFB" w14:paraId="28E2995B" w14:textId="4677D99C">
      <w:pPr>
        <w:pStyle w:val="Normal"/>
        <w:jc w:val="both"/>
        <w:rPr>
          <w:rFonts w:ascii="Calibri" w:hAnsi="Calibri" w:eastAsia="Calibri" w:cs="Calibri" w:asciiTheme="minorAscii" w:hAnsiTheme="minorAscii" w:eastAsiaTheme="minorAscii" w:cstheme="minorAscii"/>
          <w:noProof w:val="0"/>
          <w:color w:val="auto"/>
          <w:sz w:val="32"/>
          <w:szCs w:val="32"/>
          <w:lang w:val="en-GB"/>
        </w:rPr>
      </w:pPr>
    </w:p>
    <w:p w:rsidR="7D81FAFB" w:rsidP="7D81FAFB" w:rsidRDefault="7D81FAFB" w14:paraId="68328884" w14:textId="19881F9C">
      <w:pPr>
        <w:pStyle w:val="Normal"/>
        <w:ind w:left="0"/>
        <w:jc w:val="both"/>
        <w:rPr>
          <w:rFonts w:ascii="Calibri" w:hAnsi="Calibri" w:eastAsia="Calibri" w:cs="Calibri" w:asciiTheme="minorAscii" w:hAnsiTheme="minorAscii" w:eastAsiaTheme="minorAscii" w:cstheme="minorAscii"/>
          <w:noProof w:val="0"/>
          <w:color w:val="auto"/>
          <w:sz w:val="32"/>
          <w:szCs w:val="32"/>
          <w:lang w:val="en-GB"/>
        </w:rPr>
      </w:pPr>
      <w:r w:rsidRPr="7D81FAFB" w:rsidR="7D81FAFB">
        <w:rPr>
          <w:b w:val="1"/>
          <w:bCs w:val="1"/>
          <w:sz w:val="40"/>
          <w:szCs w:val="40"/>
          <w:u w:val="single"/>
        </w:rPr>
        <w:t>The needs of the child</w:t>
      </w:r>
    </w:p>
    <w:p w:rsidR="7D81FAFB" w:rsidP="7D81FAFB" w:rsidRDefault="7D81FAFB" w14:paraId="30C46088" w14:textId="1F7B8D49">
      <w:pPr>
        <w:pStyle w:val="Normal"/>
        <w:jc w:val="both"/>
        <w:rPr>
          <w:b w:val="0"/>
          <w:bCs w:val="0"/>
          <w:color w:val="auto"/>
          <w:sz w:val="32"/>
          <w:szCs w:val="32"/>
          <w:u w:val="none"/>
        </w:rPr>
      </w:pPr>
      <w:r w:rsidRPr="7D81FAFB" w:rsidR="7D81FAFB">
        <w:rPr>
          <w:b w:val="0"/>
          <w:bCs w:val="0"/>
          <w:sz w:val="32"/>
          <w:szCs w:val="32"/>
          <w:u w:val="none"/>
        </w:rPr>
        <w:t>Positive relationships are central to a child’s development and construct a platform for secure development. A strong, comfortable bond with a practitioner will help the young child settle in and feel more comfortable when going through transitions. Penny Tassoni states that a bond is like an emotional safety net and it is essential that it is strong enough to catch the child in the absence of their parents or carers. When children have this bond with a practitioner, they will naturally feel more secure and relaxed resulting in them more likely to enjoy being in the pre-school setting. However, every child should be included and cared for to support their development despite their culture, disability, gender, ethnicity, family background or ability. Vygotsky states that the world is shaped by our families, communities, socioeconomic status, education and culture. Vygotsky’s zone of proximal development can be defined as the range of abilities that an individual can perform with assistance but cannot yet perform independently. It is the distance between the child’s actual development level as determined by independent problem solving and the level of potential development as determined through problem solving under the practitioner's guidance. As the child becomes more competent, the practitioner gradually stops supporting the child until they can carry out the skill by themselves.</w:t>
      </w:r>
      <w:r w:rsidRPr="7D81FAFB" w:rsidR="7D81FAFB">
        <w:rPr>
          <w:b w:val="0"/>
          <w:bCs w:val="0"/>
          <w:sz w:val="40"/>
          <w:szCs w:val="40"/>
          <w:u w:val="none"/>
        </w:rPr>
        <w:t xml:space="preserve"> </w:t>
      </w:r>
      <w:r w:rsidRPr="7D81FAFB" w:rsidR="7D81FAFB">
        <w:rPr>
          <w:b w:val="0"/>
          <w:bCs w:val="0"/>
          <w:color w:val="auto"/>
          <w:sz w:val="32"/>
          <w:szCs w:val="32"/>
          <w:u w:val="none"/>
        </w:rPr>
        <w:t xml:space="preserve">Vygotsky suggests that the keyworkers in a child’s influence their perspectives and values and are actively engaging within their learning environments and continuously analysing the reactions of others and their responses. </w:t>
      </w:r>
      <w:r w:rsidRPr="7D81FAFB" w:rsidR="7D81FAFB">
        <w:rPr>
          <w:rFonts w:ascii="Calibri" w:hAnsi="Calibri" w:eastAsia="Calibri" w:cs="Calibri" w:asciiTheme="minorAscii" w:hAnsiTheme="minorAscii" w:eastAsiaTheme="minorAscii" w:cstheme="minorAscii"/>
          <w:noProof w:val="0"/>
          <w:sz w:val="32"/>
          <w:szCs w:val="32"/>
          <w:lang w:val="en-GB"/>
        </w:rPr>
        <w:t>Young children are able to communicate their feelings initially through sounds, gestures, actions, and later through speech. Vogler et al, 2008 emphasises that w</w:t>
      </w:r>
      <w:r w:rsidRPr="7D81FAFB" w:rsidR="7D81FAFB">
        <w:rPr>
          <w:b w:val="0"/>
          <w:bCs w:val="0"/>
          <w:color w:val="auto"/>
          <w:sz w:val="32"/>
          <w:szCs w:val="32"/>
          <w:u w:val="none"/>
        </w:rPr>
        <w:t xml:space="preserve">hen a child is developing their communication and social skills, it is vital for keyworkers to react appropriately to their feelings with actions such as a hug or as simple as eye contact, to enhance the neural connections in their brain. These interactions shape brain architecture as the brain of an infant develops through experiences. </w:t>
      </w:r>
    </w:p>
    <w:p w:rsidR="7D81FAFB" w:rsidP="7D81FAFB" w:rsidRDefault="7D81FAFB" w14:paraId="4DA15530" w14:textId="21A0515D">
      <w:pPr>
        <w:pStyle w:val="Normal"/>
        <w:jc w:val="left"/>
        <w:rPr>
          <w:rFonts w:ascii="Calibri" w:hAnsi="Calibri" w:eastAsia="Calibri" w:cs="Calibri" w:asciiTheme="minorAscii" w:hAnsiTheme="minorAscii" w:eastAsiaTheme="minorAscii" w:cstheme="minorAscii"/>
          <w:noProof w:val="0"/>
          <w:sz w:val="32"/>
          <w:szCs w:val="32"/>
          <w:lang w:val="en-GB"/>
        </w:rPr>
      </w:pPr>
      <w:r w:rsidRPr="7D81FAFB" w:rsidR="7D81FAFB">
        <w:rPr>
          <w:rFonts w:ascii="Calibri" w:hAnsi="Calibri" w:eastAsia="Calibri" w:cs="Calibri" w:asciiTheme="minorAscii" w:hAnsiTheme="minorAscii" w:eastAsiaTheme="minorAscii" w:cstheme="minorAscii"/>
          <w:noProof w:val="0"/>
          <w:sz w:val="32"/>
          <w:szCs w:val="32"/>
          <w:lang w:val="en-GB"/>
        </w:rPr>
        <w:t>Both learning and culture are depended on the other: individuals are constantly determining what is acceptable in society, and the environment is continuously confirming what would be considered appropriate behaviour. Vygotsky states that it is the combination of cultural influences and genetics that create one’s personality.</w:t>
      </w:r>
    </w:p>
    <w:p w:rsidR="7D81FAFB" w:rsidP="7D81FAFB" w:rsidRDefault="7D81FAFB" w14:paraId="387B468F" w14:textId="6AECBF8A">
      <w:pPr>
        <w:pStyle w:val="Normal"/>
        <w:jc w:val="both"/>
        <w:rPr>
          <w:rFonts w:ascii="Calibri" w:hAnsi="Calibri" w:eastAsia="Calibri" w:cs="Calibri"/>
          <w:noProof w:val="0"/>
          <w:sz w:val="32"/>
          <w:szCs w:val="32"/>
          <w:lang w:val="en-GB"/>
        </w:rPr>
      </w:pPr>
      <w:r w:rsidRPr="7D81FAFB" w:rsidR="7D81FAFB">
        <w:rPr>
          <w:rFonts w:ascii="Calibri" w:hAnsi="Calibri" w:eastAsia="Calibri" w:cs="Calibri" w:asciiTheme="minorAscii" w:hAnsiTheme="minorAscii" w:eastAsiaTheme="minorAscii" w:cstheme="minorAscii"/>
          <w:noProof w:val="0"/>
          <w:sz w:val="32"/>
          <w:szCs w:val="32"/>
          <w:lang w:val="en-GB"/>
        </w:rPr>
        <w:t xml:space="preserve">The United Nations Convention states that every child has a right to play. </w:t>
      </w:r>
      <w:r w:rsidRPr="7D81FAFB" w:rsidR="7D81FAFB">
        <w:rPr>
          <w:rFonts w:ascii="Calibri" w:hAnsi="Calibri" w:eastAsia="Calibri" w:cs="Calibri"/>
          <w:noProof w:val="0"/>
          <w:sz w:val="32"/>
          <w:szCs w:val="32"/>
          <w:lang w:val="en-GB"/>
        </w:rPr>
        <w:t>Encouraging physical well-being in children is central to enhancing learning and this is why ‘play’ is a very important part of a child’s transition process. Play between both child and keyworker can have a positive impact on their relationship as well as their learning and development.</w:t>
      </w:r>
      <w:r w:rsidRPr="7D81FAFB" w:rsidR="7D81FAFB">
        <w:rPr>
          <w:rFonts w:ascii="Calibri" w:hAnsi="Calibri" w:eastAsia="Calibri" w:cs="Calibri" w:asciiTheme="minorAscii" w:hAnsiTheme="minorAscii" w:eastAsiaTheme="minorAscii" w:cstheme="minorAscii"/>
          <w:noProof w:val="0"/>
          <w:sz w:val="32"/>
          <w:szCs w:val="32"/>
          <w:lang w:val="en-GB"/>
        </w:rPr>
        <w:t xml:space="preserve"> Research suggests that children’s experiences can be enhanced through play when keyworkers actively support the child. </w:t>
      </w:r>
      <w:r w:rsidRPr="7D81FAFB" w:rsidR="7D81FAFB">
        <w:rPr>
          <w:rFonts w:ascii="Calibri" w:hAnsi="Calibri" w:eastAsia="Calibri" w:cs="Calibri"/>
          <w:noProof w:val="0"/>
          <w:sz w:val="32"/>
          <w:szCs w:val="32"/>
          <w:lang w:val="en-GB"/>
        </w:rPr>
        <w:t>Froebel supports this as he believes the natural growth of children is through action and play.</w:t>
      </w:r>
    </w:p>
    <w:p w:rsidR="7D81FAFB" w:rsidP="7D81FAFB" w:rsidRDefault="7D81FAFB" w14:paraId="1C5616A9" w14:textId="1D0ADF25">
      <w:pPr>
        <w:jc w:val="left"/>
        <w:rPr>
          <w:rFonts w:ascii="Calibri" w:hAnsi="Calibri" w:eastAsia="Calibri" w:cs="Calibri" w:asciiTheme="minorAscii" w:hAnsiTheme="minorAscii" w:eastAsiaTheme="minorAscii" w:cstheme="minorAscii"/>
          <w:noProof w:val="0"/>
          <w:sz w:val="32"/>
          <w:szCs w:val="32"/>
          <w:lang w:val="en-GB"/>
        </w:rPr>
      </w:pPr>
      <w:r w:rsidRPr="7D81FAFB" w:rsidR="7D81FAFB">
        <w:rPr>
          <w:rFonts w:ascii="Calibri" w:hAnsi="Calibri" w:eastAsia="Calibri" w:cs="Calibri" w:asciiTheme="minorAscii" w:hAnsiTheme="minorAscii" w:eastAsiaTheme="minorAscii" w:cstheme="minorAscii"/>
          <w:noProof w:val="0"/>
          <w:sz w:val="32"/>
          <w:szCs w:val="32"/>
          <w:lang w:val="en-GB"/>
        </w:rPr>
        <w:t xml:space="preserve">Abraham Maslow hierarchy of needs triangle shows the needs of the child and what are needed for the child to move onto the next stage, practitioners are always encouraged to support this. </w:t>
      </w:r>
    </w:p>
    <w:p w:rsidR="7D81FAFB" w:rsidP="7D81FAFB" w:rsidRDefault="7D81FAFB" w14:paraId="2058AD13" w14:textId="29CF7361">
      <w:pPr>
        <w:jc w:val="both"/>
      </w:pPr>
    </w:p>
    <w:p w:rsidR="7D81FAFB" w:rsidP="7D81FAFB" w:rsidRDefault="7D81FAFB" w14:paraId="27AF3C02" w14:textId="6306BC12">
      <w:pPr>
        <w:pStyle w:val="Normal"/>
        <w:jc w:val="center"/>
      </w:pPr>
      <w:r>
        <w:drawing>
          <wp:inline wp14:editId="21DAF96C" wp14:anchorId="70847CAB">
            <wp:extent cx="4572000" cy="2571750"/>
            <wp:effectExtent l="0" t="0" r="0" b="0"/>
            <wp:docPr id="807780961" name="" title=""/>
            <wp:cNvGraphicFramePr>
              <a:graphicFrameLocks noChangeAspect="1"/>
            </wp:cNvGraphicFramePr>
            <a:graphic>
              <a:graphicData uri="http://schemas.openxmlformats.org/drawingml/2006/picture">
                <pic:pic>
                  <pic:nvPicPr>
                    <pic:cNvPr id="0" name=""/>
                    <pic:cNvPicPr/>
                  </pic:nvPicPr>
                  <pic:blipFill>
                    <a:blip r:embed="R9985972110ad47b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br/>
      </w:r>
    </w:p>
    <w:p w:rsidR="7D81FAFB" w:rsidP="7D81FAFB" w:rsidRDefault="7D81FAFB" w14:paraId="528CC14E" w14:textId="574B9C0F">
      <w:pPr>
        <w:pStyle w:val="Normal"/>
        <w:jc w:val="center"/>
      </w:pPr>
      <w:r w:rsidRPr="7D81FAFB" w:rsidR="7D81FAFB">
        <w:rPr>
          <w:sz w:val="32"/>
          <w:szCs w:val="32"/>
        </w:rPr>
        <w:t>Maslow’s hierarchy of needs (1943)</w:t>
      </w:r>
    </w:p>
    <w:p w:rsidR="7D81FAFB" w:rsidP="7D81FAFB" w:rsidRDefault="7D81FAFB" w14:paraId="79F6DF7C" w14:textId="2B87B399">
      <w:pPr>
        <w:pStyle w:val="Normal"/>
        <w:jc w:val="center"/>
        <w:rPr>
          <w:sz w:val="32"/>
          <w:szCs w:val="32"/>
        </w:rPr>
      </w:pPr>
      <w:r w:rsidRPr="7D81FAFB" w:rsidR="7D81FAFB">
        <w:rPr>
          <w:sz w:val="32"/>
          <w:szCs w:val="32"/>
        </w:rPr>
        <w:t>(</w:t>
      </w:r>
      <w:r w:rsidRPr="7D81FAFB" w:rsidR="7D81FAFB">
        <w:rPr>
          <w:sz w:val="32"/>
          <w:szCs w:val="32"/>
        </w:rPr>
        <w:t>Source:</w:t>
      </w:r>
      <w:r w:rsidRPr="7D81FAFB" w:rsidR="7D81FAFB">
        <w:rPr>
          <w:sz w:val="32"/>
          <w:szCs w:val="32"/>
        </w:rPr>
        <w:t xml:space="preserve"> Inspiredtrait.com, 2018)</w:t>
      </w:r>
    </w:p>
    <w:p w:rsidR="7D81FAFB" w:rsidP="7D81FAFB" w:rsidRDefault="7D81FAFB" w14:paraId="600C59CB" w14:textId="555BBFDC">
      <w:pPr>
        <w:pStyle w:val="Normal"/>
        <w:jc w:val="both"/>
        <w:rPr>
          <w:sz w:val="32"/>
          <w:szCs w:val="32"/>
        </w:rPr>
      </w:pPr>
    </w:p>
    <w:p w:rsidR="7D81FAFB" w:rsidP="7D81FAFB" w:rsidRDefault="7D81FAFB" w14:paraId="33CEF3C1" w14:textId="5080F730">
      <w:pPr>
        <w:pStyle w:val="Normal"/>
        <w:jc w:val="both"/>
        <w:rPr>
          <w:sz w:val="32"/>
          <w:szCs w:val="32"/>
        </w:rPr>
      </w:pPr>
      <w:r w:rsidRPr="7D81FAFB" w:rsidR="7D81FAFB">
        <w:rPr>
          <w:sz w:val="32"/>
          <w:szCs w:val="32"/>
        </w:rPr>
        <w:t xml:space="preserve">Maslow’s hierarchy of needs states that self-actualization has the greatest intensity. This is the realisation of one's potentialities and a drive to present in everyone. Self-actualization is achieved through struggle which leads to useful results, whereas physiological needs are the basic needs that everyone has. </w:t>
      </w:r>
    </w:p>
    <w:p w:rsidR="7D81FAFB" w:rsidP="7D81FAFB" w:rsidRDefault="7D81FAFB" w14:paraId="7F2605BC" w14:textId="3801347F">
      <w:pPr>
        <w:pStyle w:val="Normal"/>
        <w:jc w:val="both"/>
        <w:rPr>
          <w:rFonts w:ascii="Times New Roman" w:hAnsi="Times New Roman" w:eastAsia="Times New Roman" w:cs="Times New Roman"/>
          <w:noProof w:val="0"/>
          <w:sz w:val="30"/>
          <w:szCs w:val="30"/>
          <w:lang w:val="en-GB"/>
        </w:rPr>
      </w:pPr>
    </w:p>
    <w:p w:rsidR="7D81FAFB" w:rsidP="7D81FAFB" w:rsidRDefault="7D81FAFB" w14:paraId="55E32EA4" w14:textId="1117BA05">
      <w:pPr>
        <w:jc w:val="left"/>
        <w:rPr>
          <w:rFonts w:ascii="Calibri" w:hAnsi="Calibri" w:eastAsia="Calibri" w:cs="Calibri" w:asciiTheme="minorAscii" w:hAnsiTheme="minorAscii" w:eastAsiaTheme="minorAscii" w:cstheme="minorAscii"/>
          <w:b w:val="1"/>
          <w:bCs w:val="1"/>
          <w:noProof w:val="0"/>
          <w:sz w:val="40"/>
          <w:szCs w:val="40"/>
          <w:u w:val="single"/>
          <w:lang w:val="en-GB"/>
        </w:rPr>
      </w:pPr>
      <w:r w:rsidRPr="7D81FAFB" w:rsidR="7D81FAFB">
        <w:rPr>
          <w:rFonts w:ascii="Calibri" w:hAnsi="Calibri" w:eastAsia="Calibri" w:cs="Calibri" w:asciiTheme="minorAscii" w:hAnsiTheme="minorAscii" w:eastAsiaTheme="minorAscii" w:cstheme="minorAscii"/>
          <w:b w:val="1"/>
          <w:bCs w:val="1"/>
          <w:noProof w:val="0"/>
          <w:sz w:val="40"/>
          <w:szCs w:val="40"/>
          <w:u w:val="single"/>
          <w:lang w:val="en-GB"/>
        </w:rPr>
        <w:t>Partnerships</w:t>
      </w:r>
    </w:p>
    <w:p w:rsidR="7D81FAFB" w:rsidP="7D81FAFB" w:rsidRDefault="7D81FAFB" w14:paraId="26878F78" w14:textId="67BE5FDC">
      <w:pPr>
        <w:pStyle w:val="Normal"/>
        <w:jc w:val="both"/>
      </w:pPr>
      <w:r w:rsidRPr="7D81FAFB" w:rsidR="7D81FAFB">
        <w:rPr>
          <w:rFonts w:ascii="Calibri" w:hAnsi="Calibri" w:eastAsia="Calibri" w:cs="Calibri" w:asciiTheme="minorAscii" w:hAnsiTheme="minorAscii" w:eastAsiaTheme="minorAscii" w:cstheme="minorAscii"/>
          <w:noProof w:val="0"/>
          <w:sz w:val="32"/>
          <w:szCs w:val="32"/>
          <w:u w:val="none"/>
          <w:lang w:val="en-GB"/>
        </w:rPr>
        <w:t>As a keyworker it is vital that parents and carers are involved on their child's transition processes. It is important that they are informed and updated on a daily basis as quite often it appears that it is more problematic for parents during the transition to pre-school than it is for the child. This can lead to a lot of parental anxiety which will have a negative impact on the child. A big role whilst being an early year's practitioner is ensuring that the parents understand the importance of projecting a positive attitude to help the child enjoy the transition without creating more worry for them. The practitioner can involve the parents in many ways. The main one being communication. This is a major factor in how parent partnerships can support positive transitions for their child. An effective way of doing this is by talking to parents, encouraging them to ask any questions they may have and sending emails. Whilst communicating with parents, the practitioner needs to be able to be flexible and mindful of adapting to different languages or specific learning needs. (Pacey, 2018). Another strategy would be having respect for the parents. When a partnership is</w:t>
      </w:r>
      <w:r w:rsidRPr="7D81FAFB" w:rsidR="7D81FAFB">
        <w:rPr>
          <w:rFonts w:ascii="Calibri" w:hAnsi="Calibri" w:eastAsia="Calibri" w:cs="Calibri"/>
          <w:noProof w:val="0"/>
          <w:color w:val="auto"/>
          <w:sz w:val="32"/>
          <w:szCs w:val="32"/>
          <w:lang w:val="en-GB"/>
        </w:rPr>
        <w:t xml:space="preserve"> respectful, it can lead to an open dialogue which is more supportive of positive transitions. This can include inviting the parents into school to discuss how you can work together for a positive outcome. </w:t>
      </w:r>
    </w:p>
    <w:p w:rsidR="7D81FAFB" w:rsidP="7D81FAFB" w:rsidRDefault="7D81FAFB" w14:paraId="70D6A293" w14:textId="2C2DB2D7">
      <w:pPr>
        <w:pStyle w:val="Normal"/>
        <w:jc w:val="both"/>
        <w:rPr>
          <w:rFonts w:ascii="Calibri" w:hAnsi="Calibri" w:eastAsia="Calibri" w:cs="Calibri"/>
          <w:noProof w:val="0"/>
          <w:color w:val="auto"/>
          <w:sz w:val="32"/>
          <w:szCs w:val="32"/>
          <w:lang w:val="en-GB"/>
        </w:rPr>
      </w:pPr>
      <w:r w:rsidRPr="7D81FAFB" w:rsidR="7D81FAFB">
        <w:rPr>
          <w:rFonts w:ascii="Calibri" w:hAnsi="Calibri" w:eastAsia="Calibri" w:cs="Calibri"/>
          <w:noProof w:val="0"/>
          <w:color w:val="auto"/>
          <w:sz w:val="32"/>
          <w:szCs w:val="32"/>
          <w:lang w:val="en-GB"/>
        </w:rPr>
        <w:t xml:space="preserve">As a keyworker, it is your role to recognise that not only children are unique, but so are their parents. In this approach there is no “one size fits all” so it is very important to consider the individual needs that both children and parents may have. Some parents may need more reassurance than others, where as some parents may have already experienced these </w:t>
      </w:r>
      <w:r w:rsidRPr="7D81FAFB" w:rsidR="7D81FAFB">
        <w:rPr>
          <w:rFonts w:ascii="Calibri" w:hAnsi="Calibri" w:eastAsia="Calibri" w:cs="Calibri"/>
          <w:b w:val="0"/>
          <w:bCs w:val="0"/>
          <w:noProof w:val="0"/>
          <w:color w:val="auto"/>
          <w:sz w:val="32"/>
          <w:szCs w:val="32"/>
          <w:lang w:val="en-GB"/>
        </w:rPr>
        <w:t>transitions</w:t>
      </w:r>
      <w:r w:rsidRPr="7D81FAFB" w:rsidR="7D81FAFB">
        <w:rPr>
          <w:rFonts w:ascii="Calibri" w:hAnsi="Calibri" w:eastAsia="Calibri" w:cs="Calibri"/>
          <w:noProof w:val="0"/>
          <w:color w:val="auto"/>
          <w:sz w:val="32"/>
          <w:szCs w:val="32"/>
          <w:lang w:val="en-GB"/>
        </w:rPr>
        <w:t xml:space="preserve"> with their older children and have no concerns. Therefore, this is why communication and respect are vital factors in achieving a smooth transition. </w:t>
      </w:r>
    </w:p>
    <w:p w:rsidR="7D81FAFB" w:rsidP="7D81FAFB" w:rsidRDefault="7D81FAFB" w14:paraId="60245872" w14:textId="19FE432F">
      <w:pPr>
        <w:pStyle w:val="Normal"/>
        <w:jc w:val="both"/>
        <w:rPr>
          <w:rFonts w:ascii="Calibri" w:hAnsi="Calibri" w:eastAsia="Calibri" w:cs="Calibri"/>
          <w:noProof w:val="0"/>
          <w:color w:val="auto"/>
          <w:sz w:val="32"/>
          <w:szCs w:val="32"/>
          <w:lang w:val="en-GB"/>
        </w:rPr>
      </w:pPr>
    </w:p>
    <w:p w:rsidR="7D81FAFB" w:rsidP="7D81FAFB" w:rsidRDefault="7D81FAFB" w14:paraId="3E77CF1A" w14:textId="0E6C43E9">
      <w:pPr>
        <w:pStyle w:val="Normal"/>
        <w:jc w:val="both"/>
        <w:rPr>
          <w:rFonts w:ascii="Calibri" w:hAnsi="Calibri" w:eastAsia="Calibri" w:cs="Calibri"/>
          <w:noProof w:val="0"/>
          <w:color w:val="auto"/>
          <w:sz w:val="32"/>
          <w:szCs w:val="32"/>
          <w:lang w:val="en-GB"/>
        </w:rPr>
      </w:pPr>
      <w:r w:rsidRPr="7D81FAFB" w:rsidR="7D81FAFB">
        <w:rPr>
          <w:rFonts w:ascii="Calibri" w:hAnsi="Calibri" w:eastAsia="Calibri" w:cs="Calibri"/>
          <w:b w:val="1"/>
          <w:bCs w:val="1"/>
          <w:noProof w:val="0"/>
          <w:color w:val="auto"/>
          <w:sz w:val="40"/>
          <w:szCs w:val="40"/>
          <w:u w:val="single"/>
          <w:lang w:val="en-GB"/>
        </w:rPr>
        <w:t>Interventions</w:t>
      </w:r>
    </w:p>
    <w:p w:rsidR="7D81FAFB" w:rsidP="7D81FAFB" w:rsidRDefault="7D81FAFB" w14:paraId="709CCDFA" w14:textId="549623C3">
      <w:pPr>
        <w:pStyle w:val="Normal"/>
        <w:jc w:val="both"/>
        <w:rPr>
          <w:rFonts w:ascii="Calibri" w:hAnsi="Calibri" w:eastAsia="Calibri" w:cs="Calibri"/>
          <w:b w:val="1"/>
          <w:bCs w:val="1"/>
          <w:noProof w:val="0"/>
          <w:color w:val="auto"/>
          <w:sz w:val="40"/>
          <w:szCs w:val="40"/>
          <w:u w:val="single"/>
          <w:lang w:val="en-GB"/>
        </w:rPr>
      </w:pPr>
      <w:r w:rsidRPr="7D81FAFB" w:rsidR="7D81FAFB">
        <w:rPr>
          <w:rFonts w:ascii="Calibri" w:hAnsi="Calibri" w:eastAsia="Calibri" w:cs="Calibri"/>
          <w:b w:val="0"/>
          <w:bCs w:val="0"/>
          <w:noProof w:val="0"/>
          <w:color w:val="auto"/>
          <w:sz w:val="32"/>
          <w:szCs w:val="32"/>
          <w:u w:val="none"/>
          <w:lang w:val="en-GB"/>
        </w:rPr>
        <w:t xml:space="preserve">Bandura’s social learning theory posits that people learn from one another via observation, imitation and modelling. Bandura (1977) states “learning would be exceedingly laborious, not to mention hazardous, if people had to rely solely on the effects of their own actions to inform them what to do”. There are 4 steps to his theory including attention, retention, reproduction and motivation. It encompasses memory, motivation and attention meaning that his social learning theory spans both cognitive and behavioural frameworks. Bandura’s theory is related to Vygotsky’s as they both focus on the central role of social learning. However, Bandura’s moves beyond </w:t>
      </w:r>
      <w:hyperlink r:id="Rccf969f8a72e42e1">
        <w:r w:rsidRPr="7D81FAFB" w:rsidR="7D81FAFB">
          <w:rPr>
            <w:rStyle w:val="Hyperlink"/>
            <w:rFonts w:ascii="Calibri" w:hAnsi="Calibri" w:eastAsia="Calibri" w:cs="Calibri"/>
            <w:noProof w:val="0"/>
            <w:color w:val="auto"/>
            <w:sz w:val="32"/>
            <w:szCs w:val="32"/>
            <w:u w:val="none"/>
            <w:lang w:val="en-GB"/>
          </w:rPr>
          <w:t>behavioral theories</w:t>
        </w:r>
      </w:hyperlink>
      <w:r w:rsidRPr="7D81FAFB" w:rsidR="7D81FAFB">
        <w:rPr>
          <w:rFonts w:ascii="Calibri" w:hAnsi="Calibri" w:eastAsia="Calibri" w:cs="Calibri"/>
          <w:noProof w:val="0"/>
          <w:color w:val="auto"/>
          <w:sz w:val="32"/>
          <w:szCs w:val="32"/>
          <w:u w:val="none"/>
          <w:lang w:val="en-GB"/>
        </w:rPr>
        <w:t xml:space="preserve">, which suggest that all behaviours are learned through conditioning, and cognitive theories, which take into account psychological influences such as attention and </w:t>
      </w:r>
      <w:hyperlink r:id="Rb861d7a6695448e9">
        <w:r w:rsidRPr="7D81FAFB" w:rsidR="7D81FAFB">
          <w:rPr>
            <w:rStyle w:val="Hyperlink"/>
            <w:rFonts w:ascii="Calibri" w:hAnsi="Calibri" w:eastAsia="Calibri" w:cs="Calibri"/>
            <w:noProof w:val="0"/>
            <w:color w:val="auto"/>
            <w:sz w:val="32"/>
            <w:szCs w:val="32"/>
            <w:u w:val="none"/>
            <w:lang w:val="en-GB"/>
          </w:rPr>
          <w:t>memory</w:t>
        </w:r>
      </w:hyperlink>
      <w:r w:rsidRPr="7D81FAFB" w:rsidR="7D81FAFB">
        <w:rPr>
          <w:rFonts w:ascii="Calibri" w:hAnsi="Calibri" w:eastAsia="Calibri" w:cs="Calibri"/>
          <w:noProof w:val="0"/>
          <w:color w:val="auto"/>
          <w:sz w:val="32"/>
          <w:szCs w:val="32"/>
          <w:u w:val="none"/>
          <w:lang w:val="en-GB"/>
        </w:rPr>
        <w:t xml:space="preserve">. </w:t>
      </w:r>
      <w:r w:rsidRPr="7D81FAFB" w:rsidR="7D81FAFB">
        <w:rPr>
          <w:rFonts w:ascii="Calibri" w:hAnsi="Calibri" w:eastAsia="Calibri" w:cs="Calibri"/>
          <w:noProof w:val="0"/>
          <w:color w:val="212121"/>
          <w:sz w:val="32"/>
          <w:szCs w:val="32"/>
          <w:lang w:val="en-GB"/>
        </w:rPr>
        <w:t xml:space="preserve">His theory added a social element, arguing that people can learn new information and behaviours by watching other people. For example, Bandura demonstrated that children learn and imitate behaviours they have observed in other people. The children in Bandura’s studies observed an adult acting violently toward a Bobo doll. When the children were later allowed to play in a room with the Bobo doll, they began to imitate the aggressive actions they had previously observed. </w:t>
      </w:r>
    </w:p>
    <w:p w:rsidR="7D81FAFB" w:rsidP="7D81FAFB" w:rsidRDefault="7D81FAFB" w14:paraId="29B62034" w14:textId="3C5660DD">
      <w:pPr>
        <w:pStyle w:val="Normal"/>
        <w:jc w:val="both"/>
        <w:rPr>
          <w:rFonts w:ascii="Calibri" w:hAnsi="Calibri" w:eastAsia="Calibri" w:cs="Calibri"/>
          <w:noProof w:val="0"/>
          <w:color w:val="212121"/>
          <w:sz w:val="32"/>
          <w:szCs w:val="32"/>
          <w:lang w:val="en-GB"/>
        </w:rPr>
      </w:pPr>
      <w:r w:rsidRPr="7D81FAFB" w:rsidR="7D81FAFB">
        <w:rPr>
          <w:rFonts w:ascii="Calibri" w:hAnsi="Calibri" w:eastAsia="Calibri" w:cs="Calibri"/>
          <w:noProof w:val="0"/>
          <w:color w:val="auto"/>
          <w:sz w:val="32"/>
          <w:szCs w:val="32"/>
          <w:lang w:val="en-GB"/>
        </w:rPr>
        <w:t xml:space="preserve">However, not all observed behaviours are effectively learned. </w:t>
      </w:r>
      <w:r w:rsidRPr="7D81FAFB" w:rsidR="7D81FAFB">
        <w:rPr>
          <w:rFonts w:ascii="Calibri" w:hAnsi="Calibri" w:eastAsia="Calibri" w:cs="Calibri"/>
          <w:noProof w:val="0"/>
          <w:color w:val="212121"/>
          <w:sz w:val="32"/>
          <w:szCs w:val="32"/>
          <w:lang w:val="en-GB"/>
        </w:rPr>
        <w:t xml:space="preserve">Factors involving both the model and the learner can play a role in whether social learning is successful. </w:t>
      </w:r>
      <w:r w:rsidRPr="7D81FAFB" w:rsidR="7D81FAFB">
        <w:rPr>
          <w:rFonts w:ascii="Calibri" w:hAnsi="Calibri" w:eastAsia="Calibri" w:cs="Calibri"/>
          <w:b w:val="0"/>
          <w:bCs w:val="0"/>
          <w:noProof w:val="0"/>
          <w:color w:val="auto"/>
          <w:sz w:val="32"/>
          <w:szCs w:val="32"/>
          <w:u w:val="none"/>
          <w:lang w:val="en-GB"/>
        </w:rPr>
        <w:t>This theory can be applied to a child’s transition from reception to year 1 through these 4 steps:</w:t>
      </w:r>
    </w:p>
    <w:p w:rsidR="7D81FAFB" w:rsidP="7D81FAFB" w:rsidRDefault="7D81FAFB" w14:paraId="3CFB09DD" w14:textId="5263E123">
      <w:pPr>
        <w:pStyle w:val="Normal"/>
        <w:jc w:val="both"/>
        <w:rPr>
          <w:rFonts w:ascii="Calibri" w:hAnsi="Calibri" w:eastAsia="Calibri" w:cs="Calibri"/>
          <w:b w:val="0"/>
          <w:bCs w:val="0"/>
          <w:noProof w:val="0"/>
          <w:color w:val="auto"/>
          <w:sz w:val="32"/>
          <w:szCs w:val="32"/>
          <w:u w:val="none"/>
          <w:lang w:val="en-GB"/>
        </w:rPr>
      </w:pPr>
      <w:r w:rsidRPr="7D81FAFB" w:rsidR="7D81FAFB">
        <w:rPr>
          <w:rFonts w:ascii="Calibri" w:hAnsi="Calibri" w:eastAsia="Calibri" w:cs="Calibri"/>
          <w:b w:val="0"/>
          <w:bCs w:val="0"/>
          <w:noProof w:val="0"/>
          <w:color w:val="auto"/>
          <w:sz w:val="32"/>
          <w:szCs w:val="32"/>
          <w:u w:val="none"/>
          <w:lang w:val="en-GB"/>
        </w:rPr>
        <w:t xml:space="preserve">• Attention – In order for a child to learn, they need to be paying attention. This could be in regards to paying attention to their new setting and surroundings in their new class room. </w:t>
      </w:r>
    </w:p>
    <w:p w:rsidR="7D81FAFB" w:rsidP="7D81FAFB" w:rsidRDefault="7D81FAFB" w14:paraId="6F886CA9" w14:textId="26F9FB4B">
      <w:pPr>
        <w:pStyle w:val="Normal"/>
        <w:jc w:val="both"/>
        <w:rPr>
          <w:rFonts w:ascii="Calibri" w:hAnsi="Calibri" w:eastAsia="Calibri" w:cs="Calibri"/>
          <w:b w:val="0"/>
          <w:bCs w:val="0"/>
          <w:noProof w:val="0"/>
          <w:color w:val="auto"/>
          <w:sz w:val="32"/>
          <w:szCs w:val="32"/>
          <w:u w:val="none"/>
          <w:lang w:val="en-GB"/>
        </w:rPr>
      </w:pPr>
      <w:r w:rsidRPr="7D81FAFB" w:rsidR="7D81FAFB">
        <w:rPr>
          <w:rFonts w:ascii="Calibri" w:hAnsi="Calibri" w:eastAsia="Calibri" w:cs="Calibri"/>
          <w:b w:val="0"/>
          <w:bCs w:val="0"/>
          <w:noProof w:val="0"/>
          <w:color w:val="auto"/>
          <w:sz w:val="32"/>
          <w:szCs w:val="32"/>
          <w:u w:val="none"/>
          <w:lang w:val="en-GB"/>
        </w:rPr>
        <w:t xml:space="preserve">• Retention – The ability to store information. This could be them remembering their new class room and feeling more comfortable during the transition due to recalling being there before. </w:t>
      </w:r>
    </w:p>
    <w:p w:rsidR="7D81FAFB" w:rsidP="7D81FAFB" w:rsidRDefault="7D81FAFB" w14:paraId="73ED463E" w14:textId="2EEBEEDA">
      <w:pPr>
        <w:pStyle w:val="Normal"/>
        <w:jc w:val="both"/>
        <w:rPr>
          <w:rFonts w:ascii="Calibri" w:hAnsi="Calibri" w:eastAsia="Calibri" w:cs="Calibri"/>
          <w:b w:val="0"/>
          <w:bCs w:val="0"/>
          <w:noProof w:val="0"/>
          <w:color w:val="auto"/>
          <w:sz w:val="32"/>
          <w:szCs w:val="32"/>
          <w:u w:val="none"/>
          <w:lang w:val="en-GB"/>
        </w:rPr>
      </w:pPr>
      <w:r w:rsidRPr="7D81FAFB" w:rsidR="7D81FAFB">
        <w:rPr>
          <w:rFonts w:ascii="Calibri" w:hAnsi="Calibri" w:eastAsia="Calibri" w:cs="Calibri"/>
          <w:b w:val="0"/>
          <w:bCs w:val="0"/>
          <w:noProof w:val="0"/>
          <w:color w:val="auto"/>
          <w:sz w:val="32"/>
          <w:szCs w:val="32"/>
          <w:u w:val="none"/>
          <w:lang w:val="en-GB"/>
        </w:rPr>
        <w:t xml:space="preserve">• Reproduction – Where the child would perform the behaviour they have observed. This would be the child smoothly settling into their new routine. </w:t>
      </w:r>
    </w:p>
    <w:p w:rsidR="7D81FAFB" w:rsidP="7D81FAFB" w:rsidRDefault="7D81FAFB" w14:paraId="1A9B2C9A" w14:textId="4696C322">
      <w:pPr>
        <w:pStyle w:val="Normal"/>
        <w:jc w:val="both"/>
        <w:rPr>
          <w:rFonts w:ascii="Calibri" w:hAnsi="Calibri" w:eastAsia="Calibri" w:cs="Calibri"/>
          <w:noProof w:val="0"/>
          <w:color w:val="212121"/>
          <w:sz w:val="32"/>
          <w:szCs w:val="32"/>
          <w:lang w:val="en-GB"/>
        </w:rPr>
      </w:pPr>
      <w:r w:rsidRPr="7D81FAFB" w:rsidR="7D81FAFB">
        <w:rPr>
          <w:rFonts w:ascii="Calibri" w:hAnsi="Calibri" w:eastAsia="Calibri" w:cs="Calibri"/>
          <w:b w:val="0"/>
          <w:bCs w:val="0"/>
          <w:noProof w:val="0"/>
          <w:color w:val="auto"/>
          <w:sz w:val="32"/>
          <w:szCs w:val="32"/>
          <w:u w:val="none"/>
          <w:lang w:val="en-GB"/>
        </w:rPr>
        <w:t>• Motivation – For</w:t>
      </w:r>
      <w:r w:rsidRPr="7D81FAFB" w:rsidR="7D81FAFB">
        <w:rPr>
          <w:rFonts w:ascii="Calibri" w:hAnsi="Calibri" w:eastAsia="Calibri" w:cs="Calibri"/>
          <w:noProof w:val="0"/>
          <w:color w:val="212121"/>
          <w:sz w:val="32"/>
          <w:szCs w:val="32"/>
          <w:lang w:val="en-GB"/>
        </w:rPr>
        <w:t xml:space="preserve"> observational learning to be successful, the child would have to be motivated to imitate the behaviour they have observed. This could be achieved through the practitioner rewarding the child with a sticker, therefore motivating the child throughout the transition process. </w:t>
      </w:r>
    </w:p>
    <w:p w:rsidR="7D81FAFB" w:rsidP="7D81FAFB" w:rsidRDefault="7D81FAFB" w14:paraId="50DA9416" w14:textId="1885C00D">
      <w:pPr>
        <w:pStyle w:val="Normal"/>
        <w:jc w:val="both"/>
        <w:rPr>
          <w:rFonts w:ascii="Calibri" w:hAnsi="Calibri" w:eastAsia="Calibri" w:cs="Calibri"/>
          <w:noProof w:val="0"/>
          <w:color w:val="212121"/>
          <w:sz w:val="32"/>
          <w:szCs w:val="32"/>
          <w:lang w:val="en-GB"/>
        </w:rPr>
      </w:pPr>
    </w:p>
    <w:p w:rsidR="7D81FAFB" w:rsidP="7D81FAFB" w:rsidRDefault="7D81FAFB" w14:paraId="4F6BDE68" w14:textId="56247954">
      <w:pPr>
        <w:pStyle w:val="Normal"/>
        <w:jc w:val="both"/>
        <w:rPr>
          <w:rFonts w:ascii="Calibri" w:hAnsi="Calibri" w:eastAsia="Calibri" w:cs="Calibri"/>
          <w:noProof w:val="0"/>
          <w:color w:val="212121"/>
          <w:sz w:val="32"/>
          <w:szCs w:val="32"/>
          <w:lang w:val="en-GB"/>
        </w:rPr>
      </w:pPr>
      <w:r w:rsidRPr="7D81FAFB" w:rsidR="7D81FAFB">
        <w:rPr>
          <w:rFonts w:ascii="Calibri" w:hAnsi="Calibri" w:eastAsia="Calibri" w:cs="Calibri"/>
          <w:b w:val="1"/>
          <w:bCs w:val="1"/>
          <w:noProof w:val="0"/>
          <w:color w:val="212121"/>
          <w:sz w:val="40"/>
          <w:szCs w:val="40"/>
          <w:u w:val="single"/>
          <w:lang w:val="en-GB"/>
        </w:rPr>
        <w:t>Proposed outcomes</w:t>
      </w:r>
    </w:p>
    <w:p w:rsidR="7D81FAFB" w:rsidP="7D81FAFB" w:rsidRDefault="7D81FAFB" w14:paraId="63D2CFE0" w14:textId="23D8191E">
      <w:pPr>
        <w:pStyle w:val="Normal"/>
        <w:jc w:val="both"/>
        <w:rPr>
          <w:rFonts w:ascii="Calibri" w:hAnsi="Calibri" w:eastAsia="Calibri" w:cs="Calibri"/>
          <w:b w:val="0"/>
          <w:bCs w:val="0"/>
          <w:noProof w:val="0"/>
          <w:color w:val="212121"/>
          <w:sz w:val="32"/>
          <w:szCs w:val="32"/>
          <w:u w:val="none"/>
          <w:lang w:val="en-GB"/>
        </w:rPr>
      </w:pPr>
      <w:r w:rsidRPr="7D81FAFB" w:rsidR="7D81FAFB">
        <w:rPr>
          <w:rFonts w:ascii="Calibri" w:hAnsi="Calibri" w:eastAsia="Calibri" w:cs="Calibri"/>
          <w:b w:val="0"/>
          <w:bCs w:val="0"/>
          <w:noProof w:val="0"/>
          <w:color w:val="212121"/>
          <w:sz w:val="32"/>
          <w:szCs w:val="32"/>
          <w:u w:val="none"/>
          <w:lang w:val="en-GB"/>
        </w:rPr>
        <w:t xml:space="preserve">The proposed outcome for this guidance handbook is to ensure that both children and parents are both fully supported throughout all transition stages, to facilitate a smooth transition for the child whilst transitioning from nursery to reception or reception to year 1 and to ensure that the child has settled comfortably into their new class setting.   Every child is individual and unique, whilst developing at their own rates and all adapt differently to challenges and transitions. John Locke supports this by stating that the child’s mind is like a blank slate and that teaching should begin in the early years. He emphasises that a child’s learning should be enjoyable. A proposed outcome for this would be that the child is able to learn and develop through play, whilst having a strong connection with their key workers. These quality relationships between the child and the practitioner are particularly important not only for the child to feel settled, but allowing the key worker to use the “sustained shared thinking” process. Activities within this process reflect the child’s desire to develop and learn, resulting in the child continuing wanting to learn as they grow older. </w:t>
      </w:r>
    </w:p>
    <w:p w:rsidR="7D81FAFB" w:rsidP="7D81FAFB" w:rsidRDefault="7D81FAFB" w14:paraId="42771BBE" w14:textId="2C25AE03">
      <w:pPr>
        <w:pStyle w:val="Normal"/>
        <w:jc w:val="both"/>
        <w:rPr>
          <w:rFonts w:ascii="Calibri" w:hAnsi="Calibri" w:eastAsia="Calibri" w:cs="Calibri"/>
          <w:noProof w:val="0"/>
          <w:color w:val="212121"/>
          <w:sz w:val="32"/>
          <w:szCs w:val="32"/>
          <w:lang w:val="en-GB"/>
        </w:rPr>
      </w:pPr>
    </w:p>
    <w:p w:rsidR="7D81FAFB" w:rsidP="7D81FAFB" w:rsidRDefault="7D81FAFB" w14:paraId="70524967" w14:textId="1B0E1986">
      <w:pPr>
        <w:pStyle w:val="Normal"/>
        <w:jc w:val="both"/>
        <w:rPr>
          <w:rFonts w:ascii="Calibri" w:hAnsi="Calibri" w:eastAsia="Calibri" w:cs="Calibri"/>
          <w:b w:val="1"/>
          <w:bCs w:val="1"/>
          <w:noProof w:val="0"/>
          <w:color w:val="212121"/>
          <w:sz w:val="40"/>
          <w:szCs w:val="40"/>
          <w:u w:val="single"/>
          <w:lang w:val="en-GB"/>
        </w:rPr>
      </w:pPr>
      <w:r w:rsidRPr="7D81FAFB" w:rsidR="7D81FAFB">
        <w:rPr>
          <w:rFonts w:ascii="Calibri" w:hAnsi="Calibri" w:eastAsia="Calibri" w:cs="Calibri"/>
          <w:b w:val="1"/>
          <w:bCs w:val="1"/>
          <w:noProof w:val="0"/>
          <w:color w:val="212121"/>
          <w:sz w:val="40"/>
          <w:szCs w:val="40"/>
          <w:u w:val="single"/>
          <w:lang w:val="en-GB"/>
        </w:rPr>
        <w:t>Reference list</w:t>
      </w:r>
    </w:p>
    <w:p w:rsidR="7D81FAFB" w:rsidP="7D81FAFB" w:rsidRDefault="7D81FAFB" w14:paraId="3C864373" w14:textId="24E418D4">
      <w:pPr>
        <w:pStyle w:val="Normal"/>
        <w:jc w:val="left"/>
        <w:rPr>
          <w:rFonts w:ascii="Calibri" w:hAnsi="Calibri" w:eastAsia="Calibri" w:cs="Calibri" w:asciiTheme="minorAscii" w:hAnsiTheme="minorAscii" w:eastAsiaTheme="minorAscii" w:cstheme="minorAscii"/>
          <w:i w:val="0"/>
          <w:iCs w:val="0"/>
          <w:noProof w:val="0"/>
          <w:color w:val="000000" w:themeColor="text1" w:themeTint="FF" w:themeShade="FF"/>
          <w:sz w:val="32"/>
          <w:szCs w:val="32"/>
          <w:lang w:val="en-GB"/>
        </w:rPr>
      </w:pPr>
    </w:p>
    <w:p w:rsidR="7D81FAFB" w:rsidP="7D81FAFB" w:rsidRDefault="7D81FAFB" w14:paraId="48BED0FA" w14:textId="14511EBD">
      <w:pPr>
        <w:jc w:val="left"/>
      </w:pPr>
      <w:r w:rsidRPr="7D81FAFB" w:rsidR="7D81FAFB">
        <w:rPr>
          <w:rFonts w:ascii="Calibri" w:hAnsi="Calibri" w:eastAsia="Calibri" w:cs="Calibri" w:asciiTheme="minorAscii" w:hAnsiTheme="minorAscii" w:eastAsiaTheme="minorAscii" w:cstheme="minorAscii"/>
          <w:i w:val="0"/>
          <w:iCs w:val="0"/>
          <w:noProof w:val="0"/>
          <w:color w:val="000000" w:themeColor="text1" w:themeTint="FF" w:themeShade="FF"/>
          <w:sz w:val="32"/>
          <w:szCs w:val="32"/>
          <w:lang w:val="en-GB"/>
        </w:rPr>
        <w:t xml:space="preserve">Bronfenbrenner. </w:t>
      </w:r>
      <w:r w:rsidRPr="7D81FAFB" w:rsidR="7D81FAFB">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u w:val="none"/>
          <w:lang w:val="en-GB"/>
        </w:rPr>
        <w:t>M</w:t>
      </w:r>
      <w:r w:rsidRPr="7D81FAFB" w:rsidR="7D81FAFB">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u w:val="none"/>
          <w:lang w:val="en-GB"/>
        </w:rPr>
        <w:t>odel</w:t>
      </w:r>
      <w:r w:rsidRPr="7D81FAFB" w:rsidR="7D81FAFB">
        <w:rPr>
          <w:rFonts w:ascii="Calibri" w:hAnsi="Calibri" w:eastAsia="Calibri" w:cs="Calibri" w:asciiTheme="minorAscii" w:hAnsiTheme="minorAscii" w:eastAsiaTheme="minorAscii" w:cstheme="minorAscii"/>
          <w:i w:val="0"/>
          <w:iCs w:val="0"/>
          <w:noProof w:val="0"/>
          <w:color w:val="000000" w:themeColor="text1" w:themeTint="FF" w:themeShade="FF"/>
          <w:sz w:val="32"/>
          <w:szCs w:val="32"/>
          <w:lang w:val="en-GB"/>
        </w:rPr>
        <w:t xml:space="preserve"> </w:t>
      </w:r>
      <w:r w:rsidRPr="7D81FAFB" w:rsidR="7D81FAFB">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of human development.</w:t>
      </w:r>
      <w:r w:rsidRPr="7D81FAFB" w:rsidR="7D81FAFB">
        <w:rPr>
          <w:rFonts w:ascii="Times New Roman" w:hAnsi="Times New Roman" w:eastAsia="Times New Roman" w:cs="Times New Roman"/>
          <w:i w:val="1"/>
          <w:iCs w:val="1"/>
          <w:noProof w:val="0"/>
          <w:color w:val="000000" w:themeColor="text1" w:themeTint="FF" w:themeShade="FF"/>
          <w:sz w:val="30"/>
          <w:szCs w:val="30"/>
          <w:lang w:val="en-GB"/>
        </w:rPr>
        <w:t xml:space="preserve">  at:</w:t>
      </w:r>
      <w:hyperlink r:id="R95fbd1f825524707">
        <w:r w:rsidRPr="7D81FAFB" w:rsidR="7D81FAFB">
          <w:rPr>
            <w:rStyle w:val="Hyperlink"/>
            <w:rFonts w:ascii="Times New Roman" w:hAnsi="Times New Roman" w:eastAsia="Times New Roman" w:cs="Times New Roman"/>
            <w:noProof w:val="0"/>
            <w:sz w:val="30"/>
            <w:szCs w:val="30"/>
            <w:lang w:val="en-GB"/>
          </w:rPr>
          <w:t>http://experience.jumpfoundation.org/bronfenbrenner-biological-model-of-human-development/</w:t>
        </w:r>
      </w:hyperlink>
    </w:p>
    <w:p w:rsidR="7D81FAFB" w:rsidP="7D81FAFB" w:rsidRDefault="7D81FAFB" w14:paraId="13E7796D" w14:textId="2580D364">
      <w:pPr>
        <w:pStyle w:val="Normal"/>
        <w:jc w:val="both"/>
        <w:rPr>
          <w:rFonts w:ascii="Calibri" w:hAnsi="Calibri" w:eastAsia="Calibri" w:cs="Calibri"/>
          <w:b w:val="1"/>
          <w:bCs w:val="1"/>
          <w:noProof w:val="0"/>
          <w:color w:val="212121"/>
          <w:sz w:val="40"/>
          <w:szCs w:val="40"/>
          <w:u w:val="single"/>
          <w:lang w:val="en-GB"/>
        </w:rPr>
      </w:pPr>
    </w:p>
    <w:p w:rsidR="7D81FAFB" w:rsidP="7D81FAFB" w:rsidRDefault="7D81FAFB" w14:paraId="7489847C" w14:textId="2B5E6C18">
      <w:pPr>
        <w:pStyle w:val="Normal"/>
        <w:jc w:val="both"/>
        <w:rPr>
          <w:rFonts w:ascii="Calibri" w:hAnsi="Calibri" w:eastAsia="Calibri" w:cs="Calibri"/>
          <w:b w:val="1"/>
          <w:bCs w:val="1"/>
          <w:noProof w:val="0"/>
          <w:color w:val="212121"/>
          <w:sz w:val="40"/>
          <w:szCs w:val="40"/>
          <w:u w:val="single"/>
          <w:lang w:val="en-GB"/>
        </w:rPr>
      </w:pPr>
      <w:r w:rsidRPr="7D81FAFB" w:rsidR="7D81FAFB">
        <w:rPr>
          <w:rFonts w:ascii="Calibri" w:hAnsi="Calibri" w:eastAsia="Calibri" w:cs="Calibri"/>
          <w:b w:val="0"/>
          <w:bCs w:val="0"/>
          <w:noProof w:val="0"/>
          <w:color w:val="212121"/>
          <w:sz w:val="32"/>
          <w:szCs w:val="32"/>
          <w:u w:val="none"/>
          <w:lang w:val="en-GB"/>
        </w:rPr>
        <w:t xml:space="preserve">Discover Wildlife: </w:t>
      </w:r>
      <w:r w:rsidRPr="7D81FAFB" w:rsidR="7D81FAFB">
        <w:rPr>
          <w:rFonts w:ascii="Calibri" w:hAnsi="Calibri" w:eastAsia="Calibri" w:cs="Calibri"/>
          <w:b w:val="0"/>
          <w:bCs w:val="0"/>
          <w:i w:val="1"/>
          <w:iCs w:val="1"/>
          <w:noProof w:val="0"/>
          <w:color w:val="212121"/>
          <w:sz w:val="32"/>
          <w:szCs w:val="32"/>
          <w:u w:val="none"/>
          <w:lang w:val="en-GB"/>
        </w:rPr>
        <w:t xml:space="preserve">How does a caterpillar turn into a butterfly </w:t>
      </w:r>
    </w:p>
    <w:p w:rsidR="7D81FAFB" w:rsidP="7D81FAFB" w:rsidRDefault="7D81FAFB" w14:paraId="3FA53D1B" w14:textId="255892E0">
      <w:pPr>
        <w:pStyle w:val="Normal"/>
        <w:jc w:val="both"/>
        <w:rPr>
          <w:b w:val="0"/>
          <w:bCs w:val="0"/>
          <w:sz w:val="32"/>
          <w:szCs w:val="32"/>
        </w:rPr>
      </w:pPr>
      <w:hyperlink r:id="Ra38268c030db45e2">
        <w:r w:rsidRPr="7D81FAFB" w:rsidR="7D81FAFB">
          <w:rPr>
            <w:rStyle w:val="Hyperlink"/>
            <w:rFonts w:ascii="Calibri" w:hAnsi="Calibri" w:eastAsia="Calibri" w:cs="Calibri"/>
            <w:b w:val="0"/>
            <w:bCs w:val="0"/>
            <w:noProof w:val="0"/>
            <w:sz w:val="32"/>
            <w:szCs w:val="32"/>
            <w:lang w:val="en-GB"/>
          </w:rPr>
          <w:t>https://www.discoverwildlife.com/animal-facts/insects-invertebrates/how-does-a-caterpillar-turn-into-a-butterfly/</w:t>
        </w:r>
      </w:hyperlink>
    </w:p>
    <w:p w:rsidR="7D81FAFB" w:rsidP="7D81FAFB" w:rsidRDefault="7D81FAFB" w14:paraId="5CFE71A3" w14:textId="08A02CDD">
      <w:pPr>
        <w:pStyle w:val="Normal"/>
        <w:jc w:val="both"/>
        <w:rPr>
          <w:rFonts w:ascii="Calibri" w:hAnsi="Calibri" w:eastAsia="Calibri" w:cs="Calibri"/>
          <w:b w:val="1"/>
          <w:bCs w:val="1"/>
          <w:noProof w:val="0"/>
          <w:color w:val="212121"/>
          <w:sz w:val="40"/>
          <w:szCs w:val="40"/>
          <w:u w:val="single"/>
          <w:lang w:val="en-GB"/>
        </w:rPr>
      </w:pPr>
    </w:p>
    <w:p w:rsidR="7D81FAFB" w:rsidP="7D81FAFB" w:rsidRDefault="7D81FAFB" w14:paraId="2D9438B0" w14:textId="5BF1B48F">
      <w:pPr>
        <w:jc w:val="left"/>
      </w:pPr>
      <w:r w:rsidRPr="7D81FAFB" w:rsidR="7D81FAFB">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t>Early years matters (2018)</w:t>
      </w:r>
      <w:r w:rsidRPr="7D81FAFB" w:rsidR="7D81FAFB">
        <w:rPr>
          <w:rFonts w:ascii="Times New Roman" w:hAnsi="Times New Roman" w:eastAsia="Times New Roman" w:cs="Times New Roman"/>
          <w:noProof w:val="0"/>
          <w:color w:val="000000" w:themeColor="text1" w:themeTint="FF" w:themeShade="FF"/>
          <w:sz w:val="30"/>
          <w:szCs w:val="30"/>
          <w:lang w:val="en-GB"/>
        </w:rPr>
        <w:t xml:space="preserve">  </w:t>
      </w:r>
      <w:hyperlink r:id="R72d922523c784f95">
        <w:r w:rsidRPr="7D81FAFB" w:rsidR="7D81FAFB">
          <w:rPr>
            <w:rStyle w:val="Hyperlink"/>
            <w:rFonts w:ascii="Times New Roman" w:hAnsi="Times New Roman" w:eastAsia="Times New Roman" w:cs="Times New Roman"/>
            <w:noProof w:val="0"/>
            <w:sz w:val="30"/>
            <w:szCs w:val="30"/>
            <w:lang w:val="en-GB"/>
          </w:rPr>
          <w:t>http://earlyyeasmatters.co.uk/index.php/transitions/</w:t>
        </w:r>
      </w:hyperlink>
    </w:p>
    <w:p w:rsidR="7D81FAFB" w:rsidP="7D81FAFB" w:rsidRDefault="7D81FAFB" w14:paraId="70DC4DE2" w14:textId="48F82504">
      <w:pPr>
        <w:pStyle w:val="Normal"/>
        <w:jc w:val="both"/>
        <w:rPr>
          <w:rFonts w:ascii="Calibri" w:hAnsi="Calibri" w:eastAsia="Calibri" w:cs="Calibri"/>
          <w:b w:val="1"/>
          <w:bCs w:val="1"/>
          <w:noProof w:val="0"/>
          <w:color w:val="212121"/>
          <w:sz w:val="40"/>
          <w:szCs w:val="40"/>
          <w:u w:val="single"/>
          <w:lang w:val="en-GB"/>
        </w:rPr>
      </w:pPr>
    </w:p>
    <w:p w:rsidR="7D81FAFB" w:rsidP="7D81FAFB" w:rsidRDefault="7D81FAFB" w14:paraId="3E9A4878" w14:textId="185EFDB3">
      <w:pPr>
        <w:jc w:val="left"/>
      </w:pPr>
      <w:r w:rsidRPr="7D81FAFB" w:rsidR="7D81FAFB">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t xml:space="preserve">Early years matters (2018) </w:t>
      </w:r>
      <w:r w:rsidRPr="7D81FAFB" w:rsidR="7D81FAFB">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Positive Relationships.</w:t>
      </w:r>
      <w:r w:rsidRPr="7D81FAFB" w:rsidR="7D81FAFB">
        <w:rPr>
          <w:rFonts w:ascii="Times New Roman" w:hAnsi="Times New Roman" w:eastAsia="Times New Roman" w:cs="Times New Roman"/>
          <w:i w:val="1"/>
          <w:iCs w:val="1"/>
          <w:noProof w:val="0"/>
          <w:color w:val="000000" w:themeColor="text1" w:themeTint="FF" w:themeShade="FF"/>
          <w:sz w:val="30"/>
          <w:szCs w:val="30"/>
          <w:lang w:val="en-GB"/>
        </w:rPr>
        <w:t xml:space="preserve"> </w:t>
      </w:r>
      <w:r w:rsidRPr="7D81FAFB" w:rsidR="7D81FAFB">
        <w:rPr>
          <w:rFonts w:ascii="Times New Roman" w:hAnsi="Times New Roman" w:eastAsia="Times New Roman" w:cs="Times New Roman"/>
          <w:noProof w:val="0"/>
          <w:color w:val="000000" w:themeColor="text1" w:themeTint="FF" w:themeShade="FF"/>
          <w:sz w:val="30"/>
          <w:szCs w:val="30"/>
          <w:lang w:val="en-GB"/>
        </w:rPr>
        <w:t xml:space="preserve"> </w:t>
      </w:r>
      <w:hyperlink r:id="Re27197d6f3724198">
        <w:r w:rsidRPr="7D81FAFB" w:rsidR="7D81FAFB">
          <w:rPr>
            <w:rStyle w:val="Hyperlink"/>
            <w:rFonts w:ascii="Times New Roman" w:hAnsi="Times New Roman" w:eastAsia="Times New Roman" w:cs="Times New Roman"/>
            <w:noProof w:val="0"/>
            <w:sz w:val="30"/>
            <w:szCs w:val="30"/>
            <w:lang w:val="en-GB"/>
          </w:rPr>
          <w:t>http://www.earlyyearsmatters.co.uk/eyfs/positive-relationships/transitions/</w:t>
        </w:r>
      </w:hyperlink>
    </w:p>
    <w:p w:rsidR="7D81FAFB" w:rsidP="7D81FAFB" w:rsidRDefault="7D81FAFB" w14:paraId="6CFD112C" w14:textId="26D912ED">
      <w:pPr>
        <w:pStyle w:val="Normal"/>
        <w:jc w:val="both"/>
        <w:rPr>
          <w:rFonts w:ascii="Calibri" w:hAnsi="Calibri" w:eastAsia="Calibri" w:cs="Calibri"/>
          <w:b w:val="1"/>
          <w:bCs w:val="1"/>
          <w:noProof w:val="0"/>
          <w:color w:val="212121"/>
          <w:sz w:val="40"/>
          <w:szCs w:val="40"/>
          <w:u w:val="single"/>
          <w:lang w:val="en-GB"/>
        </w:rPr>
      </w:pPr>
    </w:p>
    <w:p w:rsidR="7D81FAFB" w:rsidP="7D81FAFB" w:rsidRDefault="7D81FAFB" w14:paraId="1EF09352" w14:textId="49D2BA20">
      <w:pPr>
        <w:jc w:val="left"/>
      </w:pPr>
      <w:r w:rsidRPr="7D81FAFB" w:rsidR="7D81FAFB">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t xml:space="preserve">Early years matters (2018) </w:t>
      </w:r>
      <w:r w:rsidRPr="7D81FAFB" w:rsidR="7D81FAFB">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Transitions.</w:t>
      </w:r>
      <w:r w:rsidRPr="7D81FAFB" w:rsidR="7D81FAFB">
        <w:rPr>
          <w:rFonts w:ascii="Times New Roman" w:hAnsi="Times New Roman" w:eastAsia="Times New Roman" w:cs="Times New Roman"/>
          <w:noProof w:val="0"/>
          <w:color w:val="000000" w:themeColor="text1" w:themeTint="FF" w:themeShade="FF"/>
          <w:sz w:val="30"/>
          <w:szCs w:val="30"/>
          <w:lang w:val="en-GB"/>
        </w:rPr>
        <w:t xml:space="preserve">  </w:t>
      </w:r>
      <w:hyperlink r:id="Rd482b02a67534e16">
        <w:r w:rsidRPr="7D81FAFB" w:rsidR="7D81FAFB">
          <w:rPr>
            <w:rStyle w:val="Hyperlink"/>
            <w:rFonts w:ascii="Times New Roman" w:hAnsi="Times New Roman" w:eastAsia="Times New Roman" w:cs="Times New Roman"/>
            <w:noProof w:val="0"/>
            <w:sz w:val="30"/>
            <w:szCs w:val="30"/>
            <w:lang w:val="en-GB"/>
          </w:rPr>
          <w:t>https://www.teachearlyyears.com/a-unique-child/view/supporting-transitions-in-the-early-years/</w:t>
        </w:r>
      </w:hyperlink>
      <w:r w:rsidRPr="7D81FAFB" w:rsidR="7D81FAFB">
        <w:rPr>
          <w:rFonts w:ascii="Times New Roman" w:hAnsi="Times New Roman" w:eastAsia="Times New Roman" w:cs="Times New Roman"/>
          <w:noProof w:val="0"/>
          <w:color w:val="000000" w:themeColor="text1" w:themeTint="FF" w:themeShade="FF"/>
          <w:sz w:val="30"/>
          <w:szCs w:val="30"/>
          <w:lang w:val="en-GB"/>
        </w:rPr>
        <w:t xml:space="preserve"> (Accessed:25/11/2018).</w:t>
      </w:r>
    </w:p>
    <w:p w:rsidR="7D81FAFB" w:rsidP="7D81FAFB" w:rsidRDefault="7D81FAFB" w14:paraId="443B8FDC" w14:textId="32908B6A">
      <w:pPr>
        <w:pStyle w:val="Normal"/>
        <w:jc w:val="both"/>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pPr>
    </w:p>
    <w:p w:rsidR="7D81FAFB" w:rsidP="7D81FAFB" w:rsidRDefault="7D81FAFB" w14:paraId="79F37BB7" w14:textId="3AC3B18E">
      <w:pPr>
        <w:pStyle w:val="Normal"/>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r w:rsidRPr="7D81FAFB" w:rsidR="7D81FAFB">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t>Maslow’s hierarchy of needs (image)</w:t>
      </w:r>
    </w:p>
    <w:p w:rsidR="7D81FAFB" w:rsidP="7D81FAFB" w:rsidRDefault="7D81FAFB" w14:paraId="0D0B4FC1" w14:textId="44E72449">
      <w:pPr>
        <w:pStyle w:val="Normal"/>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hyperlink r:id="Rc519a608bf7a45f5">
        <w:r w:rsidRPr="7D81FAFB" w:rsidR="7D81FAFB">
          <w:rPr>
            <w:rStyle w:val="Hyperlink"/>
            <w:rFonts w:ascii="Calibri" w:hAnsi="Calibri" w:eastAsia="Calibri" w:cs="Calibri" w:asciiTheme="minorAscii" w:hAnsiTheme="minorAscii" w:eastAsiaTheme="minorAscii" w:cstheme="minorAscii"/>
            <w:noProof w:val="0"/>
            <w:sz w:val="32"/>
            <w:szCs w:val="32"/>
            <w:lang w:val="en-GB"/>
          </w:rPr>
          <w:t>https://www.quora.com/What-is-Abraham-Maslows-hierarchy-of-needs</w:t>
        </w:r>
      </w:hyperlink>
      <w:r w:rsidRPr="7D81FAFB" w:rsidR="7D81FAFB">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t xml:space="preserve"> </w:t>
      </w:r>
    </w:p>
    <w:p w:rsidR="7D81FAFB" w:rsidP="7D81FAFB" w:rsidRDefault="7D81FAFB" w14:paraId="14897FE2" w14:textId="5B7A32AF">
      <w:pPr>
        <w:pStyle w:val="Normal"/>
        <w:jc w:val="left"/>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pPr>
    </w:p>
    <w:p w:rsidR="7D81FAFB" w:rsidP="7D81FAFB" w:rsidRDefault="7D81FAFB" w14:paraId="25164B53" w14:textId="400C48E1">
      <w:pPr>
        <w:pStyle w:val="Normal"/>
        <w:jc w:val="left"/>
        <w:rPr>
          <w:rFonts w:ascii="Calibri" w:hAnsi="Calibri" w:eastAsia="Calibri" w:cs="Calibri"/>
          <w:noProof w:val="0"/>
          <w:color w:val="121212"/>
          <w:sz w:val="32"/>
          <w:szCs w:val="32"/>
          <w:lang w:val="en-GB"/>
        </w:rPr>
      </w:pPr>
      <w:r w:rsidRPr="7D81FAFB" w:rsidR="7D81FAFB">
        <w:rPr>
          <w:rFonts w:ascii="Calibri" w:hAnsi="Calibri" w:eastAsia="Calibri" w:cs="Calibri"/>
          <w:noProof w:val="0"/>
          <w:color w:val="121212"/>
          <w:sz w:val="32"/>
          <w:szCs w:val="32"/>
          <w:lang w:val="en-GB"/>
        </w:rPr>
        <w:t xml:space="preserve">McLeod, S. A. (2016, February 05). </w:t>
      </w:r>
      <w:r w:rsidRPr="7D81FAFB" w:rsidR="7D81FAFB">
        <w:rPr>
          <w:rFonts w:ascii="Calibri" w:hAnsi="Calibri" w:eastAsia="Calibri" w:cs="Calibri"/>
          <w:i w:val="1"/>
          <w:iCs w:val="1"/>
          <w:noProof w:val="0"/>
          <w:color w:val="121212"/>
          <w:sz w:val="32"/>
          <w:szCs w:val="32"/>
          <w:lang w:val="en-GB"/>
        </w:rPr>
        <w:t>Bandura - social learning theory</w:t>
      </w:r>
      <w:r w:rsidRPr="7D81FAFB" w:rsidR="7D81FAFB">
        <w:rPr>
          <w:rFonts w:ascii="Calibri" w:hAnsi="Calibri" w:eastAsia="Calibri" w:cs="Calibri"/>
          <w:noProof w:val="0"/>
          <w:color w:val="121212"/>
          <w:sz w:val="32"/>
          <w:szCs w:val="32"/>
          <w:lang w:val="en-GB"/>
        </w:rPr>
        <w:t>. Simply Psychology.</w:t>
      </w:r>
    </w:p>
    <w:p w:rsidR="7D81FAFB" w:rsidP="7D81FAFB" w:rsidRDefault="7D81FAFB" w14:paraId="4176AC75" w14:textId="43F7ABBA">
      <w:pPr>
        <w:pStyle w:val="Normal"/>
        <w:jc w:val="left"/>
        <w:rPr>
          <w:rFonts w:ascii="Calibri" w:hAnsi="Calibri" w:eastAsia="Calibri" w:cs="Calibri"/>
          <w:noProof w:val="0"/>
          <w:color w:val="121212"/>
          <w:sz w:val="32"/>
          <w:szCs w:val="32"/>
          <w:lang w:val="en-GB"/>
        </w:rPr>
      </w:pPr>
      <w:hyperlink r:id="Rd7d2b073f5ca41c4">
        <w:r w:rsidRPr="7D81FAFB" w:rsidR="7D81FAFB">
          <w:rPr>
            <w:rStyle w:val="Hyperlink"/>
            <w:rFonts w:ascii="Calibri" w:hAnsi="Calibri" w:eastAsia="Calibri" w:cs="Calibri"/>
            <w:noProof w:val="0"/>
            <w:sz w:val="32"/>
            <w:szCs w:val="32"/>
            <w:lang w:val="en-GB"/>
          </w:rPr>
          <w:t>https://www.simplypsychology.org/bandura.html</w:t>
        </w:r>
      </w:hyperlink>
    </w:p>
    <w:p w:rsidR="7D81FAFB" w:rsidP="7D81FAFB" w:rsidRDefault="7D81FAFB" w14:paraId="4CFC9BD2" w14:textId="0E14A094">
      <w:pPr>
        <w:pStyle w:val="Normal"/>
        <w:jc w:val="left"/>
        <w:rPr>
          <w:rFonts w:ascii="Calibri" w:hAnsi="Calibri" w:eastAsia="Calibri" w:cs="Calibri"/>
          <w:noProof w:val="0"/>
          <w:color w:val="121212"/>
          <w:sz w:val="32"/>
          <w:szCs w:val="32"/>
          <w:lang w:val="en-GB"/>
        </w:rPr>
      </w:pPr>
    </w:p>
    <w:p w:rsidR="7D81FAFB" w:rsidP="7D81FAFB" w:rsidRDefault="7D81FAFB" w14:paraId="4A178F50" w14:textId="18FB0F83">
      <w:pPr>
        <w:pStyle w:val="Normal"/>
        <w:jc w:val="left"/>
        <w:rPr>
          <w:rFonts w:ascii="Calibri" w:hAnsi="Calibri" w:eastAsia="Calibri" w:cs="Calibri" w:asciiTheme="minorAscii" w:hAnsiTheme="minorAscii" w:eastAsiaTheme="minorAscii" w:cstheme="minorAscii"/>
          <w:i w:val="1"/>
          <w:iCs w:val="1"/>
          <w:noProof w:val="0"/>
          <w:color w:val="000000" w:themeColor="text1" w:themeTint="FF" w:themeShade="FF"/>
          <w:sz w:val="30"/>
          <w:szCs w:val="30"/>
          <w:lang w:val="en-GB"/>
        </w:rPr>
      </w:pPr>
      <w:r w:rsidRPr="7D81FAFB" w:rsidR="7D81FAFB">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Nursery World. (2018) </w:t>
      </w:r>
      <w:r w:rsidRPr="7D81FAFB" w:rsidR="7D81FAFB">
        <w:rPr>
          <w:rFonts w:ascii="Calibri" w:hAnsi="Calibri" w:eastAsia="Calibri" w:cs="Calibri" w:asciiTheme="minorAscii" w:hAnsiTheme="minorAscii" w:eastAsiaTheme="minorAscii" w:cstheme="minorAscii"/>
          <w:i w:val="1"/>
          <w:iCs w:val="1"/>
          <w:noProof w:val="0"/>
          <w:color w:val="000000" w:themeColor="text1" w:themeTint="FF" w:themeShade="FF"/>
          <w:sz w:val="30"/>
          <w:szCs w:val="30"/>
          <w:lang w:val="en-GB"/>
        </w:rPr>
        <w:t>Supporting transitions: Effective partnerships between families, carers and practitioners</w:t>
      </w:r>
    </w:p>
    <w:p w:rsidR="7D81FAFB" w:rsidP="7D81FAFB" w:rsidRDefault="7D81FAFB" w14:paraId="16EC21A0" w14:textId="0AA266FE">
      <w:pPr>
        <w:pStyle w:val="Normal"/>
        <w:jc w:val="both"/>
        <w:rPr>
          <w:rFonts w:ascii="Times New Roman" w:hAnsi="Times New Roman" w:eastAsia="Times New Roman" w:cs="Times New Roman"/>
          <w:i w:val="1"/>
          <w:iCs w:val="1"/>
          <w:noProof w:val="0"/>
          <w:color w:val="000000" w:themeColor="text1" w:themeTint="FF" w:themeShade="FF"/>
          <w:sz w:val="30"/>
          <w:szCs w:val="30"/>
          <w:lang w:val="en-GB"/>
        </w:rPr>
      </w:pPr>
      <w:hyperlink r:id="R692e027bf53e405b">
        <w:r w:rsidRPr="7D81FAFB" w:rsidR="7D81FAFB">
          <w:rPr>
            <w:rStyle w:val="Hyperlink"/>
            <w:rFonts w:ascii="Times New Roman" w:hAnsi="Times New Roman" w:eastAsia="Times New Roman" w:cs="Times New Roman"/>
            <w:i w:val="1"/>
            <w:iCs w:val="1"/>
            <w:noProof w:val="0"/>
            <w:sz w:val="30"/>
            <w:szCs w:val="30"/>
            <w:lang w:val="en-GB"/>
          </w:rPr>
          <w:t>https://www.nurseryworld.co.uk/knowledge-bank/article/supporting-transitions-effective-partnership-working-between-families-carers-and-practitioners</w:t>
        </w:r>
      </w:hyperlink>
      <w:r w:rsidRPr="7D81FAFB" w:rsidR="7D81FAFB">
        <w:rPr>
          <w:rFonts w:ascii="Times New Roman" w:hAnsi="Times New Roman" w:eastAsia="Times New Roman" w:cs="Times New Roman"/>
          <w:i w:val="1"/>
          <w:iCs w:val="1"/>
          <w:noProof w:val="0"/>
          <w:color w:val="000000" w:themeColor="text1" w:themeTint="FF" w:themeShade="FF"/>
          <w:sz w:val="30"/>
          <w:szCs w:val="30"/>
          <w:lang w:val="en-GB"/>
        </w:rPr>
        <w:t xml:space="preserve"> </w:t>
      </w:r>
    </w:p>
    <w:p w:rsidR="7D81FAFB" w:rsidP="7D81FAFB" w:rsidRDefault="7D81FAFB" w14:paraId="46FAC943" w14:textId="3604CC36">
      <w:pPr>
        <w:pStyle w:val="Normal"/>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p>
    <w:p w:rsidR="7D81FAFB" w:rsidP="7D81FAFB" w:rsidRDefault="7D81FAFB" w14:paraId="05CC5413" w14:textId="360E833F">
      <w:pPr>
        <w:pStyle w:val="Normal"/>
        <w:jc w:val="both"/>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pPr>
      <w:r w:rsidRPr="7D81FAFB" w:rsidR="7D81FAFB">
        <w:rPr>
          <w:rFonts w:ascii="Calibri" w:hAnsi="Calibri" w:eastAsia="Calibri" w:cs="Calibri" w:asciiTheme="minorAscii" w:hAnsiTheme="minorAscii" w:eastAsiaTheme="minorAscii" w:cstheme="minorAscii"/>
          <w:i w:val="0"/>
          <w:iCs w:val="0"/>
          <w:noProof w:val="0"/>
          <w:color w:val="000000" w:themeColor="text1" w:themeTint="FF" w:themeShade="FF"/>
          <w:sz w:val="32"/>
          <w:szCs w:val="32"/>
          <w:lang w:val="en-GB"/>
        </w:rPr>
        <w:t xml:space="preserve">Open University. (2017) </w:t>
      </w:r>
      <w:r w:rsidRPr="7D81FAFB" w:rsidR="7D81FAFB">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Childrens transitions</w:t>
      </w:r>
    </w:p>
    <w:p w:rsidR="7D81FAFB" w:rsidP="7D81FAFB" w:rsidRDefault="7D81FAFB" w14:paraId="0A9B241B" w14:textId="5C5CEE33">
      <w:pPr>
        <w:pStyle w:val="Normal"/>
        <w:jc w:val="both"/>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pPr>
      <w:hyperlink r:id="Rf60a38317b2a476f">
        <w:r w:rsidRPr="7D81FAFB" w:rsidR="7D81FAFB">
          <w:rPr>
            <w:rStyle w:val="Hyperlink"/>
            <w:rFonts w:ascii="Calibri" w:hAnsi="Calibri" w:eastAsia="Calibri" w:cs="Calibri" w:asciiTheme="minorAscii" w:hAnsiTheme="minorAscii" w:eastAsiaTheme="minorAscii" w:cstheme="minorAscii"/>
            <w:i w:val="1"/>
            <w:iCs w:val="1"/>
            <w:noProof w:val="0"/>
            <w:sz w:val="32"/>
            <w:szCs w:val="32"/>
            <w:lang w:val="en-GB"/>
          </w:rPr>
          <w:t>https://www.open.edu/openlearncreate/mod/oucontent/view.php?id=79794&amp;section=3</w:t>
        </w:r>
      </w:hyperlink>
    </w:p>
    <w:p w:rsidR="7D81FAFB" w:rsidP="7D81FAFB" w:rsidRDefault="7D81FAFB" w14:paraId="0F8DB0C6" w14:textId="68A5FE9E">
      <w:pPr>
        <w:pStyle w:val="Normal"/>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p>
    <w:p w:rsidR="7D81FAFB" w:rsidP="7D81FAFB" w:rsidRDefault="7D81FAFB" w14:paraId="149FFE79" w14:textId="60D581A8">
      <w:pPr>
        <w:pStyle w:val="Normal"/>
        <w:jc w:val="both"/>
        <w:rPr>
          <w:rFonts w:ascii="Times New Roman" w:hAnsi="Times New Roman" w:eastAsia="Times New Roman" w:cs="Times New Roman"/>
          <w:noProof w:val="0"/>
          <w:color w:val="000000" w:themeColor="text1" w:themeTint="FF" w:themeShade="FF"/>
          <w:sz w:val="30"/>
          <w:szCs w:val="30"/>
          <w:lang w:val="en-GB"/>
        </w:rPr>
      </w:pPr>
      <w:r w:rsidRPr="7D81FAFB" w:rsidR="7D81FAFB">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t xml:space="preserve">Oxford Brookes University. (2020) </w:t>
      </w:r>
      <w:r w:rsidRPr="7D81FAFB" w:rsidR="7D81FAFB">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 xml:space="preserve">The key person approach </w:t>
      </w:r>
    </w:p>
    <w:p w:rsidR="7D81FAFB" w:rsidP="7D81FAFB" w:rsidRDefault="7D81FAFB" w14:paraId="73A504E1" w14:textId="3E90A225">
      <w:pPr>
        <w:pStyle w:val="Normal"/>
        <w:jc w:val="both"/>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pPr>
      <w:hyperlink r:id="Rff031bcb2dca4917">
        <w:r w:rsidRPr="7D81FAFB" w:rsidR="7D81FAFB">
          <w:rPr>
            <w:rStyle w:val="Hyperlink"/>
            <w:rFonts w:ascii="Calibri" w:hAnsi="Calibri" w:eastAsia="Calibri" w:cs="Calibri" w:asciiTheme="minorAscii" w:hAnsiTheme="minorAscii" w:eastAsiaTheme="minorAscii" w:cstheme="minorAscii"/>
            <w:i w:val="1"/>
            <w:iCs w:val="1"/>
            <w:noProof w:val="0"/>
            <w:sz w:val="32"/>
            <w:szCs w:val="32"/>
            <w:lang w:val="en-GB"/>
          </w:rPr>
          <w:t>https://www.brookes.ac.uk/nursery/policies/the-keyperson-approach/</w:t>
        </w:r>
      </w:hyperlink>
    </w:p>
    <w:p w:rsidR="7D81FAFB" w:rsidP="7D81FAFB" w:rsidRDefault="7D81FAFB" w14:paraId="261CD837" w14:textId="731C3F8A">
      <w:pPr>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p>
    <w:p w:rsidR="7D81FAFB" w:rsidP="7D81FAFB" w:rsidRDefault="7D81FAFB" w14:paraId="7B4A2811" w14:textId="61F6AB1E">
      <w:pPr>
        <w:jc w:val="both"/>
      </w:pPr>
      <w:r w:rsidRPr="7D81FAFB" w:rsidR="7D81FAFB">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t xml:space="preserve">Pacey.org (2018) </w:t>
      </w:r>
      <w:r w:rsidRPr="7D81FAFB" w:rsidR="7D81FAFB">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Partnership with parents.</w:t>
      </w:r>
      <w:r w:rsidRPr="7D81FAFB" w:rsidR="7D81FAFB">
        <w:rPr>
          <w:rFonts w:ascii="Times New Roman" w:hAnsi="Times New Roman" w:eastAsia="Times New Roman" w:cs="Times New Roman"/>
          <w:i w:val="1"/>
          <w:iCs w:val="1"/>
          <w:noProof w:val="0"/>
          <w:color w:val="000000" w:themeColor="text1" w:themeTint="FF" w:themeShade="FF"/>
          <w:sz w:val="30"/>
          <w:szCs w:val="30"/>
          <w:lang w:val="en-GB"/>
        </w:rPr>
        <w:t xml:space="preserve"> </w:t>
      </w:r>
    </w:p>
    <w:p w:rsidR="7D81FAFB" w:rsidP="7D81FAFB" w:rsidRDefault="7D81FAFB" w14:paraId="338B2DD4" w14:textId="4892B74F">
      <w:pPr>
        <w:jc w:val="both"/>
      </w:pPr>
      <w:r w:rsidRPr="7D81FAFB" w:rsidR="7D81FAFB">
        <w:rPr>
          <w:rFonts w:ascii="Times New Roman" w:hAnsi="Times New Roman" w:eastAsia="Times New Roman" w:cs="Times New Roman"/>
          <w:i w:val="1"/>
          <w:iCs w:val="1"/>
          <w:noProof w:val="0"/>
          <w:color w:val="000000" w:themeColor="text1" w:themeTint="FF" w:themeShade="FF"/>
          <w:sz w:val="30"/>
          <w:szCs w:val="30"/>
          <w:lang w:val="en-GB"/>
        </w:rPr>
        <w:t xml:space="preserve"> </w:t>
      </w:r>
      <w:hyperlink r:id="R1e672ae261d649ee">
        <w:r w:rsidRPr="7D81FAFB" w:rsidR="7D81FAFB">
          <w:rPr>
            <w:rStyle w:val="Hyperlink"/>
            <w:rFonts w:ascii="Times New Roman" w:hAnsi="Times New Roman" w:eastAsia="Times New Roman" w:cs="Times New Roman"/>
            <w:noProof w:val="0"/>
            <w:sz w:val="30"/>
            <w:szCs w:val="30"/>
            <w:lang w:val="en-GB"/>
          </w:rPr>
          <w:t>https://www.pacey.org.uk/working-in-childcare/spotlight-on/partnerships-with-parents/</w:t>
        </w:r>
      </w:hyperlink>
    </w:p>
    <w:p w:rsidR="7D81FAFB" w:rsidP="7D81FAFB" w:rsidRDefault="7D81FAFB" w14:paraId="0642C481" w14:textId="781BC6C8">
      <w:pPr>
        <w:pStyle w:val="Normal"/>
        <w:jc w:val="both"/>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pPr>
    </w:p>
    <w:p w:rsidR="7D81FAFB" w:rsidP="7D81FAFB" w:rsidRDefault="7D81FAFB" w14:paraId="390384A8" w14:textId="3DA1044B">
      <w:pPr>
        <w:pStyle w:val="Normal"/>
        <w:jc w:val="both"/>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pPr>
      <w:r w:rsidRPr="7D81FAFB" w:rsidR="7D81FAFB">
        <w:rPr>
          <w:rFonts w:ascii="Calibri" w:hAnsi="Calibri" w:eastAsia="Calibri" w:cs="Calibri" w:asciiTheme="minorAscii" w:hAnsiTheme="minorAscii" w:eastAsiaTheme="minorAscii" w:cstheme="minorAscii"/>
          <w:i w:val="0"/>
          <w:iCs w:val="0"/>
          <w:noProof w:val="0"/>
          <w:color w:val="000000" w:themeColor="text1" w:themeTint="FF" w:themeShade="FF"/>
          <w:sz w:val="32"/>
          <w:szCs w:val="32"/>
          <w:lang w:val="en-GB"/>
        </w:rPr>
        <w:t xml:space="preserve">Pinterest. (2016) </w:t>
      </w:r>
      <w:r w:rsidRPr="7D81FAFB" w:rsidR="7D81FAFB">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Bronfenbrenner model of human development</w:t>
      </w:r>
    </w:p>
    <w:p w:rsidR="7D81FAFB" w:rsidP="7D81FAFB" w:rsidRDefault="7D81FAFB" w14:paraId="1B84E9B6" w14:textId="67EEA40E">
      <w:pPr>
        <w:pStyle w:val="Normal"/>
        <w:jc w:val="both"/>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pPr>
      <w:hyperlink r:id="Rba24ee9eac654dc9">
        <w:r w:rsidRPr="7D81FAFB" w:rsidR="7D81FAFB">
          <w:rPr>
            <w:rStyle w:val="Hyperlink"/>
            <w:rFonts w:ascii="Calibri" w:hAnsi="Calibri" w:eastAsia="Calibri" w:cs="Calibri" w:asciiTheme="minorAscii" w:hAnsiTheme="minorAscii" w:eastAsiaTheme="minorAscii" w:cstheme="minorAscii"/>
            <w:i w:val="1"/>
            <w:iCs w:val="1"/>
            <w:noProof w:val="0"/>
            <w:sz w:val="32"/>
            <w:szCs w:val="32"/>
            <w:lang w:val="en-GB"/>
          </w:rPr>
          <w:t>https://www.pinterest.co.uk/pin/304063412319600898/</w:t>
        </w:r>
      </w:hyperlink>
    </w:p>
    <w:p w:rsidR="7D81FAFB" w:rsidP="7D81FAFB" w:rsidRDefault="7D81FAFB" w14:paraId="14392A04" w14:textId="1F298D41">
      <w:pPr>
        <w:pStyle w:val="Normal"/>
        <w:jc w:val="both"/>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pPr>
    </w:p>
    <w:p w:rsidR="7D81FAFB" w:rsidP="7D81FAFB" w:rsidRDefault="7D81FAFB" w14:paraId="229DE5C7" w14:textId="04857420">
      <w:pPr>
        <w:pStyle w:val="Normal"/>
        <w:jc w:val="both"/>
        <w:rPr>
          <w:rFonts w:ascii="Calibri" w:hAnsi="Calibri" w:eastAsia="Calibri" w:cs="Calibri" w:asciiTheme="minorAscii" w:hAnsiTheme="minorAscii" w:eastAsiaTheme="minorAscii" w:cstheme="minorAscii"/>
          <w:i w:val="0"/>
          <w:iCs w:val="0"/>
          <w:noProof w:val="0"/>
          <w:color w:val="000000" w:themeColor="text1" w:themeTint="FF" w:themeShade="FF"/>
          <w:sz w:val="32"/>
          <w:szCs w:val="32"/>
          <w:lang w:val="en-GB"/>
        </w:rPr>
      </w:pPr>
      <w:proofErr w:type="spellStart"/>
      <w:r w:rsidRPr="7D81FAFB" w:rsidR="7D81FAFB">
        <w:rPr>
          <w:rFonts w:ascii="Calibri" w:hAnsi="Calibri" w:eastAsia="Calibri" w:cs="Calibri" w:asciiTheme="minorAscii" w:hAnsiTheme="minorAscii" w:eastAsiaTheme="minorAscii" w:cstheme="minorAscii"/>
          <w:i w:val="0"/>
          <w:iCs w:val="0"/>
          <w:noProof w:val="0"/>
          <w:color w:val="000000" w:themeColor="text1" w:themeTint="FF" w:themeShade="FF"/>
          <w:sz w:val="32"/>
          <w:szCs w:val="32"/>
          <w:lang w:val="en-GB"/>
        </w:rPr>
        <w:t>VeryWellMind</w:t>
      </w:r>
      <w:proofErr w:type="spellEnd"/>
      <w:r w:rsidRPr="7D81FAFB" w:rsidR="7D81FAFB">
        <w:rPr>
          <w:rFonts w:ascii="Calibri" w:hAnsi="Calibri" w:eastAsia="Calibri" w:cs="Calibri" w:asciiTheme="minorAscii" w:hAnsiTheme="minorAscii" w:eastAsiaTheme="minorAscii" w:cstheme="minorAscii"/>
          <w:i w:val="0"/>
          <w:iCs w:val="0"/>
          <w:noProof w:val="0"/>
          <w:color w:val="000000" w:themeColor="text1" w:themeTint="FF" w:themeShade="FF"/>
          <w:sz w:val="32"/>
          <w:szCs w:val="32"/>
          <w:lang w:val="en-GB"/>
        </w:rPr>
        <w:t xml:space="preserve">. </w:t>
      </w:r>
      <w:r w:rsidRPr="7D81FAFB" w:rsidR="7D81FAFB">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How</w:t>
      </w:r>
      <w:r w:rsidRPr="7D81FAFB" w:rsidR="7D81FAFB">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 xml:space="preserve"> social learning theories work</w:t>
      </w:r>
    </w:p>
    <w:p w:rsidR="7D81FAFB" w:rsidP="7D81FAFB" w:rsidRDefault="7D81FAFB" w14:paraId="4EF5F8D0" w14:textId="683D83CD">
      <w:pPr>
        <w:pStyle w:val="Normal"/>
        <w:jc w:val="both"/>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pPr>
      <w:hyperlink r:id="R69f0292cde52435d">
        <w:r w:rsidRPr="7D81FAFB" w:rsidR="7D81FAFB">
          <w:rPr>
            <w:rStyle w:val="Hyperlink"/>
            <w:rFonts w:ascii="Calibri" w:hAnsi="Calibri" w:eastAsia="Calibri" w:cs="Calibri" w:asciiTheme="minorAscii" w:hAnsiTheme="minorAscii" w:eastAsiaTheme="minorAscii" w:cstheme="minorAscii"/>
            <w:i w:val="1"/>
            <w:iCs w:val="1"/>
            <w:noProof w:val="0"/>
            <w:sz w:val="32"/>
            <w:szCs w:val="32"/>
            <w:lang w:val="en-GB"/>
          </w:rPr>
          <w:t>https://www.verywellmind.com/social-learning-theory-2795074</w:t>
        </w:r>
      </w:hyperlink>
    </w:p>
    <w:p w:rsidR="7D81FAFB" w:rsidP="7D81FAFB" w:rsidRDefault="7D81FAFB" w14:paraId="52E993E1" w14:textId="63EECAF4">
      <w:pPr>
        <w:pStyle w:val="Normal"/>
        <w:jc w:val="both"/>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pPr>
      <w:r w:rsidRPr="7D81FAFB" w:rsidR="7D81FAFB">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 xml:space="preserve"> </w:t>
      </w:r>
    </w:p>
    <w:p w:rsidR="7D81FAFB" w:rsidP="7D81FAFB" w:rsidRDefault="7D81FAFB" w14:paraId="5F64A212" w14:textId="27D8004F">
      <w:pPr>
        <w:jc w:val="both"/>
      </w:pPr>
      <w:r>
        <w:br/>
      </w:r>
    </w:p>
    <w:p w:rsidR="7D81FAFB" w:rsidP="7D81FAFB" w:rsidRDefault="7D81FAFB" w14:paraId="2CE30584" w14:textId="0266B19E">
      <w:pPr>
        <w:pStyle w:val="Normal"/>
        <w:jc w:val="both"/>
        <w:rPr>
          <w:rFonts w:ascii="Calibri" w:hAnsi="Calibri" w:eastAsia="Calibri" w:cs="Calibri"/>
          <w:b w:val="1"/>
          <w:bCs w:val="1"/>
          <w:noProof w:val="0"/>
          <w:color w:val="212121"/>
          <w:sz w:val="40"/>
          <w:szCs w:val="40"/>
          <w:u w:val="single"/>
          <w:lang w:val="en-GB"/>
        </w:rPr>
      </w:pPr>
    </w:p>
    <w:p w:rsidR="7D81FAFB" w:rsidP="7D81FAFB" w:rsidRDefault="7D81FAFB" w14:paraId="3A19F7C8" w14:textId="587391E9">
      <w:pPr>
        <w:pStyle w:val="Normal"/>
        <w:jc w:val="both"/>
        <w:rPr>
          <w:rFonts w:ascii="Calibri" w:hAnsi="Calibri" w:eastAsia="Calibri" w:cs="Calibri"/>
          <w:noProof w:val="0"/>
          <w:color w:val="auto"/>
          <w:sz w:val="32"/>
          <w:szCs w:val="32"/>
          <w:lang w:val="en-GB"/>
        </w:rPr>
      </w:pPr>
    </w:p>
    <w:p w:rsidR="7D81FAFB" w:rsidP="7D81FAFB" w:rsidRDefault="7D81FAFB" w14:paraId="60C8C51C" w14:textId="7074BE82">
      <w:pPr>
        <w:pStyle w:val="Normal"/>
        <w:jc w:val="both"/>
        <w:rPr>
          <w:rFonts w:ascii="Calibri" w:hAnsi="Calibri" w:eastAsia="Calibri" w:cs="Calibri"/>
          <w:noProof w:val="0"/>
          <w:color w:val="auto"/>
          <w:sz w:val="32"/>
          <w:szCs w:val="32"/>
          <w:lang w:val="en-GB"/>
        </w:rPr>
      </w:pPr>
    </w:p>
    <w:p w:rsidR="7D81FAFB" w:rsidP="7D81FAFB" w:rsidRDefault="7D81FAFB" w14:paraId="0ABDBA3F" w14:textId="76B6F982">
      <w:pPr>
        <w:jc w:val="left"/>
      </w:pPr>
    </w:p>
    <w:p w:rsidR="7D81FAFB" w:rsidP="7D81FAFB" w:rsidRDefault="7D81FAFB" w14:paraId="1B2A4BDA" w14:textId="21369CAF">
      <w:pPr>
        <w:pStyle w:val="Normal"/>
        <w:jc w:val="left"/>
        <w:rPr>
          <w:rFonts w:ascii="Arial" w:hAnsi="Arial" w:eastAsia="Arial" w:cs="Arial"/>
          <w:noProof w:val="0"/>
          <w:color w:val="394753"/>
          <w:sz w:val="21"/>
          <w:szCs w:val="21"/>
          <w:lang w:val="en-GB"/>
        </w:rPr>
      </w:pPr>
    </w:p>
    <w:sectPr>
      <w:pgSz w:w="11906" w:h="16838" w:orient="portrait"/>
      <w:pgMar w:top="1440" w:right="1440" w:bottom="1440" w:left="1440" w:header="720" w:footer="720" w:gutter="0"/>
      <w:cols w:space="720"/>
      <w:docGrid w:linePitch="360"/>
      <w:headerReference w:type="default" r:id="Ra4c5af80f662474f"/>
      <w:footerReference w:type="default" r:id="Rebe6a4b0a6f64a9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81FAFB" w:rsidTr="7D81FAFB" w14:paraId="7037435A">
      <w:tc>
        <w:tcPr>
          <w:tcW w:w="3005" w:type="dxa"/>
          <w:tcMar/>
        </w:tcPr>
        <w:p w:rsidR="7D81FAFB" w:rsidP="7D81FAFB" w:rsidRDefault="7D81FAFB" w14:paraId="5401034A" w14:textId="3DFACD30">
          <w:pPr>
            <w:pStyle w:val="Header"/>
            <w:bidi w:val="0"/>
            <w:ind w:left="-115"/>
            <w:jc w:val="left"/>
          </w:pPr>
        </w:p>
      </w:tc>
      <w:tc>
        <w:tcPr>
          <w:tcW w:w="3005" w:type="dxa"/>
          <w:tcMar/>
        </w:tcPr>
        <w:p w:rsidR="7D81FAFB" w:rsidP="7D81FAFB" w:rsidRDefault="7D81FAFB" w14:paraId="19B9FD8B" w14:textId="2DA33ACE">
          <w:pPr>
            <w:pStyle w:val="Header"/>
            <w:bidi w:val="0"/>
            <w:jc w:val="center"/>
          </w:pPr>
          <w:r w:rsidR="7D81FAFB">
            <w:rPr/>
            <w:t>1</w:t>
          </w:r>
        </w:p>
      </w:tc>
      <w:tc>
        <w:tcPr>
          <w:tcW w:w="3005" w:type="dxa"/>
          <w:tcMar/>
        </w:tcPr>
        <w:p w:rsidR="7D81FAFB" w:rsidP="7D81FAFB" w:rsidRDefault="7D81FAFB" w14:paraId="1C51BDEA" w14:textId="0FB93C9B">
          <w:pPr>
            <w:pStyle w:val="Header"/>
            <w:bidi w:val="0"/>
            <w:ind w:right="-115"/>
            <w:jc w:val="right"/>
          </w:pPr>
        </w:p>
      </w:tc>
    </w:tr>
  </w:tbl>
  <w:p w:rsidR="7D81FAFB" w:rsidP="7D81FAFB" w:rsidRDefault="7D81FAFB" w14:paraId="33ABECFF" w14:textId="3B2E371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81FAFB" w:rsidTr="7D81FAFB" w14:paraId="37596BAE">
      <w:tc>
        <w:tcPr>
          <w:tcW w:w="3005" w:type="dxa"/>
          <w:tcMar/>
        </w:tcPr>
        <w:p w:rsidR="7D81FAFB" w:rsidP="7D81FAFB" w:rsidRDefault="7D81FAFB" w14:paraId="3326A323" w14:textId="44460A5E">
          <w:pPr>
            <w:pStyle w:val="Header"/>
            <w:bidi w:val="0"/>
            <w:ind w:left="-115"/>
            <w:jc w:val="left"/>
          </w:pPr>
        </w:p>
      </w:tc>
      <w:tc>
        <w:tcPr>
          <w:tcW w:w="3005" w:type="dxa"/>
          <w:tcMar/>
        </w:tcPr>
        <w:p w:rsidR="7D81FAFB" w:rsidP="7D81FAFB" w:rsidRDefault="7D81FAFB" w14:paraId="579A1D91" w14:textId="260B6027">
          <w:pPr>
            <w:pStyle w:val="Header"/>
            <w:bidi w:val="0"/>
            <w:jc w:val="center"/>
          </w:pPr>
          <w:r>
            <w:fldChar w:fldCharType="begin"/>
          </w:r>
          <w:r>
            <w:instrText xml:space="preserve">PAGE</w:instrText>
          </w:r>
          <w:r>
            <w:fldChar w:fldCharType="separate"/>
          </w:r>
          <w:r>
            <w:fldChar w:fldCharType="end"/>
          </w:r>
        </w:p>
      </w:tc>
      <w:tc>
        <w:tcPr>
          <w:tcW w:w="3005" w:type="dxa"/>
          <w:tcMar/>
        </w:tcPr>
        <w:p w:rsidR="7D81FAFB" w:rsidP="7D81FAFB" w:rsidRDefault="7D81FAFB" w14:paraId="47EA70AC" w14:textId="2B0F58D5">
          <w:pPr>
            <w:pStyle w:val="Header"/>
            <w:bidi w:val="0"/>
            <w:ind w:right="-115"/>
            <w:jc w:val="right"/>
          </w:pPr>
        </w:p>
      </w:tc>
    </w:tr>
  </w:tbl>
  <w:p w:rsidR="7D81FAFB" w:rsidP="7D81FAFB" w:rsidRDefault="7D81FAFB" w14:paraId="0B54135F" w14:textId="1FD038B9">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D77F857"/>
  <w15:docId w15:val="{349628e9-7719-4500-ac72-adfaabe90da0}"/>
  <w:rsids>
    <w:rsidRoot w:val="1D77F857"/>
    <w:rsid w:val="1D77F857"/>
    <w:rsid w:val="7D81FAF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c05aa8f43f284575" /><Relationship Type="http://schemas.openxmlformats.org/officeDocument/2006/relationships/image" Target="/media/image2.png" Id="R68df94b43ed64755" /><Relationship Type="http://schemas.openxmlformats.org/officeDocument/2006/relationships/image" Target="/media/image3.png" Id="R9985972110ad47b7" /><Relationship Type="http://schemas.openxmlformats.org/officeDocument/2006/relationships/hyperlink" Target="https://www.verywellmind.com/behavioral-psychology-4157183" TargetMode="External" Id="Rccf969f8a72e42e1" /><Relationship Type="http://schemas.openxmlformats.org/officeDocument/2006/relationships/hyperlink" Target="https://www.verywellmind.com/what-is-memory-2795006" TargetMode="External" Id="Rb861d7a6695448e9" /><Relationship Type="http://schemas.openxmlformats.org/officeDocument/2006/relationships/hyperlink" Target="http://experience.jumpfoundation.org/bronfenbrenner-biological-model-of-human-development/" TargetMode="External" Id="R95fbd1f825524707" /><Relationship Type="http://schemas.openxmlformats.org/officeDocument/2006/relationships/hyperlink" Target="https://www.discoverwildlife.com/animal-facts/insects-invertebrates/how-does-a-caterpillar-turn-into-a-butterfly/" TargetMode="External" Id="Ra38268c030db45e2" /><Relationship Type="http://schemas.openxmlformats.org/officeDocument/2006/relationships/hyperlink" Target="http://earlyyeasmatters.co.uk/index.php/transitions/" TargetMode="External" Id="R72d922523c784f95" /><Relationship Type="http://schemas.openxmlformats.org/officeDocument/2006/relationships/hyperlink" Target="http://www.earlyyearsmatters.co.uk/eyfs/positive-relationships/transitions/" TargetMode="External" Id="Re27197d6f3724198" /><Relationship Type="http://schemas.openxmlformats.org/officeDocument/2006/relationships/hyperlink" Target="https://www.teachearlyyears.com/a-unique-child/view/supporting-transitions-in-the-early-years/" TargetMode="External" Id="Rd482b02a67534e16" /><Relationship Type="http://schemas.openxmlformats.org/officeDocument/2006/relationships/hyperlink" Target="https://www.quora.com/What-is-Abraham-Maslows-hierarchy-of-needs" TargetMode="External" Id="Rc519a608bf7a45f5" /><Relationship Type="http://schemas.openxmlformats.org/officeDocument/2006/relationships/hyperlink" Target="https://www.simplypsychology.org/bandura.html" TargetMode="External" Id="Rd7d2b073f5ca41c4" /><Relationship Type="http://schemas.openxmlformats.org/officeDocument/2006/relationships/hyperlink" Target="https://www.nurseryworld.co.uk/knowledge-bank/article/supporting-transitions-effective-partnership-working-between-families-carers-and-practitioners" TargetMode="External" Id="R692e027bf53e405b" /><Relationship Type="http://schemas.openxmlformats.org/officeDocument/2006/relationships/hyperlink" Target="https://www.open.edu/openlearncreate/mod/oucontent/view.php?id=79794&amp;section=3" TargetMode="External" Id="Rf60a38317b2a476f" /><Relationship Type="http://schemas.openxmlformats.org/officeDocument/2006/relationships/hyperlink" Target="https://www.brookes.ac.uk/nursery/policies/the-keyperson-approach/" TargetMode="External" Id="Rff031bcb2dca4917" /><Relationship Type="http://schemas.openxmlformats.org/officeDocument/2006/relationships/hyperlink" Target="https://www.pacey.org.uk/working-in-childcare/spotlight-on/partnerships-with-parents/" TargetMode="External" Id="R1e672ae261d649ee" /><Relationship Type="http://schemas.openxmlformats.org/officeDocument/2006/relationships/hyperlink" Target="https://www.pinterest.co.uk/pin/304063412319600898/" TargetMode="External" Id="Rba24ee9eac654dc9" /><Relationship Type="http://schemas.openxmlformats.org/officeDocument/2006/relationships/hyperlink" Target="https://www.verywellmind.com/social-learning-theory-2795074" TargetMode="External" Id="R69f0292cde52435d" /><Relationship Type="http://schemas.openxmlformats.org/officeDocument/2006/relationships/header" Target="/word/header.xml" Id="Ra4c5af80f662474f" /><Relationship Type="http://schemas.openxmlformats.org/officeDocument/2006/relationships/footer" Target="/word/footer.xml" Id="Rebe6a4b0a6f64a95" /><Relationship Type="http://schemas.openxmlformats.org/officeDocument/2006/relationships/numbering" Target="/word/numbering.xml" Id="R8eb7b5f3a1184bf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Guest User</lastModifiedBy>
  <revision>2</revision>
  <dcterms:created xsi:type="dcterms:W3CDTF">2020-11-23T13:05:05.0598736Z</dcterms:created>
  <dcterms:modified xsi:type="dcterms:W3CDTF">2020-11-27T22:04:07.9191449Z</dcterms:modified>
</coreProperties>
</file>