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TextBody"/>
        <w:spacing w:lineRule="auto" w:line="480" w:before="240" w:after="240"/>
        <w:jc w:val="center"/>
        <w:rPr>
          <w:rFonts w:ascii="Times New Roman" w:hAnsi="Times New Roman" w:cs="Times New Roman"/>
          <w:sz w:val="24"/>
          <w:szCs w:val="24"/>
        </w:rPr>
      </w:pPr>
      <w:r>
        <w:rPr>
          <w:rFonts w:cs="Times New Roman" w:ascii="Times New Roman" w:hAnsi="Times New Roman"/>
          <w:b w:val="false"/>
          <w:i w:val="false"/>
          <w:caps w:val="false"/>
          <w:smallCaps w:val="false"/>
          <w:color w:val="000000"/>
          <w:spacing w:val="0"/>
          <w:sz w:val="24"/>
          <w:szCs w:val="24"/>
        </w:rPr>
        <w:t>Student Number 1908330</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Programme BA (HONS) Leadership and Management Skills for the Workplace</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 xml:space="preserve">Module – Understanding and Engaging in the Customer Experience </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Module code- BMSW5103</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Module intern verifier – Md Kalam</w:t>
      </w:r>
    </w:p>
    <w:p>
      <w:pPr>
        <w:pStyle w:val="TextBody"/>
        <w:widowControl/>
        <w:ind w:left="0" w:right="0" w:hanging="0"/>
        <w:rPr>
          <w:rFonts w:ascii="Times New Roman" w:hAnsi="Times New Roman" w:cs="Times New Roman"/>
          <w:sz w:val="24"/>
          <w:szCs w:val="24"/>
        </w:rPr>
      </w:pPr>
      <w:r>
        <w:rPr>
          <w:rFonts w:cs="Times New Roman" w:ascii="Times New Roman" w:hAnsi="Times New Roman"/>
          <w:b w:val="false"/>
          <w:i w:val="false"/>
          <w:caps w:val="false"/>
          <w:smallCaps w:val="false"/>
          <w:color w:val="000000"/>
          <w:spacing w:val="0"/>
          <w:sz w:val="28"/>
          <w:szCs w:val="24"/>
        </w:rPr>
        <w:t>Lecture – Nishi Ramsurrun</w:t>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bookmarkStart w:id="0" w:name="_GoBack"/>
      <w:bookmarkEnd w:id="0"/>
      <w:r>
        <w:rPr>
          <w:rFonts w:cs="Times New Roman" w:ascii="Times New Roman" w:hAnsi="Times New Roman"/>
          <w:sz w:val="24"/>
          <w:szCs w:val="24"/>
        </w:rPr>
        <w:t>Executive</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 xml:space="preserve">The coronavirus epidemic has wreaked havoc on the sector financial system and worldwide commerce. Several motives are exacerbating the extent of uncertainty that businesses and purchasers face. To point out some, they consist of a fall in family income, constraints on pass-border tour, changes in patron demand, and the evolving experiences of marketplace members. As a result of the COVID-19 pandemic lockdown and social distancing measures implemented global, clients at Marks &amp; Spencer were more willing to make purchases. As a effect of the quarantine period, the company environment saw dramatic adjustments. As a result of the economic disaster, internet commerce has stepped forward hastily. Globally, a new breed of digitally-savvy purchasers has developed, one this is greater discriminating and beset with the aid of financial woes. </w:t>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Introduction</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B2B manufacturers and dealers were compelled to decrease production and marketing fee and understand new providers regionally and the world over. Due to income losses, confined transportation options, and pandemic mitigation efforts. Companies within the united states of america have been given a hazard to develop their product lines to compete with imports and offer resources to different institutions and subsidiaries of international organizations. There end up a lower in buying electricity and go-border mobility within the B2C marketplaces. In addition, clients have altered their recognition on fitness and safety while although favoring low-price services and products. Products that enhance a domestic's feeling of warmth and luxury garnered more interest than they usually may. Overall, clients postponed some of their needs because of the uncertainty and unpredictability of the state of affairs. Marks &amp; Spencer diagnosed that every the monetary and patron industries had to accelerate digitization and make it less difficult for customers to understand and buy products.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Marks &amp; Spencer's sales skyrocketed due to the epidemic. As physical store visits had been confined and many human beings have been strapped for cash, customers became to Marks &amp; Spencer, which improved Marks &amp; Spencer income. Even earlier than the epidemic, clients have been largely privy to their food picks. COVID-19 more desirable this trend through decreasing the significance of precise buying categories, which include stories; this changed into a result of this.</w:t>
      </w:r>
    </w:p>
    <w:p>
      <w:pPr>
        <w:pStyle w:val="Normal"/>
        <w:spacing w:lineRule="auto" w:line="480"/>
        <w:jc w:val="center"/>
        <w:rPr>
          <w:rFonts w:ascii="Times New Roman" w:hAnsi="Times New Roman" w:cs="Times New Roman"/>
          <w:sz w:val="24"/>
          <w:szCs w:val="24"/>
        </w:rPr>
      </w:pPr>
      <w:r>
        <w:rPr>
          <w:rFonts w:cs="Times New Roman" w:ascii="Times New Roman" w:hAnsi="Times New Roman"/>
          <w:sz w:val="24"/>
          <w:szCs w:val="24"/>
        </w:rPr>
        <w:t>Customer Relationship Management</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Since the COVID-19 epidemic has converted many humans's lives and reasons, their purchasing behavior have also shifted. Customer courting management changes are the point of interest of the contemporary-day research. Our research emerge as capable of find out the priorities of Marks and Spencer customers throughout sectors by way of analyzing the effect of the pandemic on e-alternate. A multi-stage look at observed the maximum vital components impacting Marks &amp; Spencer clients' shopping revel in as the epidemic progressed. The complex indicator of the Marks &amp; Spencer patron enjoy activation was explored the usage of qualitative analysis. It have become also appeared into what course the ones shifts had been taking in light of the epidemic.</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By setting the advised technique of rating Marks &amp; Spencer clients' shopping experiences to the take a look at, this studies hopes to assist find out the recurring issues and conduct of Marks &amp; Spencer customers. Because of this, it may be utilized each on the nation level and via individual agencies while designing an e-trade strategy.</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numerous studies, Marks &amp; Spencer clients' attitudes approximately e-services are inspired via motivation, environment, political issues, accessibility, and communique. Other studies have centered on client receive as actual with and how it affects the shopping revel in at Marks &amp; Spencer. Long-term client-supplier relationships are pushed especially thru accept as true with.</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Many elements, each authentic and subjective, have a function within the consumer's experience. The pandemic changed into best one example of this. Many human beings's attitudes approximately health have been altered by way of the upward push of COVID-19 instances and associated implications (consisting of quarantine, isolation, social distance, and community confinement).</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People in lockdown have been much more likely to reserve Marks &amp; Spencer. As a result, they decreased their discretionary spending, have become pickier approximately what they bought, and began favoring nearby corporations. For instance, satellite broadband and video conferencing apps have improved in popularity.</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Abid &amp; Jie (2021, n.P), in the course of the shutdown, the food and beverage business saw a surge in income of Marks &amp; Spencer. When many Marks &amp; Spencer clients pronounced a drop in profits, it is comprehensible that decrease-priced items had been extra popular. Earlier, a consumer's basket featured numerous products and services. Still, for the duration of the pandemic, the emphasis become on essentials consisting of medication, antiseptics, disinfectants, and transport services, among different things. The shopping behavior of people for the duration of the Christmas season have changed appreciably. This year's Christmas buying finances turned into much less than in previous years, and many people (of all ages) used contactless payment systems. In addition to rate, availability, and comfort, a brand new element has entered the equation: cleanliness. During the epidemic, income of medical components, children's merchandise, athletic items, and enjoyment items witnessed considerable will increase. Planned purchases outpaced spontaneous purchases. Rethinking company techniques and considering a brand new procurement method to preserve and attract new purchasers changed into advocated by streamlining the buying experience during the epidemic.</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Wanasida et al. (2021, 900), both the COVID-19 outbreak and government constraints shaped customer relationship management. Customers of all generations were more willing to purchase products and services online during the COVID-19 crisis. E-commerce purchases accounted for a large portion of total retail sales. In addition, people are shopping more often. Increased awareness of M&amp;S shopping, more active M&amp;S product launches, lower costs owing to mass buying, etc., are some of the factors driving the customer experience during the COVID-19 pandemic for Marks &amp; Spencer. Marks &amp; Spencer is projected to benefit from the COVID-19 epidemic, social withdrawal, and home shopping. Marks &amp; Spencer, on the other hand, might be impacted by challenges with the supply chain and uncertain customer demand. Additionally, the COVID-19 pandemic is causing a decline in casual shopping and supply chain disruption and increased purchasing of necessary hygiene and disinfection items, food, and other products by major retailers (Guthrie, Fosso-Wamba &amp; Arnaud, 2021, p.61).</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Marketing research on this discipline have additionally advanced due to the modifications in consumer revel in added on by way of COVID-19. Marks &amp; Spencer is doing more and more studies on consumer revel in (Online questionnaires, call center surveys, and attention agencies conducted via video conferencing or smartphone conversations). M&amp;S had to expand a brand new manner of enticing with customers to preserve pace with the converting market. Despite the unpredictability of the state of affairs, the prevailing changes can't be taken into consideration essentially new. Real-time patron revel in analysis, the mixture of Marks &amp; Spencer and offline channels, automation, flexibility, and a focus on community values had been cited. Scientists had been more interested by these sports due to the outbreak. M&amp;S analytics play an an increasing number of essential function inside the modern-day environment, where the complete quarantine is mirrored inside the user enjoy. Companies can not put together for the destiny in the event that they do not know what has changed. Generally speaking, this holds for each advertising and marketing and sales. Marks &amp; Spencer optimistically use, the new research, methodologies, and technology found out in the course of the epidemic, which has opened up a new region for controlling the purchaser revel in.</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With the upward thrust of digital abilities, businesses need to discover wherein they can construct believe with their customers. The pandemic has superior every of these tendencies dramatically. In the long term, the pandemic's cumulative have an impact on on patron experience has massive effects for enterprise, in accordance to analyze. To justify their pricing practices, agencies can now not factor to variables that not have a advantage and are now not vital to customers within the new reality.</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The COVID-19-prompted monetary crisis has spurred business digitization. Restrictions on quarantine emphasised the essential benefits of e-commerce, consisting of contactless buying, higher rate, and mobility. Globally, nationally, and regionally, corporations now have an aspect in identifying and recruiting new customers because of the good sized use of social media and virtual advertising. While doing so, they made it possible to seriously lessen operational charges by using eliminating the want to buy assets or recruit a massive wide variety of team of workers. Convenience and safety are at the leading edge of current e-commerce traits. The COVID-19 pandemic has led to digitalization and reshaping of purchasing behaviors. Marks &amp; Spencer's significant exchange has stimulated all e-commerce subsectors in humans's purchasing reviews. The travel zone took the brunt of the brunt. There become a forty three.7 percent drop in site visitors for journey service companies, whilst different sectors saw a smaller decline. There turned into a 13.2 percentage decline in traffic for media corporations and a ten.Three percentage drop inside the apparel sector. There become extra full-size visitors for earrings and watch traders, luxury products stores, and domestic goods, outlets. These corporations noticed their traffic losses lower by eight.2 percentage, 3.2%, and 3.1%, respectively. However, visits to Supermarkets' websites elevated by way of 34.4%. Additionally, Internet customers have shown an increased preference for sports activities equipment (up 23.6 percentage), retail gadgets (up 7 percent), beauty products (up three.7 percentage), and economic offerings (up 1.8 percent).</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(Tran, 2021, p.58), Marks &amp; Spencer transactions elevated extensively in January 2021. Marks &amp; Spencer's on line customers come to be greater confident in their purchases and greater interested in buying wonderful objects at a reduced price. On the alternative hand, buyers favored Marks &amp; Spencer stores that offered various products. The number of transactions in supermarkets and stores multiplied by seventy three.4 percent and 49.9 percentage. Product categories such as domestic items (28.7%), rings and watches (26.Four%), and sports activities goods (26.2%) also saw increase. Marks &amp; Spencer’s income of travel services, garb, and luxury objects have all fallen by means of 33, 5, 2, and 2 percent, respectively, over the past 12 months at the organisation. E-trade clients and different Internet customers needed a secure and flexible price device to address cross-foreign money transactions.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An alteration in Consumer Awareness and Experience and Introversion considerably altered M&amp;S in June 2020, while the pandemic become in full swing (propensity to buy a specific product). There become a right away correlation between the parameters indexed above.</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There become a good sized increase inside the loading of Consumer Awareness and Experience in August 2020 and the loading of promptness in choice-making. During the second one spherical of the study, the hyperlink between on line purchase revel in and introversion became less pronounced. Online shopping revel in and adaptability had strong correlations with balance, but that they had no significant loadings due to their low loadings. Consumer Awareness and Experience are at once related to introversion. Adaptability is at once linked to decision-making velocity. Even whilst Introversion had a much less impact on the purchase experience of Marks &amp; Spencer customers than in June, its connection to different variables became stronger.</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Xayrullaevna (2020, p.2492), in October 2020, when the second pandemic wave hits, Marks &amp; Spencer's purchase experience will be highly connected with all the parameters evaluated. Consumer Awareness Experience and Promptness in Decision Making were shown to have the strongest correlations. During this period, the speed of decision-making was the most crucial difference in the online shopping experience. While customer awareness and experience were critical in the third observation period, they were not the only factors. Both the first and second polls found this to be an essential factor. It's also worth noting that the strength of the link between the variables under investigation seems to be expanding. This showed that they had a more significant impact on driving up Marks &amp; Spencer sales during the epidemic.</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In December of 2020, a new poll was done, and the results mirrored those from the previous three. However, Consumer Awareness and Experience loading increased significantly. Promptness in Decision Making was also associated with a positive online shopping experience. Overall, the contributing elements were more strongly linked than in earlier studies. The two exceptions were consistent online purchase experience and Introversion and Constancy of online purchasing experience. There was little correlation between these two characteristics. During the epidemic, Marks &amp; Spencer customers were forced to make quick decisions and quit avoiding e-commerce because of the company's lockdown. The majority of shoppers who took part in the poll said that their shopping experience at Marks &amp; Spencer had improved due to their previous experience.</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Consequently, we can rule out the first hypothesis based on the data collected throughout the COVID-19 pandemic period. For Marks &amp; Spencer customers, the most critical aspect determining their shopping experience has changed from Introversion to Consumer Awareness and Experience in the second half of 2020. Since the epidemic proved that Marks &amp; Spencer customers' experience and speed of decision-making become reliant on their experience and speed, the second hypothesis is accepted. The importance of Promptness in Decision Making expanded as Marks &amp; Spencer consumers' experience developed, and they became more engaged and speedier while making purchases.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These economic findings may be used to establish a comprehensive plan for the growth of e-commerce at the corporate and governmental levels. Based on these findings, it's possible to rethink marketing strategies and employ new communication channels with customers and relevant Marks &amp; Spencer marketing tools to sell items. A rise in customer activity at Marks &amp; Spencer increased Marks &amp; Spencer’s sales cash flow. According to this study, e-commerce representatives can adapt the management mechanism of their customers' experience and optimize marketing costs by considering their regular customers' experiences, potential customers' opportunities, and the unique characteristics of their experience transformation. The research findings show that Marks &amp; Spencer customers' priorities changed throughout the epidemic regarding the social environment. According to the findings, many individuals have turned to Marks &amp; Spencer as a go-to place for their everyday shopping needs since the pandemic.</w:t>
      </w:r>
    </w:p>
    <w:tbl>
      <w:tblPr>
        <w:tblStyle w:val="TableGrid"/>
        <w:tblW w:w="10466" w:type="dxa"/>
        <w:jc w:val="left"/>
        <w:tblInd w:w="0" w:type="dxa"/>
        <w:tblLayout w:type="fixed"/>
        <w:tblCellMar>
          <w:top w:w="84" w:type="dxa"/>
          <w:left w:w="0" w:type="dxa"/>
          <w:bottom w:w="0" w:type="dxa"/>
          <w:right w:w="115" w:type="dxa"/>
        </w:tblCellMar>
        <w:tblLook w:firstRow="1" w:noVBand="1" w:lastRow="0" w:firstColumn="1" w:lastColumn="0" w:noHBand="0" w:val="04a0"/>
      </w:tblPr>
      <w:tblGrid>
        <w:gridCol w:w="1085"/>
        <w:gridCol w:w="477"/>
        <w:gridCol w:w="319"/>
        <w:gridCol w:w="736"/>
        <w:gridCol w:w="7"/>
        <w:gridCol w:w="149"/>
        <w:gridCol w:w="379"/>
        <w:gridCol w:w="422"/>
        <w:gridCol w:w="589"/>
        <w:gridCol w:w="211"/>
        <w:gridCol w:w="400"/>
        <w:gridCol w:w="313"/>
        <w:gridCol w:w="90"/>
        <w:gridCol w:w="291"/>
        <w:gridCol w:w="515"/>
        <w:gridCol w:w="244"/>
        <w:gridCol w:w="15"/>
        <w:gridCol w:w="499"/>
        <w:gridCol w:w="17"/>
        <w:gridCol w:w="790"/>
        <w:gridCol w:w="494"/>
        <w:gridCol w:w="174"/>
        <w:gridCol w:w="868"/>
        <w:gridCol w:w="53"/>
        <w:gridCol w:w="369"/>
        <w:gridCol w:w="400"/>
        <w:gridCol w:w="559"/>
      </w:tblGrid>
      <w:tr>
        <w:trPr>
          <w:trHeight w:val="321" w:hRule="atLeast"/>
        </w:trPr>
        <w:tc>
          <w:tcPr>
            <w:tcW w:w="1085" w:type="dxa"/>
            <w:tcBorders/>
          </w:tcPr>
          <w:p>
            <w:pPr>
              <w:pStyle w:val="Normal"/>
              <w:widowControl w:val="false"/>
              <w:suppressAutoHyphens w:val="true"/>
              <w:spacing w:lineRule="auto" w:line="240" w:before="0" w:after="0"/>
              <w:ind w:left="656"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656"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656"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656"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656"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6" w:space="0" w:color="000000"/>
              <w:bottom w:val="single" w:sz="2" w:space="0" w:color="000000"/>
            </w:tcBorders>
          </w:tcPr>
          <w:p>
            <w:pPr>
              <w:pStyle w:val="Normal"/>
              <w:widowControl w:val="false"/>
              <w:suppressAutoHyphens w:val="true"/>
              <w:spacing w:lineRule="auto" w:line="240" w:before="0" w:after="0"/>
              <w:ind w:left="656"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No.</w:t>
            </w:r>
          </w:p>
        </w:tc>
        <w:tc>
          <w:tcPr>
            <w:tcW w:w="1453" w:type="dxa"/>
            <w:gridSpan w:val="5"/>
            <w:tcBorders>
              <w:top w:val="single" w:sz="6"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Factor</w:t>
            </w:r>
          </w:p>
        </w:tc>
        <w:tc>
          <w:tcPr>
            <w:tcW w:w="4238" w:type="dxa"/>
            <w:gridSpan w:val="11"/>
            <w:tcBorders>
              <w:top w:val="single" w:sz="6" w:space="0" w:color="000000"/>
              <w:bottom w:val="single" w:sz="2" w:space="0" w:color="000000"/>
            </w:tcBorders>
          </w:tcPr>
          <w:p>
            <w:pPr>
              <w:pStyle w:val="Normal"/>
              <w:widowControl w:val="false"/>
              <w:suppressAutoHyphens w:val="true"/>
              <w:spacing w:lineRule="auto" w:line="240" w:before="0" w:after="0"/>
              <w:ind w:left="1311"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Characteristics</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7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776"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a willingness to purchase online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9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B</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276"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to be in a position to make substantial purchases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86"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C</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117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emotional stability</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9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E</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39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to be able to acquire large amounts of goods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9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F</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79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ability to buy significant quantities of products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8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G</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70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capacity for large purchases of goods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7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H</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43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the ability to buy vast quantities of merchandise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1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I</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69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the capacity to purchase a large number of items </w:t>
            </w:r>
          </w:p>
        </w:tc>
      </w:tr>
      <w:tr>
        <w:trPr>
          <w:trHeight w:val="316" w:hRule="atLeast"/>
        </w:trPr>
        <w:tc>
          <w:tcPr>
            <w:tcW w:w="1085"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5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9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L</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38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A vast number of products may be purchased at a time. </w:t>
            </w:r>
          </w:p>
        </w:tc>
      </w:tr>
      <w:tr>
        <w:trPr>
          <w:trHeight w:val="316" w:hRule="atLeast"/>
        </w:trPr>
        <w:tc>
          <w:tcPr>
            <w:tcW w:w="1085"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6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M</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69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internet shopping's practicality </w:t>
            </w:r>
          </w:p>
        </w:tc>
      </w:tr>
      <w:tr>
        <w:trPr>
          <w:trHeight w:val="316" w:hRule="atLeast"/>
        </w:trPr>
        <w:tc>
          <w:tcPr>
            <w:tcW w:w="1085"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7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N</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16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a more refined sense of aesthetics while making internet purchases </w:t>
            </w:r>
          </w:p>
        </w:tc>
      </w:tr>
      <w:tr>
        <w:trPr>
          <w:trHeight w:val="316" w:hRule="atLeast"/>
        </w:trPr>
        <w:tc>
          <w:tcPr>
            <w:tcW w:w="1085"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7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O</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63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Confidence while purchasing goods over the internet </w:t>
            </w:r>
          </w:p>
        </w:tc>
      </w:tr>
      <w:tr>
        <w:trPr>
          <w:trHeight w:val="316" w:hRule="atLeast"/>
        </w:trPr>
        <w:tc>
          <w:tcPr>
            <w:tcW w:w="1085"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2" w:space="0" w:color="000000"/>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13</w:t>
            </w:r>
          </w:p>
        </w:tc>
        <w:tc>
          <w:tcPr>
            <w:tcW w:w="1453"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3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Q1</w:t>
            </w:r>
          </w:p>
        </w:tc>
        <w:tc>
          <w:tcPr>
            <w:tcW w:w="4238" w:type="dxa"/>
            <w:gridSpan w:val="11"/>
            <w:tcBorders>
              <w:top w:val="single" w:sz="2" w:space="0" w:color="000000"/>
              <w:bottom w:val="single" w:sz="2" w:space="0" w:color="000000"/>
            </w:tcBorders>
          </w:tcPr>
          <w:p>
            <w:pPr>
              <w:pStyle w:val="Normal"/>
              <w:widowControl w:val="false"/>
              <w:suppressAutoHyphens w:val="true"/>
              <w:spacing w:lineRule="auto" w:line="240" w:before="0" w:after="0"/>
              <w:ind w:left="36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a propensity to try new things </w:t>
            </w:r>
          </w:p>
        </w:tc>
      </w:tr>
      <w:tr>
        <w:trPr>
          <w:trHeight w:val="321" w:hRule="atLeast"/>
        </w:trPr>
        <w:tc>
          <w:tcPr>
            <w:tcW w:w="1085"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319"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36"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7" w:type="dxa"/>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cs="Times New Roman" w:ascii="Times New Roman" w:hAnsi="Times New Roman"/>
                <w:sz w:val="24"/>
                <w:szCs w:val="24"/>
              </w:rPr>
            </w:r>
          </w:p>
        </w:tc>
        <w:tc>
          <w:tcPr>
            <w:tcW w:w="2150" w:type="dxa"/>
            <w:gridSpan w:val="6"/>
            <w:tcBorders>
              <w:top w:val="single" w:sz="2" w:space="0" w:color="000000"/>
              <w:bottom w:val="single" w:sz="6" w:space="0" w:color="000000"/>
            </w:tcBorders>
          </w:tcPr>
          <w:p>
            <w:pPr>
              <w:pStyle w:val="Normal"/>
              <w:widowControl w:val="false"/>
              <w:suppressAutoHyphens w:val="true"/>
              <w:spacing w:lineRule="auto" w:line="240" w:before="0" w:after="0"/>
              <w:ind w:left="71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14</w:t>
            </w:r>
          </w:p>
        </w:tc>
        <w:tc>
          <w:tcPr>
            <w:tcW w:w="1453" w:type="dxa"/>
            <w:gridSpan w:val="5"/>
            <w:tcBorders>
              <w:top w:val="single" w:sz="2" w:space="0" w:color="000000"/>
              <w:bottom w:val="single" w:sz="6" w:space="0" w:color="000000"/>
            </w:tcBorders>
          </w:tcPr>
          <w:p>
            <w:pPr>
              <w:pStyle w:val="Normal"/>
              <w:widowControl w:val="false"/>
              <w:suppressAutoHyphens w:val="true"/>
              <w:spacing w:lineRule="auto" w:line="240" w:before="0" w:after="0"/>
              <w:ind w:left="13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Q2</w:t>
            </w:r>
          </w:p>
        </w:tc>
        <w:tc>
          <w:tcPr>
            <w:tcW w:w="4238" w:type="dxa"/>
            <w:gridSpan w:val="11"/>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a willingness to branch out and try new things </w:t>
            </w:r>
          </w:p>
        </w:tc>
      </w:tr>
      <w:tr>
        <w:trPr>
          <w:trHeight w:val="321" w:hRule="atLeast"/>
        </w:trPr>
        <w:tc>
          <w:tcPr>
            <w:tcW w:w="1085" w:type="dxa"/>
            <w:vMerge w:val="restart"/>
            <w:tcBorders>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vMerge w:val="restart"/>
            <w:tcBorders>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vMerge w:val="restart"/>
            <w:tcBorders>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3625" w:type="dxa"/>
            <w:gridSpan w:val="13"/>
            <w:tcBorders>
              <w:top w:val="single" w:sz="6" w:space="0" w:color="000000"/>
              <w:bottom w:val="single" w:sz="2" w:space="0" w:color="000000"/>
            </w:tcBorders>
          </w:tcPr>
          <w:p>
            <w:pPr>
              <w:pStyle w:val="Normal"/>
              <w:widowControl w:val="false"/>
              <w:tabs>
                <w:tab w:val="clear" w:pos="720"/>
                <w:tab w:val="center" w:pos="809" w:leader="none"/>
                <w:tab w:val="center" w:pos="2414"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b/>
            </w:r>
            <w:r>
              <w:rPr>
                <w:rFonts w:eastAsia="" w:cs="Times New Roman" w:ascii="Times New Roman" w:hAnsi="Times New Roman"/>
                <w:b/>
                <w:kern w:val="0"/>
                <w:sz w:val="24"/>
                <w:szCs w:val="24"/>
                <w:lang w:val="en-US" w:eastAsia="en-US" w:bidi="ar-SA"/>
              </w:rPr>
              <w:t>No.</w:t>
              <w:tab/>
              <w:t>Factor</w:t>
            </w:r>
          </w:p>
        </w:tc>
        <w:tc>
          <w:tcPr>
            <w:tcW w:w="4223" w:type="dxa"/>
            <w:gridSpan w:val="10"/>
            <w:tcBorders>
              <w:top w:val="single" w:sz="6" w:space="0" w:color="000000"/>
              <w:bottom w:val="single" w:sz="2" w:space="0" w:color="000000"/>
            </w:tcBorders>
          </w:tcPr>
          <w:p>
            <w:pPr>
              <w:pStyle w:val="Normal"/>
              <w:widowControl w:val="false"/>
              <w:suppressAutoHyphens w:val="true"/>
              <w:spacing w:lineRule="auto" w:line="240" w:before="0" w:after="0"/>
              <w:ind w:left="1293"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Characteristics</w:t>
            </w:r>
          </w:p>
        </w:tc>
      </w:tr>
      <w:tr>
        <w:trPr>
          <w:trHeight w:val="316" w:hRule="atLeast"/>
        </w:trPr>
        <w:tc>
          <w:tcPr>
            <w:tcW w:w="1085" w:type="dxa"/>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3625" w:type="dxa"/>
            <w:gridSpan w:val="13"/>
            <w:tcBorders>
              <w:top w:val="single" w:sz="2" w:space="0" w:color="000000"/>
              <w:bottom w:val="single" w:sz="2" w:space="0" w:color="000000"/>
            </w:tcBorders>
          </w:tcPr>
          <w:p>
            <w:pPr>
              <w:pStyle w:val="Normal"/>
              <w:widowControl w:val="false"/>
              <w:tabs>
                <w:tab w:val="clear" w:pos="720"/>
                <w:tab w:val="center" w:pos="809" w:leader="none"/>
                <w:tab w:val="center" w:pos="2414"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b/>
              <w:t>15</w:t>
              <w:tab/>
              <w:t>Q3</w:t>
            </w:r>
          </w:p>
        </w:tc>
        <w:tc>
          <w:tcPr>
            <w:tcW w:w="4223" w:type="dxa"/>
            <w:gridSpan w:val="10"/>
            <w:tcBorders>
              <w:top w:val="single" w:sz="2" w:space="0" w:color="000000"/>
              <w:bottom w:val="single" w:sz="2" w:space="0" w:color="000000"/>
            </w:tcBorders>
          </w:tcPr>
          <w:p>
            <w:pPr>
              <w:pStyle w:val="Normal"/>
              <w:widowControl w:val="false"/>
              <w:suppressAutoHyphens w:val="true"/>
              <w:spacing w:lineRule="auto" w:line="240" w:before="0" w:after="0"/>
              <w:ind w:left="9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branching out into new experiences </w:t>
            </w:r>
          </w:p>
        </w:tc>
      </w:tr>
      <w:tr>
        <w:trPr>
          <w:trHeight w:val="316" w:hRule="atLeast"/>
        </w:trPr>
        <w:tc>
          <w:tcPr>
            <w:tcW w:w="1085" w:type="dxa"/>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3625" w:type="dxa"/>
            <w:gridSpan w:val="13"/>
            <w:tcBorders>
              <w:top w:val="single" w:sz="2" w:space="0" w:color="000000"/>
              <w:bottom w:val="single" w:sz="2" w:space="0" w:color="000000"/>
            </w:tcBorders>
          </w:tcPr>
          <w:p>
            <w:pPr>
              <w:pStyle w:val="Normal"/>
              <w:widowControl w:val="false"/>
              <w:tabs>
                <w:tab w:val="clear" w:pos="720"/>
                <w:tab w:val="center" w:pos="809" w:leader="none"/>
                <w:tab w:val="center" w:pos="2414"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b/>
              <w:t>16</w:t>
              <w:tab/>
              <w:t>Q4</w:t>
            </w:r>
          </w:p>
        </w:tc>
        <w:tc>
          <w:tcPr>
            <w:tcW w:w="4223" w:type="dxa"/>
            <w:gridSpan w:val="10"/>
            <w:tcBorders>
              <w:top w:val="single" w:sz="2" w:space="0" w:color="000000"/>
              <w:bottom w:val="single" w:sz="2" w:space="0" w:color="000000"/>
            </w:tcBorders>
          </w:tcPr>
          <w:p>
            <w:pPr>
              <w:pStyle w:val="Normal"/>
              <w:widowControl w:val="false"/>
              <w:suppressAutoHyphens w:val="true"/>
              <w:spacing w:lineRule="auto" w:line="240" w:before="0" w:after="0"/>
              <w:ind w:left="36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expanding one's horizons </w:t>
            </w:r>
          </w:p>
        </w:tc>
      </w:tr>
      <w:tr>
        <w:trPr>
          <w:trHeight w:val="321" w:hRule="atLeast"/>
        </w:trPr>
        <w:tc>
          <w:tcPr>
            <w:tcW w:w="1085" w:type="dxa"/>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vMerge w:val="continue"/>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3625" w:type="dxa"/>
            <w:gridSpan w:val="13"/>
            <w:tcBorders>
              <w:top w:val="single" w:sz="2" w:space="0" w:color="000000"/>
              <w:bottom w:val="single" w:sz="6" w:space="0" w:color="000000"/>
            </w:tcBorders>
          </w:tcPr>
          <w:p>
            <w:pPr>
              <w:pStyle w:val="Normal"/>
              <w:widowControl w:val="false"/>
              <w:tabs>
                <w:tab w:val="clear" w:pos="720"/>
                <w:tab w:val="center" w:pos="809" w:leader="none"/>
                <w:tab w:val="center" w:pos="2414"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b/>
              <w:t>17</w:t>
              <w:tab/>
              <w:t>MD</w:t>
            </w:r>
          </w:p>
        </w:tc>
        <w:tc>
          <w:tcPr>
            <w:tcW w:w="4223" w:type="dxa"/>
            <w:gridSpan w:val="10"/>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 xml:space="preserve">the accuracy with which one's talents have been evaluated </w:t>
            </w:r>
          </w:p>
        </w:tc>
      </w:tr>
      <w:tr>
        <w:trPr>
          <w:trHeight w:val="2011" w:hRule="atLeast"/>
        </w:trPr>
        <w:tc>
          <w:tcPr>
            <w:tcW w:w="1085" w:type="dxa"/>
            <w:vMerge w:val="continue"/>
            <w:tcBorders>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vMerge w:val="continue"/>
            <w:tcBorders>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vMerge w:val="continue"/>
            <w:tcBorders>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7848" w:type="dxa"/>
            <w:gridSpan w:val="23"/>
            <w:tcBorders>
              <w:top w:val="single" w:sz="6" w:space="0" w:color="000000"/>
              <w:bottom w:val="single" w:sz="6" w:space="0" w:color="000000"/>
            </w:tcBorders>
          </w:tcPr>
          <w:p>
            <w:pPr>
              <w:pStyle w:val="Normal"/>
              <w:widowControl w:val="false"/>
              <w:suppressAutoHyphens w:val="true"/>
              <w:spacing w:lineRule="auto" w:line="240" w:before="0" w:after="225"/>
              <w:ind w:left="202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Source: formed by me based on [Doustkam, et al, 2021, p.23].</w:t>
            </w:r>
          </w:p>
          <w:p>
            <w:pPr>
              <w:pStyle w:val="Normal"/>
              <w:widowControl w:val="false"/>
              <w:suppressAutoHyphens w:val="true"/>
              <w:spacing w:lineRule="auto" w:line="259" w:before="0" w:after="177"/>
              <w:ind w:right="-4" w:firstLine="431"/>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Each component contained 6–7 items, with three answer options (a, b, or c).  Each item received one of three scores: 0, 1, or 2. In Table 2, the total level of reflexive personality components and the primary factor scores were translated to standard ten (ten) scores using Table 3.</w:t>
            </w:r>
          </w:p>
          <w:p>
            <w:pPr>
              <w:pStyle w:val="Normal"/>
              <w:widowControl w:val="false"/>
              <w:suppressAutoHyphens w:val="true"/>
              <w:spacing w:lineRule="auto" w:line="240" w:before="0" w:after="0"/>
              <w:ind w:left="660"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 xml:space="preserve">Table 2. </w:t>
            </w:r>
            <w:r>
              <w:rPr>
                <w:rFonts w:eastAsia="" w:cs="Times New Roman" w:ascii="Times New Roman" w:hAnsi="Times New Roman"/>
                <w:kern w:val="0"/>
                <w:sz w:val="24"/>
                <w:szCs w:val="24"/>
                <w:lang w:val="en-US" w:eastAsia="en-US" w:bidi="ar-SA"/>
              </w:rPr>
              <w:t>Scoring chart for the 16PF questionnaire.</w:t>
            </w:r>
          </w:p>
        </w:tc>
      </w:tr>
      <w:tr>
        <w:trPr>
          <w:trHeight w:val="321" w:hRule="atLeast"/>
        </w:trPr>
        <w:tc>
          <w:tcPr>
            <w:tcW w:w="1085" w:type="dxa"/>
            <w:tcBorders>
              <w:top w:val="single" w:sz="6" w:space="0" w:color="000000"/>
              <w:bottom w:val="single" w:sz="2" w:space="0" w:color="000000"/>
            </w:tcBorders>
          </w:tcPr>
          <w:p>
            <w:pPr>
              <w:pStyle w:val="Normal"/>
              <w:widowControl w:val="false"/>
              <w:suppressAutoHyphens w:val="true"/>
              <w:spacing w:lineRule="auto" w:line="240" w:before="0" w:after="0"/>
              <w:ind w:left="40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Factor</w:t>
            </w:r>
          </w:p>
        </w:tc>
        <w:tc>
          <w:tcPr>
            <w:tcW w:w="477" w:type="dxa"/>
            <w:tcBorders>
              <w:top w:val="single" w:sz="6"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6"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546" w:type="dxa"/>
            <w:gridSpan w:val="5"/>
            <w:tcBorders>
              <w:top w:val="single" w:sz="6"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3879" w:type="dxa"/>
            <w:gridSpan w:val="12"/>
            <w:tcBorders>
              <w:top w:val="single" w:sz="6" w:space="0" w:color="000000"/>
              <w:bottom w:val="single" w:sz="2" w:space="0" w:color="000000"/>
            </w:tcBorders>
          </w:tcPr>
          <w:p>
            <w:pPr>
              <w:pStyle w:val="Normal"/>
              <w:widowControl w:val="false"/>
              <w:suppressAutoHyphens w:val="true"/>
              <w:spacing w:lineRule="auto" w:line="240" w:before="0" w:after="0"/>
              <w:ind w:left="66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Question/Response/Score</w:t>
            </w:r>
          </w:p>
        </w:tc>
        <w:tc>
          <w:tcPr>
            <w:tcW w:w="1042" w:type="dxa"/>
            <w:gridSpan w:val="2"/>
            <w:tcBorders>
              <w:top w:val="single" w:sz="6"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381" w:type="dxa"/>
            <w:gridSpan w:val="4"/>
            <w:tcBorders>
              <w:top w:val="single" w:sz="6"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MD</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18.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35.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52.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69.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86. b-1 c-2</w:t>
            </w:r>
          </w:p>
        </w:tc>
        <w:tc>
          <w:tcPr>
            <w:tcW w:w="1381" w:type="dxa"/>
            <w:gridSpan w:val="4"/>
            <w:tcBorders>
              <w:top w:val="single" w:sz="2" w:space="0" w:color="000000"/>
              <w:bottom w:val="single" w:sz="2" w:space="0" w:color="000000"/>
            </w:tcBorders>
          </w:tcPr>
          <w:p>
            <w:pPr>
              <w:pStyle w:val="Normal"/>
              <w:widowControl w:val="false"/>
              <w:suppressAutoHyphens w:val="true"/>
              <w:spacing w:lineRule="auto" w:line="240" w:before="0" w:after="0"/>
              <w:ind w:left="56"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103. b-1 c-2</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 b-1 c-2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19.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36.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53.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70. b-1 a-2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87.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104. a-1</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B</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 b-1</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39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20. c-1</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4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37. b-1</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15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54. c-1</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6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71. a-1</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9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88. c-1</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105. b-1</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C</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21.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38.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55.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72.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89.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E</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 b-1 c-2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22.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39.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56.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73.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90. b-1 a-2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F</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 b-1 c-2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23.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40.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57.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74. b-1 a-2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91.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G</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24.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41. b-1 a-2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58. b-1 c-2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75. b-1 a-2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92.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H</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25.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42.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59.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76. b-1 a-2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93.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I</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26.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43.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60.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77.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94.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L</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27.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44.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61. b-1 c-2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78. b-1 a-2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95. b-1 a-2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M</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 b-1 c-2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28.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45. b-1 a-2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62.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79. b-1 a-2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96.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N</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 b-1 c-2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29.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46. b-1 a-2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63.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80.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97.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3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O</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13. b-1 c-2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30.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47.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64.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81.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98. b-1 a-2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2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w:t>
            </w:r>
            <w:r>
              <w:rPr>
                <w:rFonts w:eastAsia="" w:cs="Times New Roman" w:ascii="Times New Roman" w:hAnsi="Times New Roman"/>
                <w:kern w:val="0"/>
                <w:sz w:val="24"/>
                <w:szCs w:val="24"/>
                <w:vertAlign w:val="subscript"/>
                <w:lang w:val="en-US" w:eastAsia="en-US" w:bidi="ar-SA"/>
              </w:rPr>
              <w:t>1</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14.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31.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48. b-1 c-2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65. b-1 c-2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82.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99. b-1 a-2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2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w:t>
            </w:r>
            <w:r>
              <w:rPr>
                <w:rFonts w:eastAsia="" w:cs="Times New Roman" w:ascii="Times New Roman" w:hAnsi="Times New Roman"/>
                <w:kern w:val="0"/>
                <w:sz w:val="24"/>
                <w:szCs w:val="24"/>
                <w:vertAlign w:val="subscript"/>
                <w:lang w:val="en-US" w:eastAsia="en-US" w:bidi="ar-SA"/>
              </w:rPr>
              <w:t>2</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15.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32. b-1 c-2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49. b-1 a-2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66.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83.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100. b-1 c-2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2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w:t>
            </w:r>
            <w:r>
              <w:rPr>
                <w:rFonts w:eastAsia="" w:cs="Times New Roman" w:ascii="Times New Roman" w:hAnsi="Times New Roman"/>
                <w:kern w:val="0"/>
                <w:sz w:val="24"/>
                <w:szCs w:val="24"/>
                <w:vertAlign w:val="subscript"/>
                <w:lang w:val="en-US" w:eastAsia="en-US" w:bidi="ar-SA"/>
              </w:rPr>
              <w:t>3</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 b-1 a-2</w:t>
            </w:r>
          </w:p>
        </w:tc>
        <w:tc>
          <w:tcPr>
            <w:tcW w:w="1546" w:type="dxa"/>
            <w:gridSpan w:val="5"/>
            <w:tcBorders>
              <w:top w:val="single" w:sz="2" w:space="0" w:color="000000"/>
              <w:bottom w:val="single" w:sz="2" w:space="0" w:color="000000"/>
            </w:tcBorders>
          </w:tcPr>
          <w:p>
            <w:pPr>
              <w:pStyle w:val="Normal"/>
              <w:widowControl w:val="false"/>
              <w:suppressAutoHyphens w:val="true"/>
              <w:spacing w:lineRule="auto" w:line="240" w:before="0" w:after="0"/>
              <w:ind w:left="2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33. b-1 a-2</w:t>
            </w:r>
          </w:p>
        </w:tc>
        <w:tc>
          <w:tcPr>
            <w:tcW w:w="1305"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50. b-1 a-2</w:t>
            </w:r>
          </w:p>
        </w:tc>
        <w:tc>
          <w:tcPr>
            <w:tcW w:w="1290" w:type="dxa"/>
            <w:gridSpan w:val="5"/>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67. b-1 a-2</w:t>
            </w:r>
          </w:p>
        </w:tc>
        <w:tc>
          <w:tcPr>
            <w:tcW w:w="1284"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84. b-1 c-2</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101. b-1 c-2</w:t>
            </w:r>
          </w:p>
        </w:tc>
        <w:tc>
          <w:tcPr>
            <w:tcW w:w="422" w:type="dxa"/>
            <w:gridSpan w:val="2"/>
            <w:tcBorders>
              <w:top w:val="single" w:sz="2"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21" w:hRule="atLeast"/>
        </w:trPr>
        <w:tc>
          <w:tcPr>
            <w:tcW w:w="1085" w:type="dxa"/>
            <w:tcBorders>
              <w:top w:val="single" w:sz="2" w:space="0" w:color="000000"/>
              <w:bottom w:val="single" w:sz="6" w:space="0" w:color="000000"/>
            </w:tcBorders>
          </w:tcPr>
          <w:p>
            <w:pPr>
              <w:pStyle w:val="Normal"/>
              <w:widowControl w:val="false"/>
              <w:suppressAutoHyphens w:val="true"/>
              <w:spacing w:lineRule="auto" w:line="240" w:before="0" w:after="0"/>
              <w:ind w:left="225"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w:t>
            </w:r>
            <w:r>
              <w:rPr>
                <w:rFonts w:eastAsia="" w:cs="Times New Roman" w:ascii="Times New Roman" w:hAnsi="Times New Roman"/>
                <w:kern w:val="0"/>
                <w:sz w:val="24"/>
                <w:szCs w:val="24"/>
                <w:vertAlign w:val="subscript"/>
                <w:lang w:val="en-US" w:eastAsia="en-US" w:bidi="ar-SA"/>
              </w:rPr>
              <w:t>4</w:t>
            </w:r>
          </w:p>
        </w:tc>
        <w:tc>
          <w:tcPr>
            <w:tcW w:w="477" w:type="dxa"/>
            <w:tcBorders>
              <w:top w:val="single" w:sz="2"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17. b-1 a-2</w:t>
            </w:r>
          </w:p>
        </w:tc>
        <w:tc>
          <w:tcPr>
            <w:tcW w:w="1546" w:type="dxa"/>
            <w:gridSpan w:val="5"/>
            <w:tcBorders>
              <w:top w:val="single" w:sz="2" w:space="0" w:color="000000"/>
              <w:bottom w:val="single" w:sz="6" w:space="0" w:color="000000"/>
            </w:tcBorders>
          </w:tcPr>
          <w:p>
            <w:pPr>
              <w:pStyle w:val="Normal"/>
              <w:widowControl w:val="false"/>
              <w:suppressAutoHyphens w:val="true"/>
              <w:spacing w:lineRule="auto" w:line="240" w:before="0" w:after="0"/>
              <w:ind w:left="25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34. b-1 c-2</w:t>
            </w:r>
          </w:p>
        </w:tc>
        <w:tc>
          <w:tcPr>
            <w:tcW w:w="1305" w:type="dxa"/>
            <w:gridSpan w:val="5"/>
            <w:tcBorders>
              <w:top w:val="single" w:sz="2" w:space="0" w:color="000000"/>
              <w:bottom w:val="single" w:sz="6" w:space="0" w:color="000000"/>
            </w:tcBorders>
          </w:tcPr>
          <w:p>
            <w:pPr>
              <w:pStyle w:val="Normal"/>
              <w:widowControl w:val="false"/>
              <w:suppressAutoHyphens w:val="true"/>
              <w:spacing w:lineRule="auto" w:line="240" w:before="0" w:after="0"/>
              <w:ind w:left="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51. b-1 c-2</w:t>
            </w:r>
          </w:p>
        </w:tc>
        <w:tc>
          <w:tcPr>
            <w:tcW w:w="1290" w:type="dxa"/>
            <w:gridSpan w:val="5"/>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68. b-1 a-2</w:t>
            </w:r>
          </w:p>
        </w:tc>
        <w:tc>
          <w:tcPr>
            <w:tcW w:w="1284" w:type="dxa"/>
            <w:gridSpan w:val="2"/>
            <w:tcBorders>
              <w:top w:val="single" w:sz="2" w:space="0" w:color="000000"/>
              <w:bottom w:val="single" w:sz="6" w:space="0" w:color="000000"/>
            </w:tcBorders>
          </w:tcPr>
          <w:p>
            <w:pPr>
              <w:pStyle w:val="Normal"/>
              <w:widowControl w:val="false"/>
              <w:suppressAutoHyphens w:val="true"/>
              <w:spacing w:lineRule="auto" w:line="240" w:before="0" w:after="0"/>
              <w:ind w:left="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85. b-1 c-2</w:t>
            </w:r>
          </w:p>
        </w:tc>
        <w:tc>
          <w:tcPr>
            <w:tcW w:w="1042"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102. b-1 a-2</w:t>
            </w:r>
          </w:p>
        </w:tc>
        <w:tc>
          <w:tcPr>
            <w:tcW w:w="422" w:type="dxa"/>
            <w:gridSpan w:val="2"/>
            <w:tcBorders>
              <w:top w:val="single" w:sz="2"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2"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883" w:hRule="atLeast"/>
        </w:trPr>
        <w:tc>
          <w:tcPr>
            <w:tcW w:w="1085" w:type="dxa"/>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535" w:type="dxa"/>
            <w:gridSpan w:val="3"/>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396" w:type="dxa"/>
            <w:gridSpan w:val="13"/>
            <w:tcBorders>
              <w:top w:val="single" w:sz="6" w:space="0" w:color="000000"/>
              <w:bottom w:val="single" w:sz="6" w:space="0" w:color="000000"/>
            </w:tcBorders>
          </w:tcPr>
          <w:p>
            <w:pPr>
              <w:pStyle w:val="Normal"/>
              <w:widowControl w:val="false"/>
              <w:suppressAutoHyphens w:val="true"/>
              <w:spacing w:lineRule="auto" w:line="240" w:before="0" w:after="292"/>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Source: developed by me based on data from [Luu, &amp; ElBassiouny, 2020, p.110].</w:t>
            </w:r>
          </w:p>
          <w:p>
            <w:pPr>
              <w:pStyle w:val="Normal"/>
              <w:widowControl w:val="false"/>
              <w:suppressAutoHyphens w:val="true"/>
              <w:spacing w:lineRule="auto" w:line="240" w:before="0" w:after="0"/>
              <w:ind w:left="450"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 xml:space="preserve">Table 3. </w:t>
            </w:r>
            <w:r>
              <w:rPr>
                <w:rFonts w:eastAsia="" w:cs="Times New Roman" w:ascii="Times New Roman" w:hAnsi="Times New Roman"/>
                <w:kern w:val="0"/>
                <w:sz w:val="24"/>
                <w:szCs w:val="24"/>
                <w:lang w:val="en-US" w:eastAsia="en-US" w:bidi="ar-SA"/>
              </w:rPr>
              <w:t>Standard score conversion table.</w:t>
            </w:r>
          </w:p>
        </w:tc>
        <w:tc>
          <w:tcPr>
            <w:tcW w:w="494" w:type="dxa"/>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42" w:type="dxa"/>
            <w:gridSpan w:val="2"/>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22" w:type="dxa"/>
            <w:gridSpan w:val="2"/>
            <w:tcBorders>
              <w:top w:val="single" w:sz="6" w:space="0" w:color="000000"/>
              <w:bottom w:val="single" w:sz="6"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6" w:space="0" w:color="000000"/>
              <w:bottom w:val="single" w:sz="6"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21" w:hRule="atLeast"/>
        </w:trPr>
        <w:tc>
          <w:tcPr>
            <w:tcW w:w="1085" w:type="dxa"/>
            <w:vMerge w:val="restart"/>
            <w:tcBorders>
              <w:top w:val="single" w:sz="6" w:space="0" w:color="000000"/>
              <w:bottom w:val="single" w:sz="2" w:space="0" w:color="000000"/>
            </w:tcBorders>
            <w:vAlign w:val="center"/>
          </w:tcPr>
          <w:p>
            <w:pPr>
              <w:pStyle w:val="Normal"/>
              <w:widowControl w:val="false"/>
              <w:suppressAutoHyphens w:val="true"/>
              <w:spacing w:lineRule="auto" w:line="240" w:before="0" w:after="0"/>
              <w:ind w:left="15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Factor</w:t>
            </w:r>
          </w:p>
        </w:tc>
        <w:tc>
          <w:tcPr>
            <w:tcW w:w="477" w:type="dxa"/>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55"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535" w:type="dxa"/>
            <w:gridSpan w:val="3"/>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222" w:type="dxa"/>
            <w:gridSpan w:val="3"/>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803" w:type="dxa"/>
            <w:gridSpan w:val="3"/>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581" w:type="dxa"/>
            <w:gridSpan w:val="6"/>
            <w:tcBorders>
              <w:top w:val="single" w:sz="6" w:space="0" w:color="000000"/>
              <w:bottom w:val="single" w:sz="2" w:space="0" w:color="000000"/>
            </w:tcBorders>
          </w:tcPr>
          <w:p>
            <w:pPr>
              <w:pStyle w:val="Normal"/>
              <w:widowControl w:val="false"/>
              <w:suppressAutoHyphens w:val="true"/>
              <w:spacing w:lineRule="auto" w:line="240" w:before="0" w:after="0"/>
              <w:ind w:left="263"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Sten</w:t>
            </w:r>
          </w:p>
        </w:tc>
        <w:tc>
          <w:tcPr>
            <w:tcW w:w="790" w:type="dxa"/>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94" w:type="dxa"/>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1042"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22"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59"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vMerge w:val="continue"/>
            <w:tcBorders>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1</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12"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2</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3</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23"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4</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5</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6</w:t>
              <w:tab/>
              <w:t>7</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27"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8</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9</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311"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10</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67"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M</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δ</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3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A</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0–4</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3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tab/>
              <w:t>9</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3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8.06</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1.7</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4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B</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0–2</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26"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3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tab/>
              <w:t>5</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4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66"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7–8</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4.5</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0.99</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39"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C</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0–3</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1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2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tab/>
              <w:t>9</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3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7.5</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1.77</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4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E</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0–1</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1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2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tab/>
              <w:t>7</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2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76"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10–12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5.5</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1.66</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5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F</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0–2</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2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tab/>
              <w:t>7</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4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2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9–12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5.6</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1.68</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3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G</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0–3</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1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2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tab/>
              <w:t>9</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3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7.8</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1.92</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2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H</w:t>
            </w:r>
          </w:p>
        </w:tc>
        <w:tc>
          <w:tcPr>
            <w:tcW w:w="477"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0–3</w:t>
            </w:r>
          </w:p>
        </w:tc>
        <w:tc>
          <w:tcPr>
            <w:tcW w:w="1055"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535"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22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423"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03"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1581" w:type="dxa"/>
            <w:gridSpan w:val="6"/>
            <w:tcBorders>
              <w:top w:val="single" w:sz="2" w:space="0" w:color="000000"/>
              <w:bottom w:val="single" w:sz="2"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tab/>
              <w:t>9</w:t>
            </w:r>
          </w:p>
        </w:tc>
        <w:tc>
          <w:tcPr>
            <w:tcW w:w="790" w:type="dxa"/>
            <w:tcBorders>
              <w:top w:val="single" w:sz="2" w:space="0" w:color="000000"/>
              <w:bottom w:val="single" w:sz="2"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494"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104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3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422"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7.7</w:t>
            </w:r>
          </w:p>
        </w:tc>
        <w:tc>
          <w:tcPr>
            <w:tcW w:w="95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1.89</w:t>
            </w:r>
          </w:p>
        </w:tc>
      </w:tr>
      <w:tr>
        <w:trPr>
          <w:trHeight w:val="321" w:hRule="atLeast"/>
        </w:trPr>
        <w:tc>
          <w:tcPr>
            <w:tcW w:w="1085" w:type="dxa"/>
            <w:tcBorders>
              <w:top w:val="single" w:sz="2" w:space="0" w:color="000000"/>
              <w:bottom w:val="single" w:sz="6" w:space="0" w:color="000000"/>
            </w:tcBorders>
          </w:tcPr>
          <w:p>
            <w:pPr>
              <w:pStyle w:val="Normal"/>
              <w:widowControl w:val="false"/>
              <w:suppressAutoHyphens w:val="true"/>
              <w:spacing w:lineRule="auto" w:line="240" w:before="0" w:after="0"/>
              <w:ind w:left="37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I</w:t>
            </w:r>
          </w:p>
        </w:tc>
        <w:tc>
          <w:tcPr>
            <w:tcW w:w="477" w:type="dxa"/>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0–3</w:t>
            </w:r>
          </w:p>
        </w:tc>
        <w:tc>
          <w:tcPr>
            <w:tcW w:w="1055" w:type="dxa"/>
            <w:gridSpan w:val="2"/>
            <w:tcBorders>
              <w:top w:val="single" w:sz="2" w:space="0" w:color="000000"/>
              <w:bottom w:val="single" w:sz="6" w:space="0" w:color="000000"/>
            </w:tcBorders>
          </w:tcPr>
          <w:p>
            <w:pPr>
              <w:pStyle w:val="Normal"/>
              <w:widowControl w:val="false"/>
              <w:suppressAutoHyphens w:val="true"/>
              <w:spacing w:lineRule="auto" w:line="240" w:before="0" w:after="0"/>
              <w:ind w:left="41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535" w:type="dxa"/>
            <w:gridSpan w:val="3"/>
            <w:tcBorders>
              <w:top w:val="single" w:sz="2" w:space="0" w:color="000000"/>
              <w:bottom w:val="single" w:sz="6" w:space="0" w:color="000000"/>
            </w:tcBorders>
          </w:tcPr>
          <w:p>
            <w:pPr>
              <w:pStyle w:val="Normal"/>
              <w:widowControl w:val="false"/>
              <w:suppressAutoHyphens w:val="true"/>
              <w:spacing w:lineRule="auto" w:line="240" w:before="0" w:after="0"/>
              <w:ind w:left="154"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1222" w:type="dxa"/>
            <w:gridSpan w:val="3"/>
            <w:tcBorders>
              <w:top w:val="single" w:sz="2" w:space="0" w:color="000000"/>
              <w:bottom w:val="single" w:sz="6" w:space="0" w:color="000000"/>
            </w:tcBorders>
          </w:tcPr>
          <w:p>
            <w:pPr>
              <w:pStyle w:val="Normal"/>
              <w:widowControl w:val="false"/>
              <w:suppressAutoHyphens w:val="true"/>
              <w:spacing w:lineRule="auto" w:line="240" w:before="0" w:after="0"/>
              <w:ind w:left="42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03" w:type="dxa"/>
            <w:gridSpan w:val="3"/>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1581" w:type="dxa"/>
            <w:gridSpan w:val="6"/>
            <w:tcBorders>
              <w:top w:val="single" w:sz="2" w:space="0" w:color="000000"/>
              <w:bottom w:val="single" w:sz="6" w:space="0" w:color="000000"/>
            </w:tcBorders>
          </w:tcPr>
          <w:p>
            <w:pPr>
              <w:pStyle w:val="Normal"/>
              <w:widowControl w:val="false"/>
              <w:tabs>
                <w:tab w:val="clear" w:pos="720"/>
                <w:tab w:val="center" w:pos="850"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tab/>
              <w:t>9</w:t>
            </w:r>
          </w:p>
        </w:tc>
        <w:tc>
          <w:tcPr>
            <w:tcW w:w="790" w:type="dxa"/>
            <w:tcBorders>
              <w:top w:val="single" w:sz="2" w:space="0" w:color="000000"/>
              <w:bottom w:val="single" w:sz="6" w:space="0" w:color="000000"/>
            </w:tcBorders>
          </w:tcPr>
          <w:p>
            <w:pPr>
              <w:pStyle w:val="Normal"/>
              <w:widowControl w:val="false"/>
              <w:suppressAutoHyphens w:val="true"/>
              <w:spacing w:lineRule="auto" w:line="240" w:before="0" w:after="0"/>
              <w:ind w:left="-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494" w:type="dxa"/>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1042" w:type="dxa"/>
            <w:gridSpan w:val="2"/>
            <w:tcBorders>
              <w:top w:val="single" w:sz="2" w:space="0" w:color="000000"/>
              <w:bottom w:val="single" w:sz="6" w:space="0" w:color="000000"/>
            </w:tcBorders>
          </w:tcPr>
          <w:p>
            <w:pPr>
              <w:pStyle w:val="Normal"/>
              <w:widowControl w:val="false"/>
              <w:suppressAutoHyphens w:val="true"/>
              <w:spacing w:lineRule="auto" w:line="240" w:before="0" w:after="0"/>
              <w:ind w:left="311"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422" w:type="dxa"/>
            <w:gridSpan w:val="2"/>
            <w:tcBorders>
              <w:top w:val="single" w:sz="2" w:space="0" w:color="000000"/>
              <w:bottom w:val="single" w:sz="6"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7.6</w:t>
            </w:r>
          </w:p>
        </w:tc>
        <w:tc>
          <w:tcPr>
            <w:tcW w:w="959" w:type="dxa"/>
            <w:gridSpan w:val="2"/>
            <w:tcBorders>
              <w:top w:val="single" w:sz="2" w:space="0" w:color="000000"/>
              <w:bottom w:val="single" w:sz="6" w:space="0" w:color="000000"/>
            </w:tcBorders>
          </w:tcPr>
          <w:p>
            <w:pPr>
              <w:pStyle w:val="Normal"/>
              <w:widowControl w:val="false"/>
              <w:suppressAutoHyphens w:val="true"/>
              <w:spacing w:lineRule="auto" w:line="240" w:before="0" w:after="0"/>
              <w:ind w:left="158" w:hanging="0"/>
              <w:jc w:val="center"/>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1.68</w:t>
            </w:r>
          </w:p>
        </w:tc>
      </w:tr>
      <w:tr>
        <w:trPr>
          <w:trHeight w:val="321" w:hRule="atLeast"/>
        </w:trPr>
        <w:tc>
          <w:tcPr>
            <w:tcW w:w="1085" w:type="dxa"/>
            <w:vMerge w:val="restart"/>
            <w:tcBorders>
              <w:top w:val="single" w:sz="6" w:space="0" w:color="000000"/>
              <w:bottom w:val="single" w:sz="2" w:space="0" w:color="000000"/>
            </w:tcBorders>
            <w:vAlign w:val="center"/>
          </w:tcPr>
          <w:p>
            <w:pPr>
              <w:pStyle w:val="Normal"/>
              <w:widowControl w:val="false"/>
              <w:suppressAutoHyphens w:val="true"/>
              <w:spacing w:lineRule="auto" w:line="240" w:before="0" w:after="0"/>
              <w:ind w:left="15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Factor</w:t>
            </w:r>
          </w:p>
        </w:tc>
        <w:tc>
          <w:tcPr>
            <w:tcW w:w="796" w:type="dxa"/>
            <w:gridSpan w:val="2"/>
            <w:tcBorders>
              <w:top w:val="single" w:sz="6" w:space="0" w:color="000000"/>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892" w:type="dxa"/>
            <w:gridSpan w:val="3"/>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801"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800"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713"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896" w:type="dxa"/>
            <w:gridSpan w:val="3"/>
            <w:tcBorders>
              <w:top w:val="single" w:sz="6" w:space="0" w:color="000000"/>
              <w:bottom w:val="single" w:sz="2" w:space="0" w:color="000000"/>
            </w:tcBorders>
          </w:tcPr>
          <w:p>
            <w:pPr>
              <w:pStyle w:val="Normal"/>
              <w:widowControl w:val="false"/>
              <w:suppressAutoHyphens w:val="true"/>
              <w:spacing w:lineRule="auto" w:line="240" w:before="0" w:after="0"/>
              <w:ind w:left="295" w:hanging="0"/>
              <w:jc w:val="center"/>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Sten</w:t>
            </w:r>
          </w:p>
        </w:tc>
        <w:tc>
          <w:tcPr>
            <w:tcW w:w="758" w:type="dxa"/>
            <w:gridSpan w:val="3"/>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807"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668"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921"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769" w:type="dxa"/>
            <w:gridSpan w:val="2"/>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559" w:type="dxa"/>
            <w:tcBorders>
              <w:top w:val="single" w:sz="6" w:space="0" w:color="000000"/>
              <w:bottom w:val="single" w:sz="2" w:space="0" w:color="000000"/>
            </w:tcBorders>
            <w:vAlign w:val="center"/>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r>
      <w:tr>
        <w:trPr>
          <w:trHeight w:val="316" w:hRule="atLeast"/>
        </w:trPr>
        <w:tc>
          <w:tcPr>
            <w:tcW w:w="1085" w:type="dxa"/>
            <w:vMerge w:val="continue"/>
            <w:tcBorders>
              <w:bottom w:val="single" w:sz="2" w:space="0" w:color="000000"/>
            </w:tcBorders>
          </w:tcPr>
          <w:p>
            <w:pPr>
              <w:pStyle w:val="Normal"/>
              <w:widowControl w:val="false"/>
              <w:suppressAutoHyphens w:val="true"/>
              <w:spacing w:lineRule="auto" w:line="240" w:before="0" w:after="160"/>
              <w:jc w:val="left"/>
              <w:rPr>
                <w:rFonts w:ascii="Times New Roman" w:hAnsi="Times New Roman" w:cs="Times New Roman"/>
                <w:sz w:val="24"/>
                <w:szCs w:val="24"/>
              </w:rPr>
            </w:pPr>
            <w:r>
              <w:rPr>
                <w:rFonts w:cs="Times New Roman" w:ascii="Times New Roman" w:hAnsi="Times New Roman"/>
                <w:sz w:val="24"/>
                <w:szCs w:val="24"/>
              </w:rPr>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1</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2</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3</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4</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5</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6</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7</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8</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9</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35"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10</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22" w:hanging="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M</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ind w:left="10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δ</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4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L</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0–1</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0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4.3</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1.54</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1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M</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0–3</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10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5.5</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1.63</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2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N</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0–1</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5.5</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1.63</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332"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O</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0–1</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2–3</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6.6</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2.14</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8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Q1</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0–4</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3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8.1</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1.33</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8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Q2</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0–2</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1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5.8</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1.69</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8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Q3</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0–2</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6.3</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1.66</w:t>
            </w:r>
          </w:p>
        </w:tc>
      </w:tr>
      <w:tr>
        <w:trPr>
          <w:trHeight w:val="316" w:hRule="atLeast"/>
        </w:trPr>
        <w:tc>
          <w:tcPr>
            <w:tcW w:w="1085" w:type="dxa"/>
            <w:tcBorders>
              <w:top w:val="single" w:sz="2" w:space="0" w:color="000000"/>
              <w:bottom w:val="single" w:sz="2" w:space="0" w:color="000000"/>
            </w:tcBorders>
          </w:tcPr>
          <w:p>
            <w:pPr>
              <w:pStyle w:val="Normal"/>
              <w:widowControl w:val="false"/>
              <w:suppressAutoHyphens w:val="true"/>
              <w:spacing w:lineRule="auto" w:line="240" w:before="0" w:after="0"/>
              <w:ind w:left="287"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Q4</w:t>
            </w:r>
          </w:p>
        </w:tc>
        <w:tc>
          <w:tcPr>
            <w:tcW w:w="796"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0–1</w:t>
            </w:r>
          </w:p>
        </w:tc>
        <w:tc>
          <w:tcPr>
            <w:tcW w:w="892" w:type="dxa"/>
            <w:gridSpan w:val="3"/>
            <w:tcBorders>
              <w:top w:val="single" w:sz="2" w:space="0" w:color="000000"/>
              <w:bottom w:val="single" w:sz="2"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2</w:t>
            </w:r>
          </w:p>
        </w:tc>
        <w:tc>
          <w:tcPr>
            <w:tcW w:w="80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800"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713"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896"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6–7</w:t>
            </w:r>
          </w:p>
        </w:tc>
        <w:tc>
          <w:tcPr>
            <w:tcW w:w="758" w:type="dxa"/>
            <w:gridSpan w:val="3"/>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807" w:type="dxa"/>
            <w:gridSpan w:val="2"/>
            <w:tcBorders>
              <w:top w:val="single" w:sz="2" w:space="0" w:color="000000"/>
              <w:bottom w:val="single" w:sz="2"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668"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921"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11–12</w:t>
            </w:r>
          </w:p>
        </w:tc>
        <w:tc>
          <w:tcPr>
            <w:tcW w:w="769" w:type="dxa"/>
            <w:gridSpan w:val="2"/>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6.0</w:t>
            </w:r>
          </w:p>
        </w:tc>
        <w:tc>
          <w:tcPr>
            <w:tcW w:w="559" w:type="dxa"/>
            <w:tcBorders>
              <w:top w:val="single" w:sz="2" w:space="0" w:color="000000"/>
              <w:bottom w:val="single" w:sz="2"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1.86</w:t>
            </w:r>
          </w:p>
        </w:tc>
      </w:tr>
      <w:tr>
        <w:trPr>
          <w:trHeight w:val="321" w:hRule="atLeast"/>
        </w:trPr>
        <w:tc>
          <w:tcPr>
            <w:tcW w:w="1085" w:type="dxa"/>
            <w:tcBorders>
              <w:top w:val="single" w:sz="2" w:space="0" w:color="000000"/>
              <w:bottom w:val="single" w:sz="6" w:space="0" w:color="000000"/>
            </w:tcBorders>
          </w:tcPr>
          <w:p>
            <w:pPr>
              <w:pStyle w:val="Normal"/>
              <w:widowControl w:val="false"/>
              <w:suppressAutoHyphens w:val="true"/>
              <w:spacing w:lineRule="auto" w:line="240" w:before="0" w:after="0"/>
              <w:ind w:left="248"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MD</w:t>
            </w:r>
          </w:p>
        </w:tc>
        <w:tc>
          <w:tcPr>
            <w:tcW w:w="796"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0–2</w:t>
            </w:r>
          </w:p>
        </w:tc>
        <w:tc>
          <w:tcPr>
            <w:tcW w:w="892" w:type="dxa"/>
            <w:gridSpan w:val="3"/>
            <w:tcBorders>
              <w:top w:val="single" w:sz="2" w:space="0" w:color="000000"/>
              <w:bottom w:val="single" w:sz="6"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3</w:t>
            </w:r>
          </w:p>
        </w:tc>
        <w:tc>
          <w:tcPr>
            <w:tcW w:w="801"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4</w:t>
            </w:r>
          </w:p>
        </w:tc>
        <w:tc>
          <w:tcPr>
            <w:tcW w:w="800"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5</w:t>
            </w:r>
          </w:p>
        </w:tc>
        <w:tc>
          <w:tcPr>
            <w:tcW w:w="713"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w:t>
            </w:r>
          </w:p>
        </w:tc>
        <w:tc>
          <w:tcPr>
            <w:tcW w:w="896" w:type="dxa"/>
            <w:gridSpan w:val="3"/>
            <w:tcBorders>
              <w:top w:val="single" w:sz="2" w:space="0" w:color="000000"/>
              <w:bottom w:val="single" w:sz="6" w:space="0" w:color="000000"/>
            </w:tcBorders>
          </w:tcPr>
          <w:p>
            <w:pPr>
              <w:pStyle w:val="Normal"/>
              <w:widowControl w:val="false"/>
              <w:suppressAutoHyphens w:val="true"/>
              <w:spacing w:lineRule="auto" w:line="240" w:before="0" w:after="0"/>
              <w:ind w:left="90"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7</w:t>
            </w:r>
          </w:p>
        </w:tc>
        <w:tc>
          <w:tcPr>
            <w:tcW w:w="758" w:type="dxa"/>
            <w:gridSpan w:val="3"/>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8</w:t>
            </w:r>
          </w:p>
        </w:tc>
        <w:tc>
          <w:tcPr>
            <w:tcW w:w="807" w:type="dxa"/>
            <w:gridSpan w:val="2"/>
            <w:tcBorders>
              <w:top w:val="single" w:sz="2" w:space="0" w:color="000000"/>
              <w:bottom w:val="single" w:sz="6" w:space="0" w:color="000000"/>
            </w:tcBorders>
          </w:tcPr>
          <w:p>
            <w:pPr>
              <w:pStyle w:val="Normal"/>
              <w:widowControl w:val="false"/>
              <w:suppressAutoHyphens w:val="true"/>
              <w:spacing w:lineRule="auto" w:line="240" w:before="0" w:after="0"/>
              <w:ind w:left="45" w:hanging="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9</w:t>
            </w:r>
          </w:p>
        </w:tc>
        <w:tc>
          <w:tcPr>
            <w:tcW w:w="668"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10</w:t>
            </w:r>
          </w:p>
        </w:tc>
        <w:tc>
          <w:tcPr>
            <w:tcW w:w="921"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11–12</w:t>
            </w:r>
          </w:p>
        </w:tc>
        <w:tc>
          <w:tcPr>
            <w:tcW w:w="769" w:type="dxa"/>
            <w:gridSpan w:val="2"/>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6.7</w:t>
            </w:r>
          </w:p>
        </w:tc>
        <w:tc>
          <w:tcPr>
            <w:tcW w:w="559" w:type="dxa"/>
            <w:tcBorders>
              <w:top w:val="single" w:sz="2" w:space="0" w:color="000000"/>
              <w:bottom w:val="single" w:sz="6"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1.74</w:t>
            </w:r>
          </w:p>
        </w:tc>
      </w:tr>
    </w:tbl>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Discussion</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Im, Kim &amp; Miao (2020, p.92), in a pandemic, consumers' propensity to follow the lead of others can be determined by this paper's analysis. In addition, the normalized parameters obtained through the survey are only applicable to Marks &amp; Spencer shoppers who have not yet purchased anything from the store. They may not apply to other types of shoppers. As a consequence of these characteristics, the shopping experience at Marks &amp; Spencer has been enhanced. However, the findings cannot be applied to customers who have recently bought anything from this retailer.</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Increased Marks &amp; Spencer purchases depended on whether a person is a "reflexive buyer." External and internal factors are two different ways to look at the variables that go into making a product. These situations make it imperative for a person to respond quickly. External factors include a lack of customer awareness and experience. The customer's ability to adapt to Marks &amp; Spencer shopping and their level of introversion are among the internal factors. Multi-factor personality analysis can be used to identify both. Even in the virtual world, changes in the loading of reflexive personality traits may impact decision-making. Normalization allowed for the presentation of a result as a dependent function (Fletcher &amp; Park, 2017, p.1287).</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On the other side, the research found that consumers in the new COVID reality are more likely to purchase products and services from Marks &amp; Spencer, cut down on discretionary spending, and prioritize their safety. Despite this, researchers found that customers' commitment to introversion had decreased. Indirectly, these findings reflect the following considerations for customers: price, availability, convenience, and cleanliness in a pandemic. As the epidemic spreads and the amount of time available to purchase at Marks &amp; Spencer reduces, our research found that Marks &amp; Spencer customers are becoming more selective and cautious. There was a correlation between the proportion of impulsive purchases decreasing and an increase in the percentage of planned purchases.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Limitations of the research have been identified. The current results were based on the analysis of subjective views. An accurate result requires many participants, but large data sets can be challenging to process. With the right software, this problem can be solved. A variety of other factors also constrained consumers in this study.</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Sohn (2017, p.30), as a starting point, this research provides a methodology for measuring the economic efficiency of reflexive management approaches integrated to affect customer buying experiences. In this situation, future studies may concentrate on predicting the revenue gained after integrating these activities, their integration costs, and the actual income earned before integrating these practices. The proposed plan has the potential to be implemented at the state level. Using this data, Marks &amp; Spencer may build policies and plans for e-commerce development and public service delivery that account for critical patterns in the purchase experience.</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Conclusions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online traffic research, an increase in Marks &amp; Spencer store visits was seen in the wake of the coronavirus outbreak. Customers of Mark &amp; Spencer were shown to have a strong desire to shop regularly. As a result of the epidemic, customers of Marks &amp; Spencer were encouraged to maintain a consistent shopping experience. According to the correlation study, reflexive consumer characteristics significantly correlate with M&amp;S purchasing behavior. In addition, there was an upward trend in the strength of the connections between the variables examined.</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First, the purchase experience at Marks and Spencer relied only on Consumer Awareness and Introversion, whereas other characteristics had minimal effect. Nevertheless, as the COVID-19 epidemic spread, the situation shifted dramatically in our favor. In addition to the importance of consumer awareness and experience, the speed with which consumers make decisions also increased. However, introversion had lost its power (Dannenberg et al. 2020, p.550).</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Borodin et al. (2019, p.1658), promptness in decision making and the constancy of the online purchasing experience have a modest correlation with Introversion. Due to these changes, consumers grew less averse to e-commerce and warier about making judgments. Customers of Marks &amp; Spencer have also become more knowledgeable. During the COVID-19 era, the research found that the variables affecting Marks &amp; Spencer customers' buying behavior changed. Faster Decision Making appears to be a more crucial factor in Marks &amp; Spencer purchases than before.</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As a result of this research, an updated Cattell's technique and correlation analysis have been offered as part of a methodological toolbox for evaluating the shopping experience of Marks &amp; Spencer customers. For Marks &amp; Spencer customers, this enables the identification of the most critical aspects that influence their shopping experience. Consistency, introversion, adaptability, customer awareness and experience, and speed of decision-making are all factors to consider while making an online purchase. Marks &amp; Spencer's purchase experience may be assessed dynamically to discover the most important global, regional, and national trends. Because of this, Marks &amp; Spencer will be better equipped to boost sales should there be any epidemic.</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Afonasova et al. (2019, p.25), customers are spending more and more time online, which means that the cost of attracting new customers is decreasing, so innovative entrepreneurs need to take advantage of this by improving websites, updating social network accounts and actively maintaining their profiles, and spending a reasonable amount of marketing budget on these. Using quarantine time to develop long-term connections with customers and personalize electronic marketing tools results in a devoted following of customers and a boost in long-term reputational capital, according to this research.</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According to (Shvidanenko, Sica, &amp; Busarieva, 2019, p.130), the findings of this research are based on the views of Marks &amp; Spencer customers who have been polled over some time. It is typical for consumers' needs and desires to shift in a rapidly changing environment. When a survey has many participants, the results are more accurate. On the other hand, the survey data is challenging to work with. This constraint must be minimized by creating software that automates the process, decreases the time required, and makes it possible to diagnose the user's experience regularly.</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Reflexive management in the marketing activities of firms may be assessed using this study's findings in the future, providing the foundation for a systematic way to evaluate their economic efficiency. This is conceivable because of the difference in revenue gained after adopting the mechanism, the cost of its implementation, and the income received for the same time before applying the mechanism. As a good phenomenon at the state level, Marks &amp; Spencer believes that identifying significant patterns in the purchase experience may establish particular regulations or e-commerce plans for specific businesses and deliver public services.</w:t>
      </w:r>
    </w:p>
    <w:p>
      <w:pPr>
        <w:pStyle w:val="Normal"/>
        <w:spacing w:lineRule="auto" w:line="480"/>
        <w:jc w:val="both"/>
        <w:rPr>
          <w:rFonts w:ascii="Times New Roman" w:hAnsi="Times New Roman" w:cs="Times New Roman"/>
          <w:sz w:val="24"/>
          <w:szCs w:val="24"/>
        </w:rPr>
      </w:pPr>
      <w:r>
        <w:rPr>
          <w:rFonts w:cs="Times New Roman" w:ascii="Times New Roman" w:hAnsi="Times New Roman"/>
          <w:sz w:val="24"/>
          <w:szCs w:val="24"/>
        </w:rPr>
        <w:t>Part 2</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The COVID-19 disaster will surrender in some unspecified time in the future. We count on adjustments in customer choices and enterprise models to out live the on the spot disaster. This has began to play out in China. There has been a 55 percent growth in customers intending to shift to online grocery shopping for permanently and three to 6 percentage factors in ordinary e-trade penetration after COVID-19. Some customers will be attempting digital and faraway opinions for the primary time. In China, the proportion of customers over the age of 45 the use of e-alternate stepped forward by way of the use of 27 percent from January to February 2020, in keeping with Chinese market-studies company QuestMobile. Once they're acclimated to new virtual or remote fashions, we anticipate some clients to update completely or increase their usage. These accelerating conduct shifts have been already underway in advance than the disaster.</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Further, as soon as the general public-health crisis has subsided, economic impacts will persist. Leading agencies will deliver on the client stories which can be rising as maximum vital within the “subsequent to normal” at the same time as finding ways to maintain and self-fund.</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t>Find financial savings with out sacrificing enjoy. In a downturn, cutting expenses is inevitable. But that doesn't need to come on the value of a superb consumer revel in, that could create exceptional rate. Often, the first-rate strategies to improve enjoy and performance on the equal time are to increase digital self-carrier and to make greater smart operational alternate-offs grounded in what subjects maximum to customers. In industries like banking, virtual servicing and sales are an awful lot less pricey than branch- and talk to-primarily based strategies. The trouble for plenty banks is that too few customers reach that component due to the fact they discover virtual channels uncommon and intimidating. Migrating clients to digital channels is often a a hit way to boost monetary savings and delight. Teams can adopt this consumer-centric mindset in any fee-reducing exercising, inclusive of migrating customers to self-serve channels, drastically simplifying a product portfolio, or optimizing carrier-degree agreements.</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left="720" w:hanging="720"/>
        <w:jc w:val="center"/>
        <w:rPr>
          <w:rFonts w:ascii="Times New Roman" w:hAnsi="Times New Roman" w:cs="Times New Roman"/>
          <w:sz w:val="24"/>
          <w:szCs w:val="24"/>
        </w:rPr>
      </w:pPr>
      <w:r>
        <w:rPr>
          <w:rFonts w:cs="Times New Roman" w:ascii="Times New Roman" w:hAnsi="Times New Roman"/>
          <w:sz w:val="24"/>
          <w:szCs w:val="24"/>
        </w:rPr>
        <w:t>References</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Abid, A.; Jie, S. Impact of COVID-19 on agricultural food: A Strengths, Weaknesses, Opportunities, and Threats (SWOT) analysis. Food Front. 2021, in press.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Afonasova, M.A.; Panfilova, E.E.; Galichkina, M.A.; Slusarczyk, B. Digitalization in economy and innovation: The effect on social and economic processes. Pol. J. Manag. Stud. 2019, 19, 22–32.</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Alessa, A.A.; Alotaibie, T.M.; Elmoez, Z.; Alhamad, H.E. Impact of COVID-19 on entrepreneurship and consumer behavior: A case study in Saudi Arabia. J. Asian Finance. Econ. Bus. 2021, 8, 201–210.</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Ali, B.J. Impact of consumer animosity, boycott participation, boycott motivation, and product judgment on purchase readiness or aversion of Kurdish consumers in Iraq. J. Consum. Aff. 2021, 55, 504–523.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Borodin, A.; Shash, N.; Panaedova, G.; Frumina, S.; Kairbekuly, A.; Mityushina, I. The impact of the publication of non-financial statements on the financial performance of companies with the identification of intersectoral features. Entrep. Sustain. Issues 2019, 7, 1654–1665.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Dannenberg, P.; Fuchs, M.; Riedler, T.; Wiedemann, C. Digital transition by COVID-19 pandemic? The German food online retail. Tijdschr. Econ. Soc. Geogr. 2020, 111, 543–560.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Fletcher, R.; Park, S. The impact of trust in the news media on online news consumption and participation. Digit. J. 2017, 5, 1281–1299.</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Guthrie, C.; Fosso-Wamba, S.; Arnaud, J.B. Online consumer resilience during a pandemic: An exploratory study of e-commerce behavior before, during and after a COVID-19 lockdown. J. Retail. Consum. Serv. 2021, 61, 102570.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Im, J.; Kim, H.; Miao, L. CEO letters: Hospitality corporate narratives during the COVID-19 pandemic. Int. J. Hosp. Manag. 2021, 92, 102701.</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Shvidanenko, O.; Sica, E.; Busarieva, T. Creativity as a new production factor of the world economy. Manag. Theory Studi. Rural Bus. Infrastruct. Dev. 2019, 41, 127–134.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Sohn, S. A contextual perspective on consumers’ perceived usefulness: The case of mobile online shopping. J. Retail. Consum. Serv. 2017, 38, 22–33.</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 xml:space="preserve">Tran, L.T.T. Managing the effectiveness of e-commerce platforms in a pandemic. J. Retail. Consum. Serv. 2021, 58, 102287. </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Wanasida, A.S.; Bernarto, I.; Sudibjo, N.; Purwanto, A. The role of business capabilities in supporting organization agility and performance during the COVID-19 pandemic: An empirical study in Indonesia. J. Asian Financ. Econ. Bus. 2021, 8, 897–911.</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Xayrullaevna, S.N.; Pakhritdinovna, K.D.; Anvarovna, B.G. Digitalization of the economy during a pandemic: Accelerating the pace of development. JCR 2020, 7, 2491–2498.</w:t>
      </w:r>
    </w:p>
    <w:p>
      <w:pPr>
        <w:pStyle w:val="Normal"/>
        <w:spacing w:lineRule="auto" w:line="480"/>
        <w:ind w:left="720" w:hanging="720"/>
        <w:rPr>
          <w:rFonts w:ascii="Times New Roman" w:hAnsi="Times New Roman" w:cs="Times New Roman"/>
          <w:sz w:val="24"/>
          <w:szCs w:val="24"/>
        </w:rPr>
      </w:pPr>
      <w:r>
        <w:rPr>
          <w:rFonts w:cs="Times New Roman" w:ascii="Times New Roman" w:hAnsi="Times New Roman"/>
          <w:sz w:val="24"/>
          <w:szCs w:val="24"/>
        </w:rPr>
        <w:t>Doustkam, M.; Pourheydari, S.; Mansouri, A.; Shahraki-Mohajer, A.; Ebrahimi, A.; Goli, F.; Afshar-Zanjani, H.; Hekmatipour, B. The mediating role of psychosomatic symptoms in the relationship between personality characteristics and marital conflicts. Int. J. Body Mind Cult. 2021, 8, 19–27.</w:t>
      </w:r>
    </w:p>
    <w:p>
      <w:pPr>
        <w:pStyle w:val="Normal"/>
        <w:spacing w:lineRule="auto" w:line="480" w:before="0" w:after="160"/>
        <w:ind w:left="720" w:hanging="720"/>
        <w:rPr>
          <w:rFonts w:ascii="Times New Roman" w:hAnsi="Times New Roman" w:cs="Times New Roman"/>
          <w:sz w:val="24"/>
          <w:szCs w:val="24"/>
        </w:rPr>
      </w:pPr>
      <w:r>
        <w:rPr>
          <w:rFonts w:cs="Times New Roman" w:ascii="Times New Roman" w:hAnsi="Times New Roman"/>
          <w:sz w:val="24"/>
          <w:szCs w:val="24"/>
        </w:rPr>
        <w:t>Luu, S.; ElBassiouny, A. Factor analysis in personality research. In The Wiley Encyclopedia of Personality and Individual Differences: Measurement and Assessment; Wiley: Hoboken, NJ, USA, 2020; pp. 109–111.</w:t>
      </w:r>
    </w:p>
    <w:sectPr>
      <w:type w:val="nextPage"/>
      <w:pgSz w:w="12240" w:h="15840"/>
      <w:pgMar w:left="1440" w:right="1440" w:gutter="0" w:header="0" w:top="72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95"/>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3">
    <w:name w:val="Heading 3"/>
    <w:basedOn w:val="Normal"/>
    <w:link w:val="Heading3Char"/>
    <w:uiPriority w:val="9"/>
    <w:qFormat/>
    <w:rsid w:val="001b33d9"/>
    <w:pPr>
      <w:spacing w:lineRule="auto" w:line="240" w:beforeAutospacing="1" w:afterAutospacing="1"/>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qFormat/>
    <w:rPr/>
  </w:style>
  <w:style w:type="character" w:styleId="Heading3Char" w:customStyle="1">
    <w:name w:val="Heading 3 Char"/>
    <w:basedOn w:val="DefaultParagraphFont"/>
    <w:link w:val="Heading3"/>
    <w:uiPriority w:val="9"/>
    <w:qFormat/>
    <w:rsid w:val="001b33d9"/>
    <w:rPr>
      <w:rFonts w:ascii="Times New Roman" w:hAnsi="Times New Roman" w:eastAsia="Times New Roman" w:cs="Times New Roman"/>
      <w:b/>
      <w:bCs/>
      <w:sz w:val="27"/>
      <w:szCs w:val="27"/>
    </w:rPr>
  </w:style>
  <w:style w:type="character" w:styleId="HeaderChar" w:customStyle="1">
    <w:name w:val="Header Char"/>
    <w:basedOn w:val="DefaultParagraphFont"/>
    <w:link w:val="Header"/>
    <w:uiPriority w:val="99"/>
    <w:qFormat/>
    <w:rsid w:val="00ac2040"/>
    <w:rPr/>
  </w:style>
  <w:style w:type="character" w:styleId="FooterChar" w:customStyle="1">
    <w:name w:val="Footer Char"/>
    <w:basedOn w:val="DefaultParagraphFont"/>
    <w:link w:val="Footer"/>
    <w:uiPriority w:val="99"/>
    <w:qFormat/>
    <w:rsid w:val="00ac2040"/>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Web">
    <w:name w:val="Normal (Web)"/>
    <w:basedOn w:val="Normal"/>
    <w:uiPriority w:val="99"/>
    <w:semiHidden/>
    <w:unhideWhenUsed/>
    <w:qFormat/>
    <w:rsid w:val="001b33d9"/>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uiPriority w:val="34"/>
    <w:qFormat/>
    <w:rsid w:val="005b0fda"/>
    <w:pPr>
      <w:spacing w:before="0" w:after="160"/>
      <w:ind w:left="720" w:hanging="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ac2040"/>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ac2040"/>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ea1508"/>
    <w:pPr>
      <w:spacing w:after="0" w:line="240" w:lineRule="auto"/>
    </w:pPr>
    <w:rPr>
      <w:rFonts w:eastAsiaTheme="minorEastAsia"/>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D03B3-F702-4F00-80D3-30672F2C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Application>LibreOffice/7.3.2.2$Windows_X86_64 LibreOffice_project/49f2b1bff42cfccbd8f788c8dc32c1c309559be0</Application>
  <AppVersion>15.0000</AppVersion>
  <Pages>19</Pages>
  <Words>5133</Words>
  <Characters>26971</Characters>
  <CharactersWithSpaces>31608</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2022-04-15T03:28:00Z</dcterms:created>
  <dc:creator>Microsoft account</dc:creator>
  <dc:description/>
  <dc:language>en-GB</dc:language>
  <cp:lastModifiedBy/>
  <dcterms:modified xsi:type="dcterms:W3CDTF">2022-05-01T20:11:43Z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