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3990B" w14:textId="67390428" w:rsidR="008A4EE6" w:rsidRDefault="008A4EE6" w:rsidP="008A4EE6">
      <w:pPr>
        <w:spacing w:after="0" w:line="360" w:lineRule="auto"/>
        <w:jc w:val="center"/>
        <w:rPr>
          <w:rFonts w:ascii="Times New Roman" w:eastAsia="Arial" w:hAnsi="Times New Roman" w:cs="Times New Roman"/>
          <w:b/>
          <w:bCs/>
          <w:noProof/>
          <w:sz w:val="24"/>
          <w:szCs w:val="24"/>
          <w:lang w:val="en-US" w:eastAsia="en-MY"/>
        </w:rPr>
      </w:pPr>
      <w:r>
        <w:rPr>
          <w:rFonts w:ascii="Times New Roman" w:hAnsi="Times New Roman" w:cs="Times New Roman"/>
          <w:b/>
          <w:noProof/>
          <w:sz w:val="24"/>
          <w:szCs w:val="24"/>
        </w:rPr>
        <w:drawing>
          <wp:inline distT="0" distB="0" distL="0" distR="0" wp14:anchorId="370CC8A7" wp14:editId="007A7AF3">
            <wp:extent cx="4749800" cy="1568450"/>
            <wp:effectExtent l="0" t="0" r="0" b="0"/>
            <wp:docPr id="1022687258"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49800" cy="1568450"/>
                    </a:xfrm>
                    <a:prstGeom prst="rect">
                      <a:avLst/>
                    </a:prstGeom>
                    <a:noFill/>
                    <a:ln>
                      <a:noFill/>
                    </a:ln>
                  </pic:spPr>
                </pic:pic>
              </a:graphicData>
            </a:graphic>
          </wp:inline>
        </w:drawing>
      </w:r>
    </w:p>
    <w:p w14:paraId="1C23124A" w14:textId="77777777" w:rsidR="008A4EE6" w:rsidRDefault="008A4EE6" w:rsidP="008A4EE6">
      <w:pPr>
        <w:spacing w:after="0" w:line="360" w:lineRule="auto"/>
        <w:jc w:val="both"/>
        <w:rPr>
          <w:rFonts w:ascii="Times New Roman" w:eastAsia="Arial" w:hAnsi="Times New Roman" w:cs="Times New Roman"/>
          <w:b/>
          <w:bCs/>
          <w:noProof/>
          <w:sz w:val="24"/>
          <w:szCs w:val="24"/>
          <w:lang w:val="en-US" w:eastAsia="en-MY"/>
        </w:rPr>
      </w:pPr>
    </w:p>
    <w:p w14:paraId="08816BD1" w14:textId="77777777" w:rsidR="008A4EE6" w:rsidRDefault="008A4EE6" w:rsidP="008A4EE6">
      <w:pPr>
        <w:tabs>
          <w:tab w:val="left" w:pos="4536"/>
        </w:tabs>
        <w:spacing w:line="360" w:lineRule="auto"/>
        <w:jc w:val="both"/>
        <w:rPr>
          <w:rFonts w:ascii="Times New Roman" w:hAnsi="Times New Roman" w:cs="Times New Roman"/>
          <w:b/>
          <w:bCs/>
          <w:sz w:val="24"/>
          <w:szCs w:val="24"/>
        </w:rPr>
      </w:pPr>
    </w:p>
    <w:p w14:paraId="6811D69D" w14:textId="77777777" w:rsidR="008A4EE6" w:rsidRDefault="008A4EE6" w:rsidP="008A4EE6">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IUMW </w:t>
      </w:r>
    </w:p>
    <w:p w14:paraId="0F632CE4" w14:textId="77777777" w:rsidR="008A4EE6" w:rsidRDefault="008A4EE6" w:rsidP="008A4EE6">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CHANGEMAKERS: CREATIVITY AND VALUE CREATION</w:t>
      </w:r>
    </w:p>
    <w:p w14:paraId="6ABDD0DC" w14:textId="77777777" w:rsidR="008A4EE6" w:rsidRDefault="008A4EE6" w:rsidP="008A4EE6">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(IUBA5002)</w:t>
      </w:r>
    </w:p>
    <w:p w14:paraId="0F02844E" w14:textId="77777777" w:rsidR="008A4EE6" w:rsidRDefault="008A4EE6" w:rsidP="008A4EE6">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E-PORTFOLIO EVIDENCE OF LEARNING</w:t>
      </w:r>
    </w:p>
    <w:p w14:paraId="6E9A6BE4" w14:textId="77777777" w:rsidR="008A4EE6" w:rsidRDefault="008A4EE6" w:rsidP="008A4EE6">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 1</w:t>
      </w:r>
    </w:p>
    <w:p w14:paraId="3529F593" w14:textId="77777777" w:rsidR="008A4EE6" w:rsidRDefault="008A4EE6" w:rsidP="008A4EE6">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MYFANWY DAVIES</w:t>
      </w:r>
    </w:p>
    <w:p w14:paraId="25BEEA09" w14:textId="77777777" w:rsidR="008A4EE6" w:rsidRDefault="008A4EE6" w:rsidP="008A4EE6">
      <w:pPr>
        <w:spacing w:after="0" w:line="360" w:lineRule="auto"/>
        <w:jc w:val="both"/>
        <w:rPr>
          <w:rFonts w:ascii="Times New Roman" w:eastAsia="Arial" w:hAnsi="Times New Roman" w:cs="Times New Roman"/>
          <w:b/>
          <w:bCs/>
          <w:noProof/>
          <w:sz w:val="24"/>
          <w:szCs w:val="24"/>
          <w:lang w:val="en-US" w:eastAsia="en-MY"/>
        </w:rPr>
      </w:pPr>
    </w:p>
    <w:p w14:paraId="282528BF" w14:textId="77777777" w:rsidR="008A4EE6" w:rsidRDefault="008A4EE6" w:rsidP="008A4EE6">
      <w:pPr>
        <w:spacing w:after="0" w:line="360" w:lineRule="auto"/>
        <w:jc w:val="both"/>
        <w:rPr>
          <w:rFonts w:ascii="Times New Roman" w:eastAsia="Arial" w:hAnsi="Times New Roman" w:cs="Times New Roman"/>
          <w:b/>
          <w:bCs/>
          <w:sz w:val="24"/>
          <w:szCs w:val="24"/>
          <w:lang w:val="en-US" w:eastAsia="en-MY"/>
        </w:rPr>
      </w:pPr>
    </w:p>
    <w:tbl>
      <w:tblPr>
        <w:tblStyle w:val="TableGrid"/>
        <w:tblpPr w:leftFromText="180" w:rightFromText="180" w:bottomFromText="160" w:vertAnchor="text" w:horzAnchor="margin" w:tblpXSpec="center" w:tblpY="226"/>
        <w:tblW w:w="0" w:type="auto"/>
        <w:tblInd w:w="0" w:type="dxa"/>
        <w:tblLook w:val="04A0" w:firstRow="1" w:lastRow="0" w:firstColumn="1" w:lastColumn="0" w:noHBand="0" w:noVBand="1"/>
      </w:tblPr>
      <w:tblGrid>
        <w:gridCol w:w="1697"/>
        <w:gridCol w:w="993"/>
        <w:gridCol w:w="6326"/>
      </w:tblGrid>
      <w:tr w:rsidR="008A4EE6" w14:paraId="1C4A598B" w14:textId="77777777" w:rsidTr="00896263">
        <w:trPr>
          <w:trHeight w:val="1141"/>
        </w:trPr>
        <w:tc>
          <w:tcPr>
            <w:tcW w:w="1701" w:type="dxa"/>
            <w:tcBorders>
              <w:top w:val="single" w:sz="4" w:space="0" w:color="auto"/>
              <w:left w:val="single" w:sz="4" w:space="0" w:color="auto"/>
              <w:bottom w:val="single" w:sz="4" w:space="0" w:color="auto"/>
              <w:right w:val="single" w:sz="4" w:space="0" w:color="auto"/>
            </w:tcBorders>
          </w:tcPr>
          <w:p w14:paraId="3498FA2F" w14:textId="77777777" w:rsidR="008A4EE6" w:rsidRDefault="008A4EE6" w:rsidP="00896263">
            <w:pPr>
              <w:spacing w:after="0" w:line="360" w:lineRule="auto"/>
              <w:rPr>
                <w:rFonts w:eastAsia="Arial"/>
                <w:b/>
                <w:bCs/>
                <w:sz w:val="24"/>
                <w:szCs w:val="24"/>
                <w:lang w:eastAsia="en-MY"/>
              </w:rPr>
            </w:pPr>
          </w:p>
          <w:p w14:paraId="6BC2ABE5" w14:textId="77777777" w:rsidR="008A4EE6" w:rsidRDefault="008A4EE6" w:rsidP="00896263">
            <w:pPr>
              <w:spacing w:after="0" w:line="360" w:lineRule="auto"/>
              <w:rPr>
                <w:rFonts w:eastAsia="Arial"/>
                <w:b/>
                <w:bCs/>
                <w:sz w:val="24"/>
                <w:szCs w:val="24"/>
                <w:lang w:eastAsia="en-MY"/>
              </w:rPr>
            </w:pPr>
            <w:r>
              <w:rPr>
                <w:rFonts w:eastAsia="Arial"/>
                <w:b/>
                <w:bCs/>
                <w:sz w:val="24"/>
                <w:szCs w:val="24"/>
                <w:lang w:eastAsia="en-MY"/>
              </w:rPr>
              <w:t>Name</w:t>
            </w:r>
          </w:p>
          <w:p w14:paraId="264973B1" w14:textId="77777777" w:rsidR="008A4EE6" w:rsidRDefault="008A4EE6" w:rsidP="00896263">
            <w:pPr>
              <w:spacing w:after="0" w:line="360" w:lineRule="auto"/>
              <w:rPr>
                <w:rFonts w:eastAsia="Arial"/>
                <w:b/>
                <w:bCs/>
                <w:sz w:val="24"/>
                <w:szCs w:val="24"/>
                <w:lang w:eastAsia="en-MY"/>
              </w:rPr>
            </w:pPr>
          </w:p>
        </w:tc>
        <w:tc>
          <w:tcPr>
            <w:tcW w:w="996" w:type="dxa"/>
            <w:tcBorders>
              <w:top w:val="single" w:sz="4" w:space="0" w:color="auto"/>
              <w:left w:val="single" w:sz="4" w:space="0" w:color="auto"/>
              <w:bottom w:val="single" w:sz="4" w:space="0" w:color="auto"/>
              <w:right w:val="single" w:sz="4" w:space="0" w:color="auto"/>
            </w:tcBorders>
          </w:tcPr>
          <w:p w14:paraId="6AE81EBF" w14:textId="77777777" w:rsidR="008A4EE6" w:rsidRDefault="008A4EE6" w:rsidP="00896263">
            <w:pPr>
              <w:spacing w:after="0" w:line="360" w:lineRule="auto"/>
              <w:rPr>
                <w:rFonts w:eastAsia="Arial"/>
                <w:b/>
                <w:bCs/>
                <w:sz w:val="24"/>
                <w:szCs w:val="24"/>
                <w:lang w:eastAsia="en-MY"/>
              </w:rPr>
            </w:pPr>
          </w:p>
          <w:p w14:paraId="65F0703C" w14:textId="77777777" w:rsidR="008A4EE6" w:rsidRDefault="008A4EE6" w:rsidP="00896263">
            <w:pPr>
              <w:spacing w:after="0" w:line="360" w:lineRule="auto"/>
              <w:rPr>
                <w:rFonts w:eastAsia="Arial"/>
                <w:b/>
                <w:bCs/>
                <w:sz w:val="24"/>
                <w:szCs w:val="24"/>
                <w:lang w:eastAsia="en-MY"/>
              </w:rPr>
            </w:pPr>
            <w:r>
              <w:rPr>
                <w:rFonts w:eastAsia="Arial"/>
                <w:b/>
                <w:bCs/>
                <w:sz w:val="24"/>
                <w:szCs w:val="24"/>
                <w:lang w:eastAsia="en-MY"/>
              </w:rPr>
              <w:t>:</w:t>
            </w:r>
          </w:p>
        </w:tc>
        <w:tc>
          <w:tcPr>
            <w:tcW w:w="6348" w:type="dxa"/>
            <w:tcBorders>
              <w:top w:val="single" w:sz="4" w:space="0" w:color="auto"/>
              <w:left w:val="single" w:sz="4" w:space="0" w:color="auto"/>
              <w:bottom w:val="single" w:sz="4" w:space="0" w:color="auto"/>
              <w:right w:val="single" w:sz="4" w:space="0" w:color="auto"/>
            </w:tcBorders>
          </w:tcPr>
          <w:p w14:paraId="6E704885" w14:textId="77777777" w:rsidR="008A4EE6" w:rsidRDefault="008A4EE6" w:rsidP="00896263">
            <w:pPr>
              <w:spacing w:after="0" w:line="360" w:lineRule="auto"/>
              <w:rPr>
                <w:rFonts w:eastAsia="Arial"/>
                <w:b/>
                <w:bCs/>
                <w:sz w:val="24"/>
                <w:szCs w:val="24"/>
                <w:lang w:eastAsia="en-MY"/>
              </w:rPr>
            </w:pPr>
          </w:p>
          <w:p w14:paraId="4C98C856" w14:textId="21DAF014" w:rsidR="008A4EE6" w:rsidRDefault="008A4EE6" w:rsidP="00896263">
            <w:pPr>
              <w:spacing w:after="0" w:line="360" w:lineRule="auto"/>
              <w:rPr>
                <w:rFonts w:eastAsia="Arial"/>
                <w:b/>
                <w:bCs/>
                <w:sz w:val="24"/>
                <w:szCs w:val="24"/>
                <w:lang w:eastAsia="en-MY"/>
              </w:rPr>
            </w:pPr>
            <w:r>
              <w:rPr>
                <w:rFonts w:eastAsia="Arial"/>
                <w:b/>
                <w:bCs/>
                <w:sz w:val="24"/>
                <w:szCs w:val="24"/>
                <w:lang w:eastAsia="en-MY"/>
              </w:rPr>
              <w:t xml:space="preserve">NUR ANISAH KHAIRIZAN </w:t>
            </w:r>
          </w:p>
        </w:tc>
      </w:tr>
      <w:tr w:rsidR="008A4EE6" w14:paraId="548FEC0A" w14:textId="77777777" w:rsidTr="00896263">
        <w:trPr>
          <w:trHeight w:val="1155"/>
        </w:trPr>
        <w:tc>
          <w:tcPr>
            <w:tcW w:w="1701" w:type="dxa"/>
            <w:tcBorders>
              <w:top w:val="single" w:sz="4" w:space="0" w:color="auto"/>
              <w:left w:val="single" w:sz="4" w:space="0" w:color="auto"/>
              <w:bottom w:val="single" w:sz="4" w:space="0" w:color="auto"/>
              <w:right w:val="single" w:sz="4" w:space="0" w:color="auto"/>
            </w:tcBorders>
          </w:tcPr>
          <w:p w14:paraId="6B59FC37" w14:textId="77777777" w:rsidR="008A4EE6" w:rsidRDefault="008A4EE6" w:rsidP="00896263">
            <w:pPr>
              <w:spacing w:after="0" w:line="360" w:lineRule="auto"/>
              <w:rPr>
                <w:rFonts w:eastAsia="Arial"/>
                <w:b/>
                <w:bCs/>
                <w:sz w:val="24"/>
                <w:szCs w:val="24"/>
                <w:lang w:eastAsia="en-MY"/>
              </w:rPr>
            </w:pPr>
          </w:p>
          <w:p w14:paraId="762DB832" w14:textId="77777777" w:rsidR="008A4EE6" w:rsidRDefault="008A4EE6" w:rsidP="00896263">
            <w:pPr>
              <w:spacing w:after="0" w:line="360" w:lineRule="auto"/>
              <w:rPr>
                <w:rFonts w:eastAsia="Arial"/>
                <w:b/>
                <w:bCs/>
                <w:sz w:val="24"/>
                <w:szCs w:val="24"/>
                <w:lang w:eastAsia="en-MY"/>
              </w:rPr>
            </w:pPr>
            <w:r>
              <w:rPr>
                <w:rFonts w:eastAsia="Arial"/>
                <w:b/>
                <w:bCs/>
                <w:sz w:val="24"/>
                <w:szCs w:val="24"/>
                <w:lang w:eastAsia="en-MY"/>
              </w:rPr>
              <w:t>Student ID</w:t>
            </w:r>
          </w:p>
          <w:p w14:paraId="53005DDC" w14:textId="77777777" w:rsidR="008A4EE6" w:rsidRDefault="008A4EE6" w:rsidP="00896263">
            <w:pPr>
              <w:spacing w:after="0" w:line="360" w:lineRule="auto"/>
              <w:rPr>
                <w:rFonts w:eastAsia="Arial"/>
                <w:b/>
                <w:bCs/>
                <w:sz w:val="24"/>
                <w:szCs w:val="24"/>
                <w:lang w:eastAsia="en-MY"/>
              </w:rPr>
            </w:pPr>
          </w:p>
        </w:tc>
        <w:tc>
          <w:tcPr>
            <w:tcW w:w="996" w:type="dxa"/>
            <w:tcBorders>
              <w:top w:val="single" w:sz="4" w:space="0" w:color="auto"/>
              <w:left w:val="single" w:sz="4" w:space="0" w:color="auto"/>
              <w:bottom w:val="single" w:sz="4" w:space="0" w:color="auto"/>
              <w:right w:val="single" w:sz="4" w:space="0" w:color="auto"/>
            </w:tcBorders>
          </w:tcPr>
          <w:p w14:paraId="501D98F6" w14:textId="77777777" w:rsidR="008A4EE6" w:rsidRDefault="008A4EE6" w:rsidP="00896263">
            <w:pPr>
              <w:spacing w:after="0" w:line="360" w:lineRule="auto"/>
              <w:rPr>
                <w:rFonts w:eastAsia="Arial"/>
                <w:b/>
                <w:bCs/>
                <w:sz w:val="24"/>
                <w:szCs w:val="24"/>
                <w:lang w:eastAsia="en-MY"/>
              </w:rPr>
            </w:pPr>
          </w:p>
          <w:p w14:paraId="1A81FF9E" w14:textId="77777777" w:rsidR="008A4EE6" w:rsidRDefault="008A4EE6" w:rsidP="00896263">
            <w:pPr>
              <w:spacing w:after="0" w:line="360" w:lineRule="auto"/>
              <w:rPr>
                <w:rFonts w:eastAsia="Arial"/>
                <w:b/>
                <w:bCs/>
                <w:sz w:val="24"/>
                <w:szCs w:val="24"/>
                <w:lang w:eastAsia="en-MY"/>
              </w:rPr>
            </w:pPr>
            <w:r>
              <w:rPr>
                <w:rFonts w:eastAsia="Arial"/>
                <w:b/>
                <w:bCs/>
                <w:sz w:val="24"/>
                <w:szCs w:val="24"/>
                <w:lang w:eastAsia="en-MY"/>
              </w:rPr>
              <w:t>:</w:t>
            </w:r>
          </w:p>
        </w:tc>
        <w:tc>
          <w:tcPr>
            <w:tcW w:w="6348" w:type="dxa"/>
            <w:tcBorders>
              <w:top w:val="single" w:sz="4" w:space="0" w:color="auto"/>
              <w:left w:val="single" w:sz="4" w:space="0" w:color="auto"/>
              <w:bottom w:val="single" w:sz="4" w:space="0" w:color="auto"/>
              <w:right w:val="single" w:sz="4" w:space="0" w:color="auto"/>
            </w:tcBorders>
          </w:tcPr>
          <w:p w14:paraId="0838199B" w14:textId="77777777" w:rsidR="008A4EE6" w:rsidRDefault="008A4EE6" w:rsidP="00896263">
            <w:pPr>
              <w:spacing w:after="0" w:line="360" w:lineRule="auto"/>
              <w:rPr>
                <w:rFonts w:eastAsia="Arial"/>
                <w:b/>
                <w:bCs/>
                <w:sz w:val="24"/>
                <w:szCs w:val="24"/>
                <w:lang w:eastAsia="en-MY"/>
              </w:rPr>
            </w:pPr>
          </w:p>
          <w:p w14:paraId="6B3B148A" w14:textId="274D11F9" w:rsidR="008A4EE6" w:rsidRDefault="008A4EE6" w:rsidP="00896263">
            <w:pPr>
              <w:spacing w:after="0" w:line="360" w:lineRule="auto"/>
              <w:rPr>
                <w:rFonts w:eastAsia="Arial"/>
                <w:b/>
                <w:bCs/>
                <w:sz w:val="24"/>
                <w:szCs w:val="24"/>
                <w:lang w:eastAsia="en-MY"/>
              </w:rPr>
            </w:pPr>
            <w:r>
              <w:rPr>
                <w:rFonts w:eastAsia="Arial"/>
                <w:b/>
                <w:bCs/>
                <w:sz w:val="24"/>
                <w:szCs w:val="24"/>
                <w:lang w:eastAsia="en-MY"/>
              </w:rPr>
              <w:t>(2225980) OR (20200511)</w:t>
            </w:r>
          </w:p>
        </w:tc>
      </w:tr>
    </w:tbl>
    <w:p w14:paraId="305F29DB" w14:textId="77777777" w:rsidR="008A4EE6" w:rsidRDefault="008A4EE6" w:rsidP="008A4EE6">
      <w:pPr>
        <w:spacing w:line="360" w:lineRule="auto"/>
        <w:jc w:val="both"/>
        <w:rPr>
          <w:rFonts w:ascii="Times New Roman" w:hAnsi="Times New Roman" w:cs="Times New Roman"/>
          <w:b/>
          <w:bCs/>
          <w:sz w:val="24"/>
          <w:szCs w:val="24"/>
        </w:rPr>
      </w:pPr>
    </w:p>
    <w:p w14:paraId="4DD57174" w14:textId="77777777" w:rsidR="008A4EE6" w:rsidRDefault="008A4EE6" w:rsidP="008A4EE6"/>
    <w:p w14:paraId="106E4024" w14:textId="77777777" w:rsidR="008A4EE6" w:rsidRDefault="008A4EE6" w:rsidP="008A4EE6">
      <w:pPr>
        <w:spacing w:line="360" w:lineRule="auto"/>
        <w:jc w:val="both"/>
        <w:rPr>
          <w:rFonts w:ascii="Times New Roman" w:hAnsi="Times New Roman" w:cs="Times New Roman"/>
          <w:b/>
          <w:bCs/>
          <w:sz w:val="24"/>
          <w:szCs w:val="24"/>
          <w:u w:val="single"/>
        </w:rPr>
      </w:pPr>
    </w:p>
    <w:p w14:paraId="709F661D" w14:textId="77777777" w:rsidR="008A4EE6" w:rsidRDefault="008A4EE6" w:rsidP="008A4EE6"/>
    <w:p w14:paraId="5FC276C7" w14:textId="2E1D59DA" w:rsidR="008A4EE6" w:rsidRDefault="008A4EE6">
      <w:pPr>
        <w:rPr>
          <w:rFonts w:ascii="Times New Roman" w:hAnsi="Times New Roman" w:cs="Times New Roman"/>
          <w:b/>
          <w:bCs/>
          <w:sz w:val="24"/>
          <w:szCs w:val="24"/>
          <w:u w:val="single"/>
        </w:rPr>
      </w:pPr>
    </w:p>
    <w:p w14:paraId="5C526AAA" w14:textId="77777777" w:rsidR="008A4EE6" w:rsidRDefault="008A4EE6">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7EC81D3B" w14:textId="52B74803" w:rsidR="00136AAE" w:rsidRPr="00D356D8" w:rsidRDefault="00D356D8"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lastRenderedPageBreak/>
        <w:t xml:space="preserve">TASK 1 </w:t>
      </w:r>
    </w:p>
    <w:p w14:paraId="39DC9382" w14:textId="583EDD99" w:rsidR="006E127C" w:rsidRPr="00D356D8" w:rsidRDefault="006E127C" w:rsidP="00D356D8">
      <w:pPr>
        <w:spacing w:line="360" w:lineRule="auto"/>
        <w:jc w:val="both"/>
        <w:rPr>
          <w:rFonts w:ascii="Times New Roman" w:hAnsi="Times New Roman" w:cs="Times New Roman"/>
          <w:b/>
          <w:bCs/>
          <w:sz w:val="24"/>
          <w:szCs w:val="24"/>
        </w:rPr>
      </w:pPr>
      <w:r w:rsidRPr="00D356D8">
        <w:rPr>
          <w:rFonts w:ascii="Times New Roman" w:hAnsi="Times New Roman" w:cs="Times New Roman"/>
          <w:b/>
          <w:bCs/>
          <w:sz w:val="24"/>
          <w:szCs w:val="24"/>
        </w:rPr>
        <w:t>Introduction:</w:t>
      </w:r>
    </w:p>
    <w:p w14:paraId="201F0F24" w14:textId="03A85881"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The heart of any research study lies in its research question, a fundamental component that delineates the scope and purpose of the research. In the context of my study, which seeks to unravel "The Influence of E-commerce Website Design on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Among Young People in Malaysia," it is paramount to construct a well-defined and detailed research question to guide the inquiry effectively.</w:t>
      </w:r>
    </w:p>
    <w:p w14:paraId="25B5C1F5" w14:textId="77777777" w:rsidR="006E127C" w:rsidRPr="00D356D8" w:rsidRDefault="006E127C" w:rsidP="00D356D8">
      <w:pPr>
        <w:spacing w:line="360" w:lineRule="auto"/>
        <w:jc w:val="both"/>
        <w:rPr>
          <w:rFonts w:ascii="Times New Roman" w:hAnsi="Times New Roman" w:cs="Times New Roman"/>
          <w:b/>
          <w:bCs/>
          <w:sz w:val="24"/>
          <w:szCs w:val="24"/>
        </w:rPr>
      </w:pPr>
      <w:r w:rsidRPr="00D356D8">
        <w:rPr>
          <w:rFonts w:ascii="Times New Roman" w:hAnsi="Times New Roman" w:cs="Times New Roman"/>
          <w:b/>
          <w:bCs/>
          <w:sz w:val="24"/>
          <w:szCs w:val="24"/>
        </w:rPr>
        <w:t xml:space="preserve">Research Question </w:t>
      </w:r>
    </w:p>
    <w:p w14:paraId="2CDE8E0F" w14:textId="04B340AD"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"How do specific design elements and functionalities of e-commerce websites influence the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of young consumers in Malaysia, and to what extent do these factors impact their purchase decisions?"</w:t>
      </w:r>
    </w:p>
    <w:p w14:paraId="53D9D020" w14:textId="77777777" w:rsidR="006E127C" w:rsidRPr="00D356D8" w:rsidRDefault="006E127C" w:rsidP="00D356D8">
      <w:pPr>
        <w:spacing w:line="360" w:lineRule="auto"/>
        <w:jc w:val="both"/>
        <w:rPr>
          <w:rFonts w:ascii="Times New Roman" w:hAnsi="Times New Roman" w:cs="Times New Roman"/>
          <w:b/>
          <w:bCs/>
          <w:sz w:val="24"/>
          <w:szCs w:val="24"/>
        </w:rPr>
      </w:pPr>
      <w:r w:rsidRPr="00D356D8">
        <w:rPr>
          <w:rFonts w:ascii="Times New Roman" w:hAnsi="Times New Roman" w:cs="Times New Roman"/>
          <w:b/>
          <w:bCs/>
          <w:sz w:val="24"/>
          <w:szCs w:val="24"/>
        </w:rPr>
        <w:t>Exploration of the Research Question:</w:t>
      </w:r>
    </w:p>
    <w:p w14:paraId="7CE934EA" w14:textId="77777777"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This research question encapsulates several critical components essential to understanding the study's objectives:</w:t>
      </w:r>
    </w:p>
    <w:p w14:paraId="0DC1D225" w14:textId="77777777"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Identifying the Variables: The research question commences by pinpointing the primary variables under investigation—specific design elements and functionalities of e-commerce websites.</w:t>
      </w:r>
    </w:p>
    <w:p w14:paraId="75DA775D" w14:textId="77777777"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Specific Design Elements and Functionalities: To prevent ambiguity and vagueness, the question underscores the meticulous examination of particular design elements and functionalities within the purview of e-commerce websites. This might encompass elements such as website layout, navigation features, product display strategies, search filters, user-generated reviews, and personalized recommendation systems.</w:t>
      </w:r>
    </w:p>
    <w:p w14:paraId="00959293" w14:textId="77777777" w:rsidR="00D356D8" w:rsidRDefault="00D356D8">
      <w:pPr>
        <w:rPr>
          <w:rFonts w:ascii="Times New Roman" w:hAnsi="Times New Roman" w:cs="Times New Roman"/>
          <w:sz w:val="24"/>
          <w:szCs w:val="24"/>
        </w:rPr>
      </w:pPr>
      <w:r>
        <w:rPr>
          <w:rFonts w:ascii="Times New Roman" w:hAnsi="Times New Roman" w:cs="Times New Roman"/>
          <w:sz w:val="24"/>
          <w:szCs w:val="24"/>
        </w:rPr>
        <w:br w:type="page"/>
      </w:r>
    </w:p>
    <w:p w14:paraId="1764F80D" w14:textId="4E251B4F"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lastRenderedPageBreak/>
        <w:t xml:space="preserve">Influence on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The research question proceeds to explore the core objective of the study, which is to unravel the causal relationship between the identified design elements and functionalities and their impact on the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of young consumers in Malaysia. This entails a thorough understanding of how website design influences various aspects of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including browsing habits, product selection, cart abandonment rates, and the overall shopping experience.</w:t>
      </w:r>
    </w:p>
    <w:p w14:paraId="4B79EDE6" w14:textId="77777777"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Extent of Impact on Purchase Decisions: Lastly, the research question seeks to gauge the magnitude of the identified influences on purchase decisions. It prompts an investigation into whether these design elements and functionalities wield substantial influence, potentially leading to increased sales, elevated order values, or heightened purchase frequency among young consumers.</w:t>
      </w:r>
    </w:p>
    <w:p w14:paraId="10EB1845" w14:textId="1AA5E90D" w:rsidR="00136AAE" w:rsidRPr="00D356D8" w:rsidRDefault="006E127C"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sz w:val="24"/>
          <w:szCs w:val="24"/>
        </w:rPr>
        <w:br w:type="page"/>
      </w:r>
      <w:r w:rsidRPr="00D356D8">
        <w:rPr>
          <w:rFonts w:ascii="Times New Roman" w:hAnsi="Times New Roman" w:cs="Times New Roman"/>
          <w:b/>
          <w:bCs/>
          <w:sz w:val="24"/>
          <w:szCs w:val="24"/>
          <w:u w:val="single"/>
        </w:rPr>
        <w:lastRenderedPageBreak/>
        <w:t>Deductive Research Approach:</w:t>
      </w:r>
    </w:p>
    <w:p w14:paraId="5A430B8D" w14:textId="0F680974"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I have embraced a meticulously structured deductive research approach, characterized by its inception with a comprehensive theoretical framework, hypothesis, or established paradigm. Subsequently, this approach meticulously scrutinizes specific hypotheses or conjectures that derive their genesis from the aforementioned theoretical foundation. A quintessential hallmark of deductive reasoning resides in its relentless pursuit of quantitative data, a rigorous </w:t>
      </w:r>
      <w:r w:rsidR="00D356D8" w:rsidRPr="00D356D8">
        <w:rPr>
          <w:rFonts w:ascii="Times New Roman" w:hAnsi="Times New Roman" w:cs="Times New Roman"/>
          <w:sz w:val="24"/>
          <w:szCs w:val="24"/>
        </w:rPr>
        <w:t>endeavour</w:t>
      </w:r>
      <w:r w:rsidRPr="00D356D8">
        <w:rPr>
          <w:rFonts w:ascii="Times New Roman" w:hAnsi="Times New Roman" w:cs="Times New Roman"/>
          <w:sz w:val="24"/>
          <w:szCs w:val="24"/>
        </w:rPr>
        <w:t xml:space="preserve"> aimed at either substantiating or negating these carefully curated hypotheses. Deductive reasoning, in its essence, embarks on a journey from the realm of the broadly general to the precariously specific, with the ultimate aspiration of endowing empirical substantiation to pre-existing theories or conceptual constructs (Babbie, 2016).</w:t>
      </w:r>
    </w:p>
    <w:p w14:paraId="591EF364" w14:textId="77777777" w:rsidR="006E127C" w:rsidRPr="00D356D8" w:rsidRDefault="006E127C"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t>Inductive Research Approach:</w:t>
      </w:r>
    </w:p>
    <w:p w14:paraId="136C34FF" w14:textId="62930F94"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Concurrently, my research </w:t>
      </w:r>
      <w:r w:rsidR="00D356D8" w:rsidRPr="00D356D8">
        <w:rPr>
          <w:rFonts w:ascii="Times New Roman" w:hAnsi="Times New Roman" w:cs="Times New Roman"/>
          <w:sz w:val="24"/>
          <w:szCs w:val="24"/>
        </w:rPr>
        <w:t>endeavours</w:t>
      </w:r>
      <w:r w:rsidRPr="00D356D8">
        <w:rPr>
          <w:rFonts w:ascii="Times New Roman" w:hAnsi="Times New Roman" w:cs="Times New Roman"/>
          <w:sz w:val="24"/>
          <w:szCs w:val="24"/>
        </w:rPr>
        <w:t xml:space="preserve"> embrace the sphere of inductive research, an exploratory odyssey that commences with a keen scrutiny of specific observations or empirical data. The overarching objective of this voyage is the discernment of latent patterns, overarching themes, or overarching principia that emerge organically from the sea of empirical observations. This inductive sojourn follows an upward trajectory, originating from the depths of the intensely particular and ascending towards the exalted realm of the broadly general. In the process, it </w:t>
      </w:r>
      <w:r w:rsidR="00D356D8" w:rsidRPr="00D356D8">
        <w:rPr>
          <w:rFonts w:ascii="Times New Roman" w:hAnsi="Times New Roman" w:cs="Times New Roman"/>
          <w:sz w:val="24"/>
          <w:szCs w:val="24"/>
        </w:rPr>
        <w:t>endeavours</w:t>
      </w:r>
      <w:r w:rsidRPr="00D356D8">
        <w:rPr>
          <w:rFonts w:ascii="Times New Roman" w:hAnsi="Times New Roman" w:cs="Times New Roman"/>
          <w:sz w:val="24"/>
          <w:szCs w:val="24"/>
        </w:rPr>
        <w:t xml:space="preserve"> to foster the germination of novel theories or conceptual frameworks, thus contributing to the ever-evolving landscape of knowledge (Corbin &amp; Strauss, 2014).</w:t>
      </w:r>
    </w:p>
    <w:p w14:paraId="3939E32B" w14:textId="77777777" w:rsidR="006E127C" w:rsidRPr="00D356D8" w:rsidRDefault="006E127C"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t>Abductive Research Approach:</w:t>
      </w:r>
    </w:p>
    <w:p w14:paraId="7CCCBBDD" w14:textId="77777777"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Moreover, my research methodology presents an elegant fusion of diverse modes of thought, epitomized by the inclusion of abductive reasoning. This intellectual paradigm harmoniously marries elements of both deductive and inductive reasoning. It initiates its intellectual expedition with a discerning observation of specific empirical phenomena, akin to the inductive approach. Yet, it distinguishes itself by reverently invoking existing theoretical underpinnings or conceptual models. Abductive reasoning, with unwavering determination, seeks to proffer a superlative explanation for the observed phenomena, grounded in available empirical evidence and the reservoir of prior knowledge. Its deployment is particularly apt when navigating the treacherous waters of intricate or enigmatic research landscapes (Timmermans &amp; Tavory, 2012).</w:t>
      </w:r>
    </w:p>
    <w:p w14:paraId="346044A8" w14:textId="77777777" w:rsidR="00D356D8" w:rsidRDefault="00D356D8">
      <w:pPr>
        <w:rPr>
          <w:rFonts w:ascii="Times New Roman" w:hAnsi="Times New Roman" w:cs="Times New Roman"/>
          <w:sz w:val="24"/>
          <w:szCs w:val="24"/>
        </w:rPr>
      </w:pPr>
      <w:r>
        <w:rPr>
          <w:rFonts w:ascii="Times New Roman" w:hAnsi="Times New Roman" w:cs="Times New Roman"/>
          <w:sz w:val="24"/>
          <w:szCs w:val="24"/>
        </w:rPr>
        <w:br w:type="page"/>
      </w:r>
    </w:p>
    <w:p w14:paraId="555005EB" w14:textId="68FC5BF2"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lastRenderedPageBreak/>
        <w:t>Reasons for Choosing a Mixed-Methods Approach:</w:t>
      </w:r>
    </w:p>
    <w:p w14:paraId="79FFF34A" w14:textId="6D5A5DBD"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In my scholarly pursuit concerning the influence exerted by e-commerce website design upon the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of the youthful denizens of Malaysia, I have judiciously elected to harness the power of a mixed-methods approach. This stratagem gracefully fuses the tenets of deductive and abductive reasoning, for the following cogent reasons:</w:t>
      </w:r>
    </w:p>
    <w:p w14:paraId="6B2565CD" w14:textId="091F2089"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b/>
          <w:bCs/>
          <w:sz w:val="24"/>
          <w:szCs w:val="24"/>
          <w:u w:val="single"/>
        </w:rPr>
        <w:t>Quantitative Component - Deductive Reasoning:</w:t>
      </w:r>
    </w:p>
    <w:p w14:paraId="14BF567F" w14:textId="7E8277DE"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The preeminent quantitative facet of my inquiry ardently embraces the deductive approach. This judicious selection emanates from the compulsion to commence my research odyssey with a meticulously constructed hypothesis, one that elegantly posits the sway of website design upon shopping comportment. The tools of my choice for this </w:t>
      </w:r>
      <w:r w:rsidR="00D356D8" w:rsidRPr="00D356D8">
        <w:rPr>
          <w:rFonts w:ascii="Times New Roman" w:hAnsi="Times New Roman" w:cs="Times New Roman"/>
          <w:sz w:val="24"/>
          <w:szCs w:val="24"/>
        </w:rPr>
        <w:t>endeavour</w:t>
      </w:r>
      <w:r w:rsidRPr="00D356D8">
        <w:rPr>
          <w:rFonts w:ascii="Times New Roman" w:hAnsi="Times New Roman" w:cs="Times New Roman"/>
          <w:sz w:val="24"/>
          <w:szCs w:val="24"/>
        </w:rPr>
        <w:t xml:space="preserve"> are none other than the structured Google Form survey replete with predefined response options, meticulously employed to collect a cornucopia of quantitative data. This robust methodology will furnish empirical insights into the intricate web of relationships that undergird my research inquiry.</w:t>
      </w:r>
    </w:p>
    <w:p w14:paraId="0B6604B5" w14:textId="77777777" w:rsidR="006E127C" w:rsidRPr="00D356D8" w:rsidRDefault="006E127C"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t>Qualitative Component - Abductive Reasoning:</w:t>
      </w:r>
    </w:p>
    <w:p w14:paraId="63CF3A91" w14:textId="145245F3"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In the spirit of complementarity, my research enshrines abductive reasoning through the medium of observational research, manifesting as the qualitative component of my inquiry. This qualitative opus is masterfully designed to cast an unerring gaze upon the nuanced </w:t>
      </w:r>
      <w:r w:rsidR="00D356D8" w:rsidRPr="00D356D8">
        <w:rPr>
          <w:rFonts w:ascii="Times New Roman" w:hAnsi="Times New Roman" w:cs="Times New Roman"/>
          <w:sz w:val="24"/>
          <w:szCs w:val="24"/>
        </w:rPr>
        <w:t>behaviours</w:t>
      </w:r>
      <w:r w:rsidRPr="00D356D8">
        <w:rPr>
          <w:rFonts w:ascii="Times New Roman" w:hAnsi="Times New Roman" w:cs="Times New Roman"/>
          <w:sz w:val="24"/>
          <w:szCs w:val="24"/>
        </w:rPr>
        <w:t xml:space="preserve"> and intricate interplays that characterize the online shopping journey of Malaysia's youthful cohort. It possesses the unique capability to unveil hitherto unforeseen insights and postulations, granting my research the gift of depth and dimensionality. This qualitative praxis, therefore, serves as the linchpin of my research </w:t>
      </w:r>
      <w:r w:rsidR="00D356D8" w:rsidRPr="00D356D8">
        <w:rPr>
          <w:rFonts w:ascii="Times New Roman" w:hAnsi="Times New Roman" w:cs="Times New Roman"/>
          <w:sz w:val="24"/>
          <w:szCs w:val="24"/>
        </w:rPr>
        <w:t>endeavour</w:t>
      </w:r>
      <w:r w:rsidRPr="00D356D8">
        <w:rPr>
          <w:rFonts w:ascii="Times New Roman" w:hAnsi="Times New Roman" w:cs="Times New Roman"/>
          <w:sz w:val="24"/>
          <w:szCs w:val="24"/>
        </w:rPr>
        <w:t>.</w:t>
      </w:r>
    </w:p>
    <w:p w14:paraId="67E6DDF9" w14:textId="77777777" w:rsidR="00D356D8" w:rsidRDefault="00D356D8">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2006A9F7" w14:textId="0A2FD40E" w:rsidR="006E127C" w:rsidRPr="00D356D8" w:rsidRDefault="006E127C"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lastRenderedPageBreak/>
        <w:t>Mixed-Methods Approach:</w:t>
      </w:r>
    </w:p>
    <w:p w14:paraId="5D8E211D" w14:textId="1C1FB3C2" w:rsidR="006E127C" w:rsidRPr="00D356D8" w:rsidRDefault="006E127C"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The harmonious confluence of these divergent modes of intellectual inquiry defines the bedrock of my research methodology—a meticulously crafted mixed-methods approach. This methodological symphony aspires to deliver a panoramic understanding of the labyrinthine nexus between e-commerce website design and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among the youth of Malaysia. By artfully triangulating insights drawn from both the rigorously quantitative and the profoundly qualitative dimensions of my inquiry, I aim to sculpt a comprehensive mosaic that encapsulates the essence of my research question. This holistic research approach bestows upon my inquiry an immeasurable depth and breadth, augmenting the veracity and profundity of my findings and encapsulating the ethos of a multifaceted research journey (Creswell &amp; Creswell, 2017).</w:t>
      </w:r>
    </w:p>
    <w:p w14:paraId="4C63CE81" w14:textId="2BF60681"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br w:type="page"/>
      </w:r>
    </w:p>
    <w:p w14:paraId="182B410E" w14:textId="77777777" w:rsidR="00136AAE" w:rsidRDefault="00136AAE"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lastRenderedPageBreak/>
        <w:t>Data Collection Method: Google Form Survey and Observational Research</w:t>
      </w:r>
    </w:p>
    <w:p w14:paraId="063553FA" w14:textId="6B18C62D" w:rsidR="00D356D8" w:rsidRPr="0039625C" w:rsidRDefault="00D356D8" w:rsidP="00D356D8">
      <w:pPr>
        <w:spacing w:line="360" w:lineRule="auto"/>
        <w:jc w:val="both"/>
        <w:rPr>
          <w:rFonts w:ascii="Times New Roman" w:hAnsi="Times New Roman" w:cs="Times New Roman"/>
          <w:sz w:val="24"/>
          <w:szCs w:val="24"/>
        </w:rPr>
      </w:pPr>
      <w:r w:rsidRPr="0039625C">
        <w:rPr>
          <w:rFonts w:ascii="Times New Roman" w:hAnsi="Times New Roman" w:cs="Times New Roman"/>
          <w:sz w:val="24"/>
          <w:szCs w:val="24"/>
        </w:rPr>
        <w:t>L</w:t>
      </w:r>
      <w:r w:rsidR="0039625C">
        <w:rPr>
          <w:rFonts w:ascii="Times New Roman" w:hAnsi="Times New Roman" w:cs="Times New Roman"/>
          <w:sz w:val="24"/>
          <w:szCs w:val="24"/>
        </w:rPr>
        <w:t>ink to</w:t>
      </w:r>
    </w:p>
    <w:p w14:paraId="5C53AF28" w14:textId="77777777" w:rsidR="00D356D8" w:rsidRPr="0039625C" w:rsidRDefault="00D356D8" w:rsidP="00D356D8">
      <w:pPr>
        <w:pStyle w:val="ListParagraph"/>
        <w:numPr>
          <w:ilvl w:val="0"/>
          <w:numId w:val="1"/>
        </w:numPr>
        <w:spacing w:line="360" w:lineRule="auto"/>
        <w:jc w:val="both"/>
        <w:rPr>
          <w:rFonts w:ascii="Times New Roman" w:hAnsi="Times New Roman" w:cs="Times New Roman"/>
          <w:sz w:val="24"/>
          <w:szCs w:val="24"/>
        </w:rPr>
      </w:pPr>
      <w:r w:rsidRPr="0039625C">
        <w:rPr>
          <w:rFonts w:ascii="Times New Roman" w:hAnsi="Times New Roman" w:cs="Times New Roman"/>
          <w:sz w:val="24"/>
          <w:szCs w:val="24"/>
        </w:rPr>
        <w:t>Google Form</w:t>
      </w:r>
    </w:p>
    <w:p w14:paraId="57045A39" w14:textId="7AE61489" w:rsidR="00D356D8" w:rsidRDefault="00D356D8" w:rsidP="00D356D8">
      <w:pPr>
        <w:pStyle w:val="ListParagraph"/>
        <w:spacing w:line="360" w:lineRule="auto"/>
        <w:jc w:val="both"/>
        <w:rPr>
          <w:rFonts w:ascii="Times New Roman" w:hAnsi="Times New Roman" w:cs="Times New Roman"/>
          <w:b/>
          <w:bCs/>
          <w:sz w:val="24"/>
          <w:szCs w:val="24"/>
          <w:u w:val="single"/>
        </w:rPr>
      </w:pPr>
      <w:r w:rsidRPr="00D356D8">
        <w:t xml:space="preserve"> </w:t>
      </w:r>
      <w:hyperlink r:id="rId6" w:history="1">
        <w:r w:rsidRPr="00E44C33">
          <w:rPr>
            <w:rStyle w:val="Hyperlink"/>
            <w:rFonts w:ascii="Times New Roman" w:hAnsi="Times New Roman" w:cs="Times New Roman"/>
            <w:b/>
            <w:bCs/>
            <w:sz w:val="24"/>
            <w:szCs w:val="24"/>
          </w:rPr>
          <w:t>https://forms.gle/FVFeg2mZj79T4z2n9</w:t>
        </w:r>
      </w:hyperlink>
    </w:p>
    <w:p w14:paraId="251618F2" w14:textId="1A9510AD" w:rsidR="00D356D8" w:rsidRPr="0039625C" w:rsidRDefault="00D356D8" w:rsidP="00D356D8">
      <w:pPr>
        <w:pStyle w:val="ListParagraph"/>
        <w:numPr>
          <w:ilvl w:val="0"/>
          <w:numId w:val="1"/>
        </w:numPr>
        <w:spacing w:line="360" w:lineRule="auto"/>
        <w:jc w:val="both"/>
        <w:rPr>
          <w:rFonts w:ascii="Times New Roman" w:hAnsi="Times New Roman" w:cs="Times New Roman"/>
          <w:sz w:val="24"/>
          <w:szCs w:val="24"/>
        </w:rPr>
      </w:pPr>
      <w:r w:rsidRPr="0039625C">
        <w:rPr>
          <w:rFonts w:ascii="Times New Roman" w:hAnsi="Times New Roman" w:cs="Times New Roman"/>
          <w:sz w:val="24"/>
          <w:szCs w:val="24"/>
        </w:rPr>
        <w:t>Excel Spreadsheet</w:t>
      </w:r>
    </w:p>
    <w:p w14:paraId="137546E4" w14:textId="3C56C99C" w:rsidR="00D356D8" w:rsidRDefault="007863DA" w:rsidP="00D356D8">
      <w:pPr>
        <w:pStyle w:val="ListParagraph"/>
        <w:spacing w:line="360" w:lineRule="auto"/>
        <w:jc w:val="both"/>
        <w:rPr>
          <w:rFonts w:ascii="Times New Roman" w:hAnsi="Times New Roman" w:cs="Times New Roman"/>
          <w:b/>
          <w:bCs/>
          <w:sz w:val="24"/>
          <w:szCs w:val="24"/>
          <w:u w:val="single"/>
        </w:rPr>
      </w:pPr>
      <w:hyperlink r:id="rId7" w:anchor="gid=1721872855" w:history="1">
        <w:r w:rsidR="0039625C" w:rsidRPr="00E44C33">
          <w:rPr>
            <w:rStyle w:val="Hyperlink"/>
            <w:rFonts w:ascii="Times New Roman" w:hAnsi="Times New Roman" w:cs="Times New Roman"/>
            <w:b/>
            <w:bCs/>
            <w:sz w:val="24"/>
            <w:szCs w:val="24"/>
          </w:rPr>
          <w:t>https://docs.google.com/spreadsheets/d/13mkXpznQizhCfZeHV2ouHeQdklD2PV2PmwYIS6hCPaQ/edit?resourcekey#gid=1721872855</w:t>
        </w:r>
      </w:hyperlink>
    </w:p>
    <w:p w14:paraId="074157DA" w14:textId="77777777" w:rsidR="0039625C" w:rsidRPr="00D356D8" w:rsidRDefault="0039625C" w:rsidP="00D356D8">
      <w:pPr>
        <w:pStyle w:val="ListParagraph"/>
        <w:spacing w:line="360" w:lineRule="auto"/>
        <w:jc w:val="both"/>
        <w:rPr>
          <w:rFonts w:ascii="Times New Roman" w:hAnsi="Times New Roman" w:cs="Times New Roman"/>
          <w:b/>
          <w:bCs/>
          <w:sz w:val="24"/>
          <w:szCs w:val="24"/>
          <w:u w:val="single"/>
        </w:rPr>
      </w:pPr>
    </w:p>
    <w:p w14:paraId="5ADFC33A" w14:textId="77777777" w:rsidR="00136AAE" w:rsidRPr="00D356D8" w:rsidRDefault="00136AAE" w:rsidP="00D356D8">
      <w:pPr>
        <w:spacing w:line="360" w:lineRule="auto"/>
        <w:jc w:val="both"/>
        <w:rPr>
          <w:rFonts w:ascii="Times New Roman" w:hAnsi="Times New Roman" w:cs="Times New Roman"/>
          <w:b/>
          <w:bCs/>
          <w:sz w:val="24"/>
          <w:szCs w:val="24"/>
        </w:rPr>
      </w:pPr>
      <w:r w:rsidRPr="00D356D8">
        <w:rPr>
          <w:rFonts w:ascii="Times New Roman" w:hAnsi="Times New Roman" w:cs="Times New Roman"/>
          <w:b/>
          <w:bCs/>
          <w:sz w:val="24"/>
          <w:szCs w:val="24"/>
        </w:rPr>
        <w:t>Overview:</w:t>
      </w:r>
    </w:p>
    <w:p w14:paraId="0FF9A41F" w14:textId="3D31AF06"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The choice of the most suitable primary research method is a pivotal decision in my research process, as it significantly impacts data collection and subsequent analysis. In my quest to gain insights into how e-commerce website design influences the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of Malaysia's youth, I have carefully evaluated primary research methods. In this essay, I will explore the definitions of primary and secondary research before critically assessing the merits of my chosen primary research method – the Google Form survey – and the rationale behind its selection for my study.</w:t>
      </w:r>
    </w:p>
    <w:p w14:paraId="7B5B63E8" w14:textId="3E62A262" w:rsidR="00136AAE" w:rsidRPr="00D356D8" w:rsidRDefault="00136AAE" w:rsidP="00D356D8">
      <w:pPr>
        <w:spacing w:line="360" w:lineRule="auto"/>
        <w:jc w:val="both"/>
        <w:rPr>
          <w:rFonts w:ascii="Times New Roman" w:hAnsi="Times New Roman" w:cs="Times New Roman"/>
          <w:b/>
          <w:bCs/>
          <w:i/>
          <w:iCs/>
          <w:sz w:val="24"/>
          <w:szCs w:val="24"/>
        </w:rPr>
      </w:pPr>
      <w:r w:rsidRPr="00D356D8">
        <w:rPr>
          <w:rFonts w:ascii="Times New Roman" w:hAnsi="Times New Roman" w:cs="Times New Roman"/>
          <w:b/>
          <w:bCs/>
          <w:sz w:val="24"/>
          <w:szCs w:val="24"/>
        </w:rPr>
        <w:t>Primary Research Method</w:t>
      </w:r>
      <w:r w:rsidR="00D356D8">
        <w:rPr>
          <w:rFonts w:ascii="Times New Roman" w:hAnsi="Times New Roman" w:cs="Times New Roman"/>
          <w:b/>
          <w:bCs/>
          <w:sz w:val="24"/>
          <w:szCs w:val="24"/>
        </w:rPr>
        <w:t xml:space="preserve">: </w:t>
      </w:r>
      <w:r w:rsidRPr="00D356D8">
        <w:rPr>
          <w:rFonts w:ascii="Times New Roman" w:hAnsi="Times New Roman" w:cs="Times New Roman"/>
          <w:b/>
          <w:bCs/>
          <w:i/>
          <w:iCs/>
          <w:sz w:val="24"/>
          <w:szCs w:val="24"/>
        </w:rPr>
        <w:t>Google Form Survey:</w:t>
      </w:r>
    </w:p>
    <w:p w14:paraId="24B20C80" w14:textId="77777777"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In the context of my study, primary research entails my direct acquisition of fresh, original data from individuals within my target demographic, specifically the young populace of Malaysia (Bryman, 2015). This methodological approach encompasses a variety of techniques, including surveys, discussions, experiments, and observations. By engaging in the direct solicitation of new data, my primary research strives to provide precise answers to my research inquiries.</w:t>
      </w:r>
    </w:p>
    <w:p w14:paraId="2BFF207E" w14:textId="77777777"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b/>
          <w:bCs/>
          <w:sz w:val="24"/>
          <w:szCs w:val="24"/>
        </w:rPr>
        <w:t xml:space="preserve">Secondary Research Method: </w:t>
      </w:r>
      <w:r w:rsidRPr="00D356D8">
        <w:rPr>
          <w:rFonts w:ascii="Times New Roman" w:hAnsi="Times New Roman" w:cs="Times New Roman"/>
          <w:i/>
          <w:iCs/>
          <w:sz w:val="24"/>
          <w:szCs w:val="24"/>
        </w:rPr>
        <w:t>Observational Research towards Youth</w:t>
      </w:r>
    </w:p>
    <w:p w14:paraId="2D534A8D" w14:textId="1E131C8F"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In conjunction with my primary research method, I propose the inclusion of observational research as my secondary research approach. Observational research involves the systematic observation and recording of the </w:t>
      </w:r>
      <w:r w:rsidR="00D356D8" w:rsidRPr="00D356D8">
        <w:rPr>
          <w:rFonts w:ascii="Times New Roman" w:hAnsi="Times New Roman" w:cs="Times New Roman"/>
          <w:sz w:val="24"/>
          <w:szCs w:val="24"/>
        </w:rPr>
        <w:t>behaviours</w:t>
      </w:r>
      <w:r w:rsidRPr="00D356D8">
        <w:rPr>
          <w:rFonts w:ascii="Times New Roman" w:hAnsi="Times New Roman" w:cs="Times New Roman"/>
          <w:sz w:val="24"/>
          <w:szCs w:val="24"/>
        </w:rPr>
        <w:t>, interactions, and responses of Malaysia's youth as they navigate e-commerce websites in real-world contexts.</w:t>
      </w:r>
    </w:p>
    <w:p w14:paraId="14A0BB74" w14:textId="77777777" w:rsidR="00136AAE" w:rsidRPr="00D356D8" w:rsidRDefault="00136AAE" w:rsidP="00D356D8">
      <w:pPr>
        <w:spacing w:line="360" w:lineRule="auto"/>
        <w:jc w:val="both"/>
        <w:rPr>
          <w:rFonts w:ascii="Times New Roman" w:hAnsi="Times New Roman" w:cs="Times New Roman"/>
          <w:b/>
          <w:bCs/>
          <w:sz w:val="24"/>
          <w:szCs w:val="24"/>
        </w:rPr>
      </w:pPr>
      <w:r w:rsidRPr="00D356D8">
        <w:rPr>
          <w:rFonts w:ascii="Times New Roman" w:hAnsi="Times New Roman" w:cs="Times New Roman"/>
          <w:b/>
          <w:bCs/>
          <w:sz w:val="24"/>
          <w:szCs w:val="24"/>
        </w:rPr>
        <w:t>Rationale for Secondary Research Approach:</w:t>
      </w:r>
    </w:p>
    <w:p w14:paraId="0D76FE00" w14:textId="460C7A40" w:rsidR="00136AAE" w:rsidRPr="00D356D8" w:rsidRDefault="00D356D8"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Behavioural</w:t>
      </w:r>
      <w:r w:rsidR="00136AAE" w:rsidRPr="00D356D8">
        <w:rPr>
          <w:rFonts w:ascii="Times New Roman" w:hAnsi="Times New Roman" w:cs="Times New Roman"/>
          <w:sz w:val="24"/>
          <w:szCs w:val="24"/>
        </w:rPr>
        <w:t xml:space="preserve"> Insights: Observational research empowers me to gain valuable qualitative insights into how the youth demographic interacts with e-commerce websites. I can observe </w:t>
      </w:r>
      <w:r w:rsidR="00136AAE" w:rsidRPr="00D356D8">
        <w:rPr>
          <w:rFonts w:ascii="Times New Roman" w:hAnsi="Times New Roman" w:cs="Times New Roman"/>
          <w:sz w:val="24"/>
          <w:szCs w:val="24"/>
        </w:rPr>
        <w:lastRenderedPageBreak/>
        <w:t>their browsing habits, preferences, and any indications of satisfaction or frustration during the online shopping process (Corbin &amp; Strauss, 2014).</w:t>
      </w:r>
    </w:p>
    <w:p w14:paraId="00132160" w14:textId="77777777"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Contextual Understanding: Immersing myself in the real-world online shopping experiences of young individuals enables me to gain a deeper understanding of the contextual factors that influence their decision-making processes. This includes environmental cues, social influences, and situational triggers (Patton, 2015).</w:t>
      </w:r>
    </w:p>
    <w:p w14:paraId="4B5B81CC" w14:textId="1E6590CE"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Complementary Perspective: Observational research provides a unique perspective that complements the structured data collected through the Google Form survey. It captures real-time </w:t>
      </w:r>
      <w:r w:rsidR="00D356D8" w:rsidRPr="00D356D8">
        <w:rPr>
          <w:rFonts w:ascii="Times New Roman" w:hAnsi="Times New Roman" w:cs="Times New Roman"/>
          <w:sz w:val="24"/>
          <w:szCs w:val="24"/>
        </w:rPr>
        <w:t>behaviours</w:t>
      </w:r>
      <w:r w:rsidRPr="00D356D8">
        <w:rPr>
          <w:rFonts w:ascii="Times New Roman" w:hAnsi="Times New Roman" w:cs="Times New Roman"/>
          <w:sz w:val="24"/>
          <w:szCs w:val="24"/>
        </w:rPr>
        <w:t xml:space="preserve"> and reactions that may not be fully expressed in survey responses or interviews, thus enriching the depth of my understanding (Creswell &amp; Creswell, 2017).</w:t>
      </w:r>
    </w:p>
    <w:p w14:paraId="18643BF6" w14:textId="14A1EBF1"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 xml:space="preserve">In summary, the incorporation of observational research towards Malaysia's youth emerges as a robust secondary research approach for my study (Timmermans &amp; Tavory, 2012). This approach complements my primary research method, the Google Form survey, by offering a complementary qualitative perspective on the influence of e-commerce website design on the online shopping </w:t>
      </w:r>
      <w:r w:rsidR="00D356D8" w:rsidRPr="00D356D8">
        <w:rPr>
          <w:rFonts w:ascii="Times New Roman" w:hAnsi="Times New Roman" w:cs="Times New Roman"/>
          <w:sz w:val="24"/>
          <w:szCs w:val="24"/>
        </w:rPr>
        <w:t>behaviour</w:t>
      </w:r>
      <w:r w:rsidRPr="00D356D8">
        <w:rPr>
          <w:rFonts w:ascii="Times New Roman" w:hAnsi="Times New Roman" w:cs="Times New Roman"/>
          <w:sz w:val="24"/>
          <w:szCs w:val="24"/>
        </w:rPr>
        <w:t xml:space="preserve"> of Malaysia's young population. By triangulating insights from both quantitative and qualitative sources, my research aims to provide a holistic and comprehensive understanding of the research question (Creswell &amp; Creswell, 2017).</w:t>
      </w:r>
    </w:p>
    <w:p w14:paraId="6EF7F207" w14:textId="77777777" w:rsidR="00136AAE" w:rsidRPr="00D356D8" w:rsidRDefault="00136AAE"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br w:type="page"/>
      </w:r>
    </w:p>
    <w:p w14:paraId="736100AC" w14:textId="598BC18B" w:rsidR="00136AAE" w:rsidRPr="00D356D8" w:rsidRDefault="00136AAE" w:rsidP="00D356D8">
      <w:pPr>
        <w:spacing w:line="360" w:lineRule="auto"/>
        <w:rPr>
          <w:rFonts w:ascii="Times New Roman" w:hAnsi="Times New Roman" w:cs="Times New Roman"/>
          <w:sz w:val="24"/>
          <w:szCs w:val="24"/>
        </w:rPr>
      </w:pPr>
      <w:r w:rsidRPr="00D356D8">
        <w:rPr>
          <w:rFonts w:ascii="Times New Roman" w:hAnsi="Times New Roman" w:cs="Times New Roman"/>
          <w:b/>
          <w:bCs/>
          <w:sz w:val="24"/>
          <w:szCs w:val="24"/>
          <w:u w:val="single"/>
        </w:rPr>
        <w:lastRenderedPageBreak/>
        <w:t>TASK</w:t>
      </w:r>
      <w:r w:rsidR="00D356D8" w:rsidRPr="00D356D8">
        <w:rPr>
          <w:rFonts w:ascii="Times New Roman" w:hAnsi="Times New Roman" w:cs="Times New Roman"/>
          <w:b/>
          <w:bCs/>
          <w:sz w:val="24"/>
          <w:szCs w:val="24"/>
          <w:u w:val="single"/>
        </w:rPr>
        <w:t xml:space="preserve"> </w:t>
      </w:r>
      <w:r w:rsidRPr="00D356D8">
        <w:rPr>
          <w:rFonts w:ascii="Times New Roman" w:hAnsi="Times New Roman" w:cs="Times New Roman"/>
          <w:b/>
          <w:bCs/>
          <w:sz w:val="24"/>
          <w:szCs w:val="24"/>
          <w:u w:val="single"/>
        </w:rPr>
        <w:t xml:space="preserve"> 3</w:t>
      </w:r>
      <w:r w:rsidRPr="00D356D8">
        <w:rPr>
          <w:rFonts w:ascii="Times New Roman" w:hAnsi="Times New Roman" w:cs="Times New Roman"/>
          <w:sz w:val="24"/>
          <w:szCs w:val="24"/>
        </w:rPr>
        <w:t xml:space="preserve"> </w:t>
      </w:r>
      <w:hyperlink r:id="rId8" w:history="1">
        <w:r w:rsidRPr="00D356D8">
          <w:rPr>
            <w:rStyle w:val="Hyperlink"/>
            <w:rFonts w:ascii="Times New Roman" w:hAnsi="Times New Roman" w:cs="Times New Roman"/>
            <w:sz w:val="24"/>
            <w:szCs w:val="24"/>
          </w:rPr>
          <w:t>https://www.canva.com/design/DAFsi7HLXvg/RYTWsCS1V53EJ8ANDLR58w/edit?utm_content=DAFsi7HLXvg&amp;utm_campaign=designshare&amp;utm_medium=link2&amp;utm_source=sharebutton</w:t>
        </w:r>
      </w:hyperlink>
    </w:p>
    <w:p w14:paraId="770A7697" w14:textId="5F507DD4" w:rsidR="00D356D8" w:rsidRPr="00D356D8" w:rsidRDefault="00D356D8"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t xml:space="preserve">TASK 4 </w:t>
      </w:r>
    </w:p>
    <w:p w14:paraId="79CB605B" w14:textId="08D0066E" w:rsidR="00D356D8" w:rsidRPr="00D356D8" w:rsidRDefault="008A4EE6" w:rsidP="00D356D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F935AD1" wp14:editId="403E3539">
            <wp:extent cx="5731510" cy="8107680"/>
            <wp:effectExtent l="0" t="0" r="2540" b="7620"/>
            <wp:docPr id="855768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68699" name="Picture 85576869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r w:rsidR="00D356D8" w:rsidRPr="00D356D8">
        <w:rPr>
          <w:rFonts w:ascii="Times New Roman" w:hAnsi="Times New Roman" w:cs="Times New Roman"/>
          <w:sz w:val="24"/>
          <w:szCs w:val="24"/>
        </w:rPr>
        <w:br w:type="page"/>
      </w:r>
    </w:p>
    <w:p w14:paraId="0B172826" w14:textId="77777777" w:rsidR="00D356D8" w:rsidRPr="00D356D8" w:rsidRDefault="00D356D8" w:rsidP="00D356D8">
      <w:pPr>
        <w:spacing w:line="360" w:lineRule="auto"/>
        <w:jc w:val="both"/>
        <w:rPr>
          <w:rFonts w:ascii="Times New Roman" w:hAnsi="Times New Roman" w:cs="Times New Roman"/>
          <w:b/>
          <w:bCs/>
          <w:sz w:val="24"/>
          <w:szCs w:val="24"/>
          <w:u w:val="single"/>
        </w:rPr>
      </w:pPr>
      <w:r w:rsidRPr="00D356D8">
        <w:rPr>
          <w:rFonts w:ascii="Times New Roman" w:hAnsi="Times New Roman" w:cs="Times New Roman"/>
          <w:b/>
          <w:bCs/>
          <w:sz w:val="24"/>
          <w:szCs w:val="24"/>
          <w:u w:val="single"/>
        </w:rPr>
        <w:lastRenderedPageBreak/>
        <w:br/>
        <w:t>CONCLUSION</w:t>
      </w:r>
    </w:p>
    <w:p w14:paraId="08BA0E02" w14:textId="309AF581" w:rsidR="00D356D8" w:rsidRPr="00D356D8" w:rsidRDefault="00D356D8"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In the pursuit of unravelling the intricate web that connects e-commerce website design and the online shopping habits of Malaysia's youthful populace, this research has traversed the digital landscapes and consumer behaviours of a dynamic generation. The journey through data collection, analysis, and interpretation has illuminated key insights that bear significance not only for academia but for the broader landscape of digital commerce.</w:t>
      </w:r>
    </w:p>
    <w:p w14:paraId="2862B4A1" w14:textId="28EB8DFE" w:rsidR="00D356D8" w:rsidRPr="00D356D8" w:rsidRDefault="00D356D8"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In conclusion, this investigation underscores the pivotal role played by e-commerce website design in shaping the preferences and behaviours of young consumers in Malaysia. The findings resonate with the increasingly digitalized global economy, where websites serve as the frontiers of commerce. The influence of website design extends beyond aesthetics; it weaves a narrative that guides users through their shopping journeys, impacting their decisions, trust levels, and overall satisfaction.</w:t>
      </w:r>
    </w:p>
    <w:p w14:paraId="567E532A" w14:textId="06272FD5" w:rsidR="00D356D8" w:rsidRPr="00D356D8" w:rsidRDefault="00D356D8"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This study's value transcends scholarly discourse. It offers actionable insights to e-commerce businesses and digital entrepreneurs seeking to engage with Malaysia's youthful demographic. The realization that website design can be a strategic tool to enhance the online shopping experience carries profound implications for businesses aiming to thrive in the digital age.</w:t>
      </w:r>
    </w:p>
    <w:p w14:paraId="61C84EF3" w14:textId="341F46B8" w:rsidR="00D356D8" w:rsidRPr="00D356D8" w:rsidRDefault="00D356D8" w:rsidP="00D356D8">
      <w:pPr>
        <w:spacing w:line="360" w:lineRule="auto"/>
        <w:jc w:val="both"/>
        <w:rPr>
          <w:rFonts w:ascii="Times New Roman" w:hAnsi="Times New Roman" w:cs="Times New Roman"/>
          <w:sz w:val="24"/>
          <w:szCs w:val="24"/>
        </w:rPr>
      </w:pPr>
      <w:r w:rsidRPr="00D356D8">
        <w:rPr>
          <w:rFonts w:ascii="Times New Roman" w:hAnsi="Times New Roman" w:cs="Times New Roman"/>
          <w:sz w:val="24"/>
          <w:szCs w:val="24"/>
        </w:rPr>
        <w:t>As this research adds to the ongoing conversation about the intersection of web design and consumer behaviour, it beckons us to contemplate how digital experiences can be optimized to cater to the preferences of a tech-savvy generation. It is a call for businesses to adapt, innovate, and, above all, prioritize user-centric design to meet the evolving needs and desires of young shoppers in Malaysia's vibrant online marketplace. This research contributes to the ongoing narrative of e-commerce evolution, advocating for a digital landscape where design excellence fosters a more seamless and satisfying online shopping experience for all.</w:t>
      </w:r>
    </w:p>
    <w:p w14:paraId="5C89B95C" w14:textId="77777777" w:rsidR="00D356D8" w:rsidRPr="00D356D8" w:rsidRDefault="00D356D8" w:rsidP="00D356D8">
      <w:pPr>
        <w:spacing w:line="360" w:lineRule="auto"/>
        <w:jc w:val="both"/>
        <w:rPr>
          <w:rFonts w:ascii="Times New Roman" w:hAnsi="Times New Roman" w:cs="Times New Roman"/>
          <w:sz w:val="24"/>
          <w:szCs w:val="24"/>
        </w:rPr>
      </w:pPr>
    </w:p>
    <w:p w14:paraId="2A98ECA5" w14:textId="77777777" w:rsidR="00D356D8" w:rsidRPr="00D356D8" w:rsidRDefault="00D356D8" w:rsidP="00D356D8">
      <w:pPr>
        <w:spacing w:line="360" w:lineRule="auto"/>
        <w:jc w:val="both"/>
        <w:rPr>
          <w:rFonts w:ascii="Times New Roman" w:hAnsi="Times New Roman" w:cs="Times New Roman"/>
          <w:sz w:val="24"/>
          <w:szCs w:val="24"/>
        </w:rPr>
      </w:pPr>
    </w:p>
    <w:p w14:paraId="47BB30D6" w14:textId="77777777" w:rsidR="00D356D8" w:rsidRPr="00D356D8" w:rsidRDefault="00D356D8" w:rsidP="00D356D8">
      <w:pPr>
        <w:spacing w:line="360" w:lineRule="auto"/>
        <w:jc w:val="both"/>
        <w:rPr>
          <w:rFonts w:ascii="Times New Roman" w:hAnsi="Times New Roman" w:cs="Times New Roman"/>
          <w:sz w:val="24"/>
          <w:szCs w:val="24"/>
        </w:rPr>
      </w:pPr>
    </w:p>
    <w:p w14:paraId="1548C13F" w14:textId="734D52BD" w:rsidR="00D356D8" w:rsidRPr="00D356D8" w:rsidRDefault="00D356D8" w:rsidP="00D356D8">
      <w:pPr>
        <w:spacing w:line="360" w:lineRule="auto"/>
        <w:jc w:val="both"/>
        <w:rPr>
          <w:rFonts w:ascii="Times New Roman" w:hAnsi="Times New Roman" w:cs="Times New Roman"/>
          <w:sz w:val="24"/>
          <w:szCs w:val="24"/>
        </w:rPr>
      </w:pPr>
    </w:p>
    <w:p w14:paraId="38E06739" w14:textId="77777777" w:rsidR="00136AAE" w:rsidRPr="00D356D8" w:rsidRDefault="00136AAE" w:rsidP="00D356D8">
      <w:pPr>
        <w:spacing w:line="360" w:lineRule="auto"/>
        <w:jc w:val="both"/>
        <w:rPr>
          <w:rFonts w:ascii="Times New Roman" w:hAnsi="Times New Roman" w:cs="Times New Roman"/>
          <w:sz w:val="24"/>
          <w:szCs w:val="24"/>
        </w:rPr>
      </w:pPr>
    </w:p>
    <w:sectPr w:rsidR="00136AAE" w:rsidRPr="00D35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A6365"/>
    <w:multiLevelType w:val="hybridMultilevel"/>
    <w:tmpl w:val="0252786E"/>
    <w:lvl w:ilvl="0" w:tplc="1CB81F2A">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872964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27C"/>
    <w:rsid w:val="00136AAE"/>
    <w:rsid w:val="0039625C"/>
    <w:rsid w:val="006E127C"/>
    <w:rsid w:val="007863DA"/>
    <w:rsid w:val="008A4EE6"/>
    <w:rsid w:val="00D356D8"/>
    <w:rsid w:val="00F61BB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78DB6"/>
  <w15:chartTrackingRefBased/>
  <w15:docId w15:val="{1EBFD05D-0AA2-4185-9084-2B19405A1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AAE"/>
    <w:rPr>
      <w:color w:val="0563C1" w:themeColor="hyperlink"/>
      <w:u w:val="single"/>
    </w:rPr>
  </w:style>
  <w:style w:type="character" w:styleId="UnresolvedMention">
    <w:name w:val="Unresolved Mention"/>
    <w:basedOn w:val="DefaultParagraphFont"/>
    <w:uiPriority w:val="99"/>
    <w:semiHidden/>
    <w:unhideWhenUsed/>
    <w:rsid w:val="00136AAE"/>
    <w:rPr>
      <w:color w:val="605E5C"/>
      <w:shd w:val="clear" w:color="auto" w:fill="E1DFDD"/>
    </w:rPr>
  </w:style>
  <w:style w:type="paragraph" w:styleId="ListParagraph">
    <w:name w:val="List Paragraph"/>
    <w:basedOn w:val="Normal"/>
    <w:uiPriority w:val="34"/>
    <w:qFormat/>
    <w:rsid w:val="00D356D8"/>
    <w:pPr>
      <w:ind w:left="720"/>
      <w:contextualSpacing/>
    </w:pPr>
  </w:style>
  <w:style w:type="table" w:styleId="TableGrid">
    <w:name w:val="Table Grid"/>
    <w:basedOn w:val="TableNormal"/>
    <w:uiPriority w:val="39"/>
    <w:rsid w:val="008A4EE6"/>
    <w:pPr>
      <w:widowControl w:val="0"/>
      <w:spacing w:line="256" w:lineRule="auto"/>
      <w:jc w:val="both"/>
    </w:pPr>
    <w:rPr>
      <w:rFonts w:ascii="Times New Roman" w:eastAsia="SimSun" w:hAnsi="Times New Roman" w:cs="Times New Roman"/>
      <w:kern w:val="0"/>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515118">
      <w:bodyDiv w:val="1"/>
      <w:marLeft w:val="0"/>
      <w:marRight w:val="0"/>
      <w:marTop w:val="0"/>
      <w:marBottom w:val="0"/>
      <w:divBdr>
        <w:top w:val="none" w:sz="0" w:space="0" w:color="auto"/>
        <w:left w:val="none" w:sz="0" w:space="0" w:color="auto"/>
        <w:bottom w:val="none" w:sz="0" w:space="0" w:color="auto"/>
        <w:right w:val="none" w:sz="0" w:space="0" w:color="auto"/>
      </w:divBdr>
    </w:div>
    <w:div w:id="1607807177">
      <w:bodyDiv w:val="1"/>
      <w:marLeft w:val="0"/>
      <w:marRight w:val="0"/>
      <w:marTop w:val="0"/>
      <w:marBottom w:val="0"/>
      <w:divBdr>
        <w:top w:val="none" w:sz="0" w:space="0" w:color="auto"/>
        <w:left w:val="none" w:sz="0" w:space="0" w:color="auto"/>
        <w:bottom w:val="none" w:sz="0" w:space="0" w:color="auto"/>
        <w:right w:val="none" w:sz="0" w:space="0" w:color="auto"/>
      </w:divBdr>
      <w:divsChild>
        <w:div w:id="1322350276">
          <w:marLeft w:val="0"/>
          <w:marRight w:val="0"/>
          <w:marTop w:val="0"/>
          <w:marBottom w:val="0"/>
          <w:divBdr>
            <w:top w:val="single" w:sz="2" w:space="0" w:color="auto"/>
            <w:left w:val="single" w:sz="2" w:space="0" w:color="auto"/>
            <w:bottom w:val="single" w:sz="6" w:space="0" w:color="auto"/>
            <w:right w:val="single" w:sz="2" w:space="0" w:color="auto"/>
          </w:divBdr>
          <w:divsChild>
            <w:div w:id="970742826">
              <w:marLeft w:val="0"/>
              <w:marRight w:val="0"/>
              <w:marTop w:val="100"/>
              <w:marBottom w:val="100"/>
              <w:divBdr>
                <w:top w:val="single" w:sz="2" w:space="0" w:color="D9D9E3"/>
                <w:left w:val="single" w:sz="2" w:space="0" w:color="D9D9E3"/>
                <w:bottom w:val="single" w:sz="2" w:space="0" w:color="D9D9E3"/>
                <w:right w:val="single" w:sz="2" w:space="0" w:color="D9D9E3"/>
              </w:divBdr>
              <w:divsChild>
                <w:div w:id="733503269">
                  <w:marLeft w:val="0"/>
                  <w:marRight w:val="0"/>
                  <w:marTop w:val="0"/>
                  <w:marBottom w:val="0"/>
                  <w:divBdr>
                    <w:top w:val="single" w:sz="2" w:space="0" w:color="D9D9E3"/>
                    <w:left w:val="single" w:sz="2" w:space="0" w:color="D9D9E3"/>
                    <w:bottom w:val="single" w:sz="2" w:space="0" w:color="D9D9E3"/>
                    <w:right w:val="single" w:sz="2" w:space="0" w:color="D9D9E3"/>
                  </w:divBdr>
                  <w:divsChild>
                    <w:div w:id="522789478">
                      <w:marLeft w:val="0"/>
                      <w:marRight w:val="0"/>
                      <w:marTop w:val="0"/>
                      <w:marBottom w:val="0"/>
                      <w:divBdr>
                        <w:top w:val="single" w:sz="2" w:space="0" w:color="D9D9E3"/>
                        <w:left w:val="single" w:sz="2" w:space="0" w:color="D9D9E3"/>
                        <w:bottom w:val="single" w:sz="2" w:space="0" w:color="D9D9E3"/>
                        <w:right w:val="single" w:sz="2" w:space="0" w:color="D9D9E3"/>
                      </w:divBdr>
                      <w:divsChild>
                        <w:div w:id="972949055">
                          <w:marLeft w:val="0"/>
                          <w:marRight w:val="0"/>
                          <w:marTop w:val="0"/>
                          <w:marBottom w:val="0"/>
                          <w:divBdr>
                            <w:top w:val="single" w:sz="2" w:space="0" w:color="D9D9E3"/>
                            <w:left w:val="single" w:sz="2" w:space="0" w:color="D9D9E3"/>
                            <w:bottom w:val="single" w:sz="2" w:space="0" w:color="D9D9E3"/>
                            <w:right w:val="single" w:sz="2" w:space="0" w:color="D9D9E3"/>
                          </w:divBdr>
                          <w:divsChild>
                            <w:div w:id="375587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design/DAFsi7HLXvg/RYTWsCS1V53EJ8ANDLR58w/edit?utm_content=DAFsi7HLXvg&amp;utm_campaign=designshare&amp;utm_medium=link2&amp;utm_source=sharebutton" TargetMode="External"/><Relationship Id="rId3" Type="http://schemas.openxmlformats.org/officeDocument/2006/relationships/settings" Target="settings.xml"/><Relationship Id="rId7" Type="http://schemas.openxmlformats.org/officeDocument/2006/relationships/hyperlink" Target="https://docs.google.com/spreadsheets/d/13mkXpznQizhCfZeHV2ouHeQdklD2PV2PmwYIS6hCPaQ/edit?resourceke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orms.gle/FVFeg2mZj79T4z2n9"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2017</Words>
  <Characters>11499</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khrzn</dc:creator>
  <cp:keywords/>
  <dc:description/>
  <cp:lastModifiedBy>Myfanwy Davies (IMH)</cp:lastModifiedBy>
  <cp:revision>2</cp:revision>
  <dcterms:created xsi:type="dcterms:W3CDTF">2023-08-28T19:04:00Z</dcterms:created>
  <dcterms:modified xsi:type="dcterms:W3CDTF">2023-08-28T19:04:00Z</dcterms:modified>
</cp:coreProperties>
</file>