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E0ECEC" w14:textId="77777777" w:rsidR="00574EC8" w:rsidRPr="00766153" w:rsidRDefault="00574EC8" w:rsidP="00766153">
      <w:pPr>
        <w:jc w:val="both"/>
        <w:rPr>
          <w:rFonts w:ascii="Times New Roman" w:hAnsi="Times New Roman" w:cs="Times New Roman"/>
        </w:rPr>
      </w:pPr>
    </w:p>
    <w:p w14:paraId="1A755E2D" w14:textId="77777777" w:rsidR="00E620D6" w:rsidRDefault="00E620D6" w:rsidP="00766153">
      <w:pPr>
        <w:jc w:val="center"/>
        <w:rPr>
          <w:rFonts w:ascii="Times New Roman" w:hAnsi="Times New Roman" w:cs="Times New Roman"/>
          <w:b/>
          <w:bCs/>
          <w:color w:val="0058A3"/>
        </w:rPr>
      </w:pPr>
      <w:r>
        <w:rPr>
          <w:noProof/>
        </w:rPr>
        <w:drawing>
          <wp:inline distT="0" distB="0" distL="0" distR="0" wp14:anchorId="11CA9902" wp14:editId="73263E34">
            <wp:extent cx="3139777" cy="1722120"/>
            <wp:effectExtent l="0" t="0" r="3810" b="0"/>
            <wp:docPr id="843327554"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4543" cy="1724734"/>
                    </a:xfrm>
                    <a:prstGeom prst="rect">
                      <a:avLst/>
                    </a:prstGeom>
                    <a:noFill/>
                    <a:ln>
                      <a:noFill/>
                    </a:ln>
                  </pic:spPr>
                </pic:pic>
              </a:graphicData>
            </a:graphic>
          </wp:inline>
        </w:drawing>
      </w:r>
    </w:p>
    <w:p w14:paraId="1F4D5A99" w14:textId="77777777" w:rsidR="00574EC8" w:rsidRDefault="00000000" w:rsidP="00766153">
      <w:pPr>
        <w:jc w:val="center"/>
        <w:rPr>
          <w:rFonts w:ascii="Times New Roman" w:hAnsi="Times New Roman" w:cs="Times New Roman"/>
          <w:b/>
          <w:bCs/>
        </w:rPr>
      </w:pPr>
      <w:r>
        <w:rPr>
          <w:rFonts w:ascii="Times New Roman" w:hAnsi="Times New Roman" w:cs="Times New Roman"/>
          <w:b/>
          <w:bCs/>
        </w:rPr>
        <w:t>Master of Business Administration (MBA)</w:t>
      </w:r>
    </w:p>
    <w:p w14:paraId="2239E4D7" w14:textId="77777777" w:rsidR="00E620D6" w:rsidRPr="00E620D6" w:rsidRDefault="00E620D6" w:rsidP="00766153">
      <w:pPr>
        <w:jc w:val="center"/>
        <w:rPr>
          <w:rFonts w:ascii="Times New Roman" w:hAnsi="Times New Roman" w:cs="Times New Roman"/>
          <w:b/>
          <w:bCs/>
        </w:rPr>
      </w:pPr>
    </w:p>
    <w:p w14:paraId="75996317" w14:textId="77777777" w:rsidR="00574EC8" w:rsidRPr="00E620D6" w:rsidRDefault="00000000" w:rsidP="00766153">
      <w:pPr>
        <w:jc w:val="center"/>
        <w:rPr>
          <w:rFonts w:ascii="Times New Roman" w:hAnsi="Times New Roman" w:cs="Times New Roman"/>
          <w:b/>
          <w:bCs/>
        </w:rPr>
      </w:pPr>
      <w:r>
        <w:rPr>
          <w:rFonts w:ascii="Times New Roman" w:hAnsi="Times New Roman" w:cs="Times New Roman"/>
          <w:b/>
          <w:bCs/>
        </w:rPr>
        <w:t>Module: Marketing Management</w:t>
      </w:r>
    </w:p>
    <w:p w14:paraId="187B5C73" w14:textId="77777777" w:rsidR="00574EC8" w:rsidRDefault="00000000" w:rsidP="00766153">
      <w:pPr>
        <w:jc w:val="center"/>
        <w:rPr>
          <w:rFonts w:ascii="Times New Roman" w:hAnsi="Times New Roman" w:cs="Times New Roman"/>
          <w:b/>
          <w:bCs/>
        </w:rPr>
      </w:pPr>
      <w:r>
        <w:rPr>
          <w:rFonts w:ascii="Times New Roman" w:hAnsi="Times New Roman" w:cs="Times New Roman"/>
          <w:b/>
          <w:bCs/>
        </w:rPr>
        <w:t>Module code: LCMB7024</w:t>
      </w:r>
    </w:p>
    <w:p w14:paraId="5F82F8C3" w14:textId="77777777" w:rsidR="00E620D6" w:rsidRPr="00E620D6" w:rsidRDefault="00E620D6" w:rsidP="00766153">
      <w:pPr>
        <w:jc w:val="center"/>
        <w:rPr>
          <w:rFonts w:ascii="Times New Roman" w:hAnsi="Times New Roman" w:cs="Times New Roman"/>
          <w:b/>
          <w:bCs/>
        </w:rPr>
      </w:pPr>
    </w:p>
    <w:p w14:paraId="4F965B41" w14:textId="77777777" w:rsidR="00574EC8" w:rsidRPr="00E620D6" w:rsidRDefault="00000000" w:rsidP="00766153">
      <w:pPr>
        <w:jc w:val="center"/>
        <w:rPr>
          <w:rFonts w:ascii="Times New Roman" w:hAnsi="Times New Roman" w:cs="Times New Roman"/>
          <w:b/>
          <w:bCs/>
        </w:rPr>
      </w:pPr>
      <w:r>
        <w:rPr>
          <w:rFonts w:ascii="Times New Roman" w:hAnsi="Times New Roman" w:cs="Times New Roman"/>
          <w:b/>
          <w:bCs/>
        </w:rPr>
        <w:t>Portfolio: Brand Development</w:t>
      </w:r>
    </w:p>
    <w:p w14:paraId="56379E49" w14:textId="77777777" w:rsidR="00574EC8" w:rsidRPr="00E620D6" w:rsidRDefault="00000000" w:rsidP="00766153">
      <w:pPr>
        <w:jc w:val="center"/>
        <w:rPr>
          <w:rFonts w:ascii="Times New Roman" w:hAnsi="Times New Roman" w:cs="Times New Roman"/>
          <w:b/>
          <w:bCs/>
        </w:rPr>
      </w:pPr>
      <w:r>
        <w:rPr>
          <w:rFonts w:ascii="Times New Roman" w:hAnsi="Times New Roman" w:cs="Times New Roman"/>
          <w:b/>
          <w:bCs/>
        </w:rPr>
        <w:t>A Sustainable Brand Extension – IKEA KRETSLOPP:</w:t>
      </w:r>
    </w:p>
    <w:p w14:paraId="2EC02FE9" w14:textId="77777777" w:rsidR="00574EC8" w:rsidRDefault="00000000" w:rsidP="00766153">
      <w:pPr>
        <w:jc w:val="center"/>
        <w:rPr>
          <w:rFonts w:ascii="Times New Roman" w:hAnsi="Times New Roman" w:cs="Times New Roman"/>
          <w:b/>
          <w:bCs/>
          <w:i/>
          <w:iCs/>
        </w:rPr>
      </w:pPr>
      <w:r>
        <w:rPr>
          <w:rFonts w:ascii="Times New Roman" w:hAnsi="Times New Roman" w:cs="Times New Roman"/>
          <w:b/>
          <w:bCs/>
          <w:i/>
          <w:iCs/>
        </w:rPr>
        <w:t>Circular Furniture-as-a-Service</w:t>
      </w:r>
    </w:p>
    <w:p w14:paraId="72DF3AA7" w14:textId="77777777" w:rsidR="00E620D6" w:rsidRPr="00E620D6" w:rsidRDefault="00E620D6" w:rsidP="00766153">
      <w:pPr>
        <w:jc w:val="center"/>
        <w:rPr>
          <w:rFonts w:ascii="Times New Roman" w:hAnsi="Times New Roman" w:cs="Times New Roman"/>
          <w:b/>
          <w:bCs/>
        </w:rPr>
      </w:pPr>
    </w:p>
    <w:p w14:paraId="1DFACBDF" w14:textId="497EE16C" w:rsidR="00574EC8" w:rsidRDefault="00000000" w:rsidP="00766153">
      <w:pPr>
        <w:jc w:val="center"/>
        <w:rPr>
          <w:rFonts w:ascii="Times New Roman" w:hAnsi="Times New Roman" w:cs="Times New Roman"/>
          <w:b/>
          <w:bCs/>
        </w:rPr>
      </w:pPr>
      <w:r>
        <w:rPr>
          <w:rFonts w:ascii="Times New Roman" w:hAnsi="Times New Roman" w:cs="Times New Roman"/>
          <w:b/>
          <w:bCs/>
        </w:rPr>
        <w:t xml:space="preserve">Lecturer: Laila Maazouz / Taonga Kaonga / Sobere-Snithers </w:t>
      </w:r>
    </w:p>
    <w:p w14:paraId="5DA9266B" w14:textId="77777777" w:rsidR="00E620D6" w:rsidRDefault="00E620D6" w:rsidP="00766153">
      <w:pPr>
        <w:jc w:val="center"/>
        <w:rPr>
          <w:rFonts w:ascii="Times New Roman" w:hAnsi="Times New Roman" w:cs="Times New Roman"/>
          <w:b/>
          <w:bCs/>
        </w:rPr>
      </w:pPr>
    </w:p>
    <w:p w14:paraId="057BEBDC" w14:textId="77777777" w:rsidR="00E620D6" w:rsidRPr="00E620D6" w:rsidRDefault="00E620D6" w:rsidP="00766153">
      <w:pPr>
        <w:jc w:val="center"/>
        <w:rPr>
          <w:rFonts w:ascii="Times New Roman" w:hAnsi="Times New Roman" w:cs="Times New Roman"/>
          <w:b/>
          <w:bCs/>
        </w:rPr>
      </w:pPr>
    </w:p>
    <w:p w14:paraId="396BF5C4" w14:textId="69BD1521" w:rsidR="00574EC8" w:rsidRPr="00E620D6" w:rsidRDefault="00000000" w:rsidP="00766153">
      <w:pPr>
        <w:jc w:val="center"/>
        <w:rPr>
          <w:rFonts w:ascii="Times New Roman" w:hAnsi="Times New Roman" w:cs="Times New Roman"/>
          <w:b/>
          <w:bCs/>
        </w:rPr>
      </w:pPr>
      <w:r>
        <w:rPr>
          <w:rFonts w:ascii="Times New Roman" w:hAnsi="Times New Roman" w:cs="Times New Roman"/>
          <w:b/>
          <w:bCs/>
        </w:rPr>
        <w:t>Student name:</w:t>
      </w:r>
      <w:r w:rsidR="00415F28">
        <w:rPr>
          <w:rFonts w:ascii="Times New Roman" w:hAnsi="Times New Roman" w:cs="Times New Roman"/>
          <w:b/>
          <w:bCs/>
        </w:rPr>
        <w:t xml:space="preserve"> </w:t>
      </w:r>
      <w:proofErr w:type="spellStart"/>
      <w:r w:rsidR="00415F28">
        <w:rPr>
          <w:rFonts w:ascii="Times New Roman" w:hAnsi="Times New Roman" w:cs="Times New Roman"/>
          <w:b/>
          <w:bCs/>
        </w:rPr>
        <w:t>Vasukumar</w:t>
      </w:r>
      <w:proofErr w:type="spellEnd"/>
      <w:r w:rsidR="00415F28">
        <w:rPr>
          <w:rFonts w:ascii="Times New Roman" w:hAnsi="Times New Roman" w:cs="Times New Roman"/>
          <w:b/>
          <w:bCs/>
        </w:rPr>
        <w:t xml:space="preserve"> </w:t>
      </w:r>
      <w:proofErr w:type="spellStart"/>
      <w:r w:rsidR="00415F28">
        <w:rPr>
          <w:rFonts w:ascii="Times New Roman" w:hAnsi="Times New Roman" w:cs="Times New Roman"/>
          <w:b/>
          <w:bCs/>
        </w:rPr>
        <w:t>jayeshbhai</w:t>
      </w:r>
      <w:proofErr w:type="spellEnd"/>
      <w:r w:rsidR="00415F28">
        <w:rPr>
          <w:rFonts w:ascii="Times New Roman" w:hAnsi="Times New Roman" w:cs="Times New Roman"/>
          <w:b/>
          <w:bCs/>
        </w:rPr>
        <w:t xml:space="preserve"> Patel </w:t>
      </w:r>
    </w:p>
    <w:p w14:paraId="7DC02C2D" w14:textId="51162E3C" w:rsidR="00574EC8" w:rsidRPr="00E620D6" w:rsidRDefault="00000000" w:rsidP="00766153">
      <w:pPr>
        <w:jc w:val="center"/>
        <w:rPr>
          <w:rFonts w:ascii="Times New Roman" w:hAnsi="Times New Roman" w:cs="Times New Roman"/>
          <w:b/>
          <w:bCs/>
        </w:rPr>
      </w:pPr>
      <w:r>
        <w:rPr>
          <w:rFonts w:ascii="Times New Roman" w:hAnsi="Times New Roman" w:cs="Times New Roman"/>
          <w:b/>
          <w:bCs/>
        </w:rPr>
        <w:t xml:space="preserve">Student ID: </w:t>
      </w:r>
      <w:r w:rsidR="00415F28" w:rsidRPr="00415F28">
        <w:rPr>
          <w:rFonts w:ascii="Times New Roman" w:hAnsi="Times New Roman" w:cs="Times New Roman"/>
          <w:b/>
          <w:bCs/>
        </w:rPr>
        <w:t>2536674</w:t>
      </w:r>
    </w:p>
    <w:p w14:paraId="506BC198" w14:textId="0B2D562C" w:rsidR="00574EC8" w:rsidRPr="00E620D6" w:rsidRDefault="00000000" w:rsidP="00766153">
      <w:pPr>
        <w:jc w:val="center"/>
        <w:rPr>
          <w:rFonts w:ascii="Times New Roman" w:hAnsi="Times New Roman" w:cs="Times New Roman"/>
          <w:b/>
          <w:bCs/>
        </w:rPr>
      </w:pPr>
      <w:r>
        <w:rPr>
          <w:rFonts w:ascii="Times New Roman" w:hAnsi="Times New Roman" w:cs="Times New Roman"/>
          <w:b/>
          <w:bCs/>
        </w:rPr>
        <w:t xml:space="preserve">Word count: </w:t>
      </w:r>
      <w:r w:rsidR="00415F28">
        <w:rPr>
          <w:rFonts w:ascii="Times New Roman" w:hAnsi="Times New Roman" w:cs="Times New Roman"/>
          <w:b/>
          <w:bCs/>
        </w:rPr>
        <w:t>2500</w:t>
      </w:r>
    </w:p>
    <w:p w14:paraId="50EEB8D0" w14:textId="7057D1B8" w:rsidR="00574EC8" w:rsidRPr="00E620D6" w:rsidRDefault="00000000" w:rsidP="00766153">
      <w:pPr>
        <w:jc w:val="center"/>
        <w:rPr>
          <w:rFonts w:ascii="Times New Roman" w:hAnsi="Times New Roman" w:cs="Times New Roman"/>
          <w:b/>
          <w:bCs/>
        </w:rPr>
      </w:pPr>
      <w:r>
        <w:rPr>
          <w:rFonts w:ascii="Times New Roman" w:hAnsi="Times New Roman" w:cs="Times New Roman"/>
          <w:b/>
          <w:bCs/>
        </w:rPr>
        <w:t xml:space="preserve">Submission date: </w:t>
      </w:r>
      <w:r w:rsidR="00415F28">
        <w:rPr>
          <w:rFonts w:ascii="Times New Roman" w:hAnsi="Times New Roman" w:cs="Times New Roman"/>
          <w:b/>
          <w:bCs/>
        </w:rPr>
        <w:t>24/07/2026</w:t>
      </w:r>
    </w:p>
    <w:p w14:paraId="7134E02C" w14:textId="77777777" w:rsidR="00574EC8" w:rsidRPr="00766153" w:rsidRDefault="00000000" w:rsidP="00766153">
      <w:pPr>
        <w:jc w:val="both"/>
        <w:rPr>
          <w:rFonts w:ascii="Times New Roman" w:hAnsi="Times New Roman" w:cs="Times New Roman"/>
        </w:rPr>
      </w:pPr>
      <w:r>
        <w:rPr>
          <w:rFonts w:ascii="Times New Roman" w:hAnsi="Times New Roman" w:cs="Times New Roman"/>
        </w:rPr>
        <w:br w:type="page"/>
      </w:r>
    </w:p>
    <w:sdt>
      <w:sdtPr>
        <w:rPr>
          <w:rFonts w:ascii="Arial" w:eastAsia="Arial" w:hAnsi="Arial" w:cs="Arial"/>
          <w:color w:val="auto"/>
          <w:sz w:val="24"/>
          <w:szCs w:val="24"/>
        </w:rPr>
        <w:id w:val="750865142"/>
        <w:docPartObj>
          <w:docPartGallery w:val="Table of Contents"/>
          <w:docPartUnique/>
        </w:docPartObj>
      </w:sdtPr>
      <w:sdtEndPr>
        <w:rPr>
          <w:rFonts w:ascii="Times New Roman" w:hAnsi="Times New Roman" w:cs="Times New Roman"/>
          <w:b/>
          <w:bCs/>
          <w:noProof/>
        </w:rPr>
      </w:sdtEndPr>
      <w:sdtContent>
        <w:p w14:paraId="791B2F43" w14:textId="30DADCBC" w:rsidR="00DF1C95" w:rsidRPr="00DF1C95" w:rsidRDefault="00DF1C95" w:rsidP="00DF1C95">
          <w:pPr>
            <w:pStyle w:val="TOCHeading"/>
            <w:numPr>
              <w:ilvl w:val="0"/>
              <w:numId w:val="0"/>
            </w:numPr>
            <w:ind w:left="432" w:hanging="43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2A34A52F" w14:textId="0B61084A" w:rsidR="00DF1C95" w:rsidRPr="00DF1C95" w:rsidRDefault="00DF1C95" w:rsidP="00DF1C95">
          <w:pPr>
            <w:pStyle w:val="TOC1"/>
            <w:tabs>
              <w:tab w:val="left" w:pos="480"/>
              <w:tab w:val="right" w:leader="dot" w:pos="9016"/>
            </w:tabs>
            <w:rPr>
              <w:rFonts w:ascii="Times New Roman" w:eastAsiaTheme="minorEastAsia" w:hAnsi="Times New Roman" w:cs="Times New Roman"/>
              <w:noProof/>
              <w:kern w:val="2"/>
              <w14:ligatures w14:val="standardContextual"/>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235403947" w:history="1">
            <w:r>
              <w:rPr>
                <w:rStyle w:val="Hyperlink"/>
                <w:rFonts w:ascii="Times New Roman" w:hAnsi="Times New Roman" w:cs="Times New Roman"/>
                <w:noProof/>
              </w:rPr>
              <w:t>1</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Element 1: Sustainable Brand Extension Poster</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_Toc235403947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3</w:t>
            </w:r>
            <w:r>
              <w:rPr>
                <w:rFonts w:ascii="Times New Roman" w:hAnsi="Times New Roman" w:cs="Times New Roman"/>
                <w:noProof/>
                <w:webHidden/>
              </w:rPr>
              <w:fldChar w:fldCharType="end"/>
            </w:r>
          </w:hyperlink>
        </w:p>
        <w:p w14:paraId="40B1B6F8" w14:textId="038D73B6" w:rsidR="00DF1C95" w:rsidRPr="00DF1C95" w:rsidRDefault="00DF1C95" w:rsidP="00DF1C9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403948" w:history="1">
            <w:r>
              <w:rPr>
                <w:rStyle w:val="Hyperlink"/>
                <w:rFonts w:ascii="Times New Roman" w:hAnsi="Times New Roman" w:cs="Times New Roman"/>
                <w:noProof/>
              </w:rPr>
              <w:t>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Element 2: Segmentation, Targeting, Differentiation and Positioning</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_Toc235403948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4</w:t>
            </w:r>
            <w:r>
              <w:rPr>
                <w:rFonts w:ascii="Times New Roman" w:hAnsi="Times New Roman" w:cs="Times New Roman"/>
                <w:noProof/>
                <w:webHidden/>
              </w:rPr>
              <w:fldChar w:fldCharType="end"/>
            </w:r>
          </w:hyperlink>
        </w:p>
        <w:p w14:paraId="7CC51916" w14:textId="6D50307B"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49" w:history="1">
            <w:r>
              <w:rPr>
                <w:rStyle w:val="Hyperlink"/>
                <w:rFonts w:ascii="Times New Roman" w:hAnsi="Times New Roman" w:cs="Times New Roman"/>
                <w:noProof/>
              </w:rPr>
              <w:t>2.1</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Segmentation</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_Toc235403949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4</w:t>
            </w:r>
            <w:r>
              <w:rPr>
                <w:rFonts w:ascii="Times New Roman" w:hAnsi="Times New Roman" w:cs="Times New Roman"/>
                <w:noProof/>
                <w:webHidden/>
              </w:rPr>
              <w:fldChar w:fldCharType="end"/>
            </w:r>
          </w:hyperlink>
        </w:p>
        <w:p w14:paraId="30606EC2" w14:textId="775C1BE5"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0" w:history="1">
            <w:r>
              <w:rPr>
                <w:rStyle w:val="Hyperlink"/>
                <w:rFonts w:ascii="Times New Roman" w:hAnsi="Times New Roman" w:cs="Times New Roman"/>
                <w:noProof/>
              </w:rPr>
              <w:t>2.2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Targeting</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_Toc235403950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5</w:t>
            </w:r>
            <w:r>
              <w:rPr>
                <w:rFonts w:ascii="Times New Roman" w:hAnsi="Times New Roman" w:cs="Times New Roman"/>
                <w:noProof/>
                <w:webHidden/>
              </w:rPr>
              <w:fldChar w:fldCharType="end"/>
            </w:r>
          </w:hyperlink>
        </w:p>
        <w:p w14:paraId="7E85D56D" w14:textId="5DBDB292"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1" w:history="1">
            <w:r>
              <w:rPr>
                <w:rStyle w:val="Hyperlink"/>
                <w:rFonts w:ascii="Times New Roman" w:hAnsi="Times New Roman" w:cs="Times New Roman"/>
                <w:noProof/>
              </w:rPr>
              <w:t>2.3</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Differentiation and positioning</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_Toc235403951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5</w:t>
            </w:r>
            <w:r>
              <w:rPr>
                <w:rFonts w:ascii="Times New Roman" w:hAnsi="Times New Roman" w:cs="Times New Roman"/>
                <w:noProof/>
                <w:webHidden/>
              </w:rPr>
              <w:fldChar w:fldCharType="end"/>
            </w:r>
          </w:hyperlink>
        </w:p>
        <w:p w14:paraId="6F59A557" w14:textId="17044C66" w:rsidR="00DF1C95" w:rsidRPr="00DF1C95" w:rsidRDefault="00DF1C95" w:rsidP="00DF1C9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403952" w:history="1">
            <w:r>
              <w:rPr>
                <w:rStyle w:val="Hyperlink"/>
                <w:rFonts w:ascii="Times New Roman" w:hAnsi="Times New Roman" w:cs="Times New Roman"/>
                <w:noProof/>
              </w:rPr>
              <w:t>3</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Element 3: The Marketing Mix (7Ps)</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_Toc235403952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7</w:t>
            </w:r>
            <w:r>
              <w:rPr>
                <w:rFonts w:ascii="Times New Roman" w:hAnsi="Times New Roman" w:cs="Times New Roman"/>
                <w:noProof/>
                <w:webHidden/>
              </w:rPr>
              <w:fldChar w:fldCharType="end"/>
            </w:r>
          </w:hyperlink>
        </w:p>
        <w:p w14:paraId="5D28E66D" w14:textId="0FC4B8D9"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3" w:history="1">
            <w:r>
              <w:rPr>
                <w:rStyle w:val="Hyperlink"/>
                <w:rFonts w:ascii="Times New Roman" w:hAnsi="Times New Roman" w:cs="Times New Roman"/>
                <w:noProof/>
              </w:rPr>
              <w:t>3.1</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Product</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_Toc235403953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7</w:t>
            </w:r>
            <w:r>
              <w:rPr>
                <w:rFonts w:ascii="Times New Roman" w:hAnsi="Times New Roman" w:cs="Times New Roman"/>
                <w:noProof/>
                <w:webHidden/>
              </w:rPr>
              <w:fldChar w:fldCharType="end"/>
            </w:r>
          </w:hyperlink>
        </w:p>
        <w:p w14:paraId="051CCC20" w14:textId="1539A2D9"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4" w:history="1">
            <w:r>
              <w:rPr>
                <w:rStyle w:val="Hyperlink"/>
                <w:rFonts w:ascii="Times New Roman" w:hAnsi="Times New Roman" w:cs="Times New Roman"/>
                <w:noProof/>
              </w:rPr>
              <w:t>3.2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Price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_Toc235403954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8</w:t>
            </w:r>
            <w:r>
              <w:rPr>
                <w:rFonts w:ascii="Times New Roman" w:hAnsi="Times New Roman" w:cs="Times New Roman"/>
                <w:noProof/>
                <w:webHidden/>
              </w:rPr>
              <w:fldChar w:fldCharType="end"/>
            </w:r>
          </w:hyperlink>
        </w:p>
        <w:p w14:paraId="3CCFAA03" w14:textId="49A6E4B8"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5" w:history="1">
            <w:r>
              <w:rPr>
                <w:rStyle w:val="Hyperlink"/>
                <w:rFonts w:ascii="Times New Roman" w:hAnsi="Times New Roman" w:cs="Times New Roman"/>
                <w:noProof/>
              </w:rPr>
              <w:t>3.3</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Place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_Toc235403955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8</w:t>
            </w:r>
            <w:r>
              <w:rPr>
                <w:rFonts w:ascii="Times New Roman" w:hAnsi="Times New Roman" w:cs="Times New Roman"/>
                <w:noProof/>
                <w:webHidden/>
              </w:rPr>
              <w:fldChar w:fldCharType="end"/>
            </w:r>
          </w:hyperlink>
        </w:p>
        <w:p w14:paraId="05BA0C63" w14:textId="1F9FE6B9"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6" w:history="1">
            <w:r>
              <w:rPr>
                <w:rStyle w:val="Hyperlink"/>
                <w:rFonts w:ascii="Times New Roman" w:hAnsi="Times New Roman" w:cs="Times New Roman"/>
                <w:noProof/>
              </w:rPr>
              <w:t>3.4</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Promotion</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_Toc235403956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8</w:t>
            </w:r>
            <w:r>
              <w:rPr>
                <w:rFonts w:ascii="Times New Roman" w:hAnsi="Times New Roman" w:cs="Times New Roman"/>
                <w:noProof/>
                <w:webHidden/>
              </w:rPr>
              <w:fldChar w:fldCharType="end"/>
            </w:r>
          </w:hyperlink>
        </w:p>
        <w:p w14:paraId="4D79D688" w14:textId="75882E1D"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7" w:history="1">
            <w:r>
              <w:rPr>
                <w:rStyle w:val="Hyperlink"/>
                <w:rFonts w:ascii="Times New Roman" w:hAnsi="Times New Roman" w:cs="Times New Roman"/>
                <w:noProof/>
              </w:rPr>
              <w:t>3.5</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People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_Toc235403957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9</w:t>
            </w:r>
            <w:r>
              <w:rPr>
                <w:rFonts w:ascii="Times New Roman" w:hAnsi="Times New Roman" w:cs="Times New Roman"/>
                <w:noProof/>
                <w:webHidden/>
              </w:rPr>
              <w:fldChar w:fldCharType="end"/>
            </w:r>
          </w:hyperlink>
        </w:p>
        <w:p w14:paraId="5627EB75" w14:textId="241280E5"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8" w:history="1">
            <w:r>
              <w:rPr>
                <w:rStyle w:val="Hyperlink"/>
                <w:rFonts w:ascii="Times New Roman" w:hAnsi="Times New Roman" w:cs="Times New Roman"/>
                <w:noProof/>
              </w:rPr>
              <w:t>3.6</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Process</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_Toc235403958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9</w:t>
            </w:r>
            <w:r>
              <w:rPr>
                <w:rFonts w:ascii="Times New Roman" w:hAnsi="Times New Roman" w:cs="Times New Roman"/>
                <w:noProof/>
                <w:webHidden/>
              </w:rPr>
              <w:fldChar w:fldCharType="end"/>
            </w:r>
          </w:hyperlink>
        </w:p>
        <w:p w14:paraId="5480CF5B" w14:textId="7251F4D9" w:rsidR="00DF1C95" w:rsidRPr="00DF1C95" w:rsidRDefault="00DF1C95" w:rsidP="00DF1C9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403959" w:history="1">
            <w:r>
              <w:rPr>
                <w:rStyle w:val="Hyperlink"/>
                <w:rFonts w:ascii="Times New Roman" w:hAnsi="Times New Roman" w:cs="Times New Roman"/>
                <w:noProof/>
              </w:rPr>
              <w:t>3.7</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Physical evidence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_Toc235403959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9</w:t>
            </w:r>
            <w:r>
              <w:rPr>
                <w:rFonts w:ascii="Times New Roman" w:hAnsi="Times New Roman" w:cs="Times New Roman"/>
                <w:noProof/>
                <w:webHidden/>
              </w:rPr>
              <w:fldChar w:fldCharType="end"/>
            </w:r>
          </w:hyperlink>
        </w:p>
        <w:p w14:paraId="6C9FA674" w14:textId="0B595574" w:rsidR="00DF1C95" w:rsidRPr="00DF1C95" w:rsidRDefault="00DF1C95" w:rsidP="00DF1C9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403960" w:history="1">
            <w:r>
              <w:rPr>
                <w:rStyle w:val="Hyperlink"/>
                <w:rFonts w:ascii="Times New Roman" w:hAnsi="Times New Roman" w:cs="Times New Roman"/>
                <w:noProof/>
              </w:rPr>
              <w:t>4</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Element 4: Reflection</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_Toc235403960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10</w:t>
            </w:r>
            <w:r>
              <w:rPr>
                <w:rFonts w:ascii="Times New Roman" w:hAnsi="Times New Roman" w:cs="Times New Roman"/>
                <w:noProof/>
                <w:webHidden/>
              </w:rPr>
              <w:fldChar w:fldCharType="end"/>
            </w:r>
          </w:hyperlink>
        </w:p>
        <w:p w14:paraId="43C1AC86" w14:textId="32405227" w:rsidR="00DF1C95" w:rsidRPr="00DF1C95" w:rsidRDefault="00DF1C95" w:rsidP="00DF1C9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403961" w:history="1">
            <w:r>
              <w:rPr>
                <w:rStyle w:val="Hyperlink"/>
                <w:rFonts w:ascii="Times New Roman" w:hAnsi="Times New Roman" w:cs="Times New Roman"/>
                <w:noProof/>
              </w:rPr>
              <w:t>5</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References</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_Toc235403961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12</w:t>
            </w:r>
            <w:r>
              <w:rPr>
                <w:rFonts w:ascii="Times New Roman" w:hAnsi="Times New Roman" w:cs="Times New Roman"/>
                <w:noProof/>
                <w:webHidden/>
              </w:rPr>
              <w:fldChar w:fldCharType="end"/>
            </w:r>
          </w:hyperlink>
        </w:p>
        <w:p w14:paraId="22F10857" w14:textId="7804583C" w:rsidR="00DF1C95" w:rsidRPr="00DF1C95" w:rsidRDefault="00DF1C95" w:rsidP="00DF1C95">
          <w:pPr>
            <w:rPr>
              <w:rFonts w:ascii="Times New Roman" w:hAnsi="Times New Roman" w:cs="Times New Roman"/>
            </w:rPr>
          </w:pPr>
          <w:r>
            <w:rPr>
              <w:rFonts w:ascii="Times New Roman" w:hAnsi="Times New Roman" w:cs="Times New Roman"/>
              <w:b/>
              <w:bCs/>
              <w:noProof/>
            </w:rPr>
            <w:fldChar w:fldCharType="end"/>
          </w:r>
        </w:p>
      </w:sdtContent>
    </w:sdt>
    <w:p w14:paraId="6A9D4A72" w14:textId="77777777" w:rsidR="00574EC8" w:rsidRPr="00766153" w:rsidRDefault="00000000" w:rsidP="00766153">
      <w:pPr>
        <w:jc w:val="both"/>
        <w:rPr>
          <w:rFonts w:ascii="Times New Roman" w:hAnsi="Times New Roman" w:cs="Times New Roman"/>
        </w:rPr>
      </w:pPr>
      <w:r>
        <w:rPr>
          <w:rFonts w:ascii="Times New Roman" w:hAnsi="Times New Roman" w:cs="Times New Roman"/>
        </w:rPr>
        <w:br w:type="page"/>
      </w:r>
    </w:p>
    <w:p w14:paraId="5CDD2735" w14:textId="77777777" w:rsidR="00F72685" w:rsidRPr="00F72685" w:rsidRDefault="00F72685" w:rsidP="00F72685">
      <w:pPr>
        <w:pStyle w:val="TableofFigures"/>
        <w:tabs>
          <w:tab w:val="right" w:leader="dot" w:pos="9016"/>
        </w:tabs>
        <w:jc w:val="center"/>
        <w:rPr>
          <w:rFonts w:ascii="Times New Roman" w:hAnsi="Times New Roman" w:cs="Times New Roman"/>
          <w:b/>
          <w:bCs/>
          <w:sz w:val="28"/>
          <w:szCs w:val="28"/>
        </w:rPr>
      </w:pPr>
      <w:bookmarkStart w:id="0" w:name="_Toc235398400"/>
      <w:bookmarkStart w:id="1" w:name="_Toc235403947"/>
      <w:r>
        <w:rPr>
          <w:rFonts w:ascii="Times New Roman" w:hAnsi="Times New Roman" w:cs="Times New Roman"/>
          <w:b/>
          <w:bCs/>
          <w:sz w:val="28"/>
          <w:szCs w:val="28"/>
        </w:rPr>
        <w:t>List of Figures and Tables</w:t>
      </w:r>
    </w:p>
    <w:p w14:paraId="2A38E466" w14:textId="31CB3C82" w:rsidR="00F72685" w:rsidRPr="00F7268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35404099" w:history="1">
        <w:r>
          <w:rPr>
            <w:rStyle w:val="Hyperlink"/>
            <w:rFonts w:ascii="Times New Roman" w:hAnsi="Times New Roman" w:cs="Times New Roman"/>
            <w:noProof/>
          </w:rPr>
          <w:t>Figure 1 IKEA KRETSLOPP poster presentation (Ingka Group, 2026; WRAP, 2012).</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_Toc235404099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4</w:t>
        </w:r>
        <w:r>
          <w:rPr>
            <w:rFonts w:ascii="Times New Roman" w:hAnsi="Times New Roman" w:cs="Times New Roman"/>
            <w:noProof/>
            <w:webHidden/>
          </w:rPr>
          <w:fldChar w:fldCharType="end"/>
        </w:r>
      </w:hyperlink>
    </w:p>
    <w:p w14:paraId="639EEA74" w14:textId="1320E4F0" w:rsidR="00F72685" w:rsidRPr="00F7268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hyperlink w:anchor="_Toc235404100" w:history="1">
        <w:r>
          <w:rPr>
            <w:rStyle w:val="Hyperlink"/>
            <w:rFonts w:ascii="Times New Roman" w:hAnsi="Times New Roman" w:cs="Times New Roman"/>
            <w:noProof/>
          </w:rPr>
          <w:t>Figure 2 Perceptual positioning map for IKEA KRETSLOPP (Hesse et al., 2022)</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_Toc235404100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7</w:t>
        </w:r>
        <w:r>
          <w:rPr>
            <w:rFonts w:ascii="Times New Roman" w:hAnsi="Times New Roman" w:cs="Times New Roman"/>
            <w:noProof/>
            <w:webHidden/>
          </w:rPr>
          <w:fldChar w:fldCharType="end"/>
        </w:r>
      </w:hyperlink>
    </w:p>
    <w:p w14:paraId="62955654" w14:textId="1EB58BBE" w:rsidR="00F72685" w:rsidRPr="00F7268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hyperlink w:anchor="_Toc235404101" w:history="1">
        <w:r>
          <w:rPr>
            <w:rStyle w:val="Hyperlink"/>
            <w:rFonts w:ascii="Times New Roman" w:hAnsi="Times New Roman" w:cs="Times New Roman"/>
            <w:noProof/>
          </w:rPr>
          <w:t>Figure 3 Global furniture rental market growth (FBI, 2026).</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_Toc235404101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10</w:t>
        </w:r>
        <w:r>
          <w:rPr>
            <w:rFonts w:ascii="Times New Roman" w:hAnsi="Times New Roman" w:cs="Times New Roman"/>
            <w:noProof/>
            <w:webHidden/>
          </w:rPr>
          <w:fldChar w:fldCharType="end"/>
        </w:r>
      </w:hyperlink>
    </w:p>
    <w:p w14:paraId="161DCDD4" w14:textId="704D0D95" w:rsidR="00F72685" w:rsidRPr="00F7268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hyperlink w:anchor="_Toc235404102" w:history="1">
        <w:r>
          <w:rPr>
            <w:rStyle w:val="Hyperlink"/>
            <w:rFonts w:ascii="Times New Roman" w:hAnsi="Times New Roman" w:cs="Times New Roman"/>
            <w:noProof/>
          </w:rPr>
          <w:t>Figure 4 Marketing Mix (Hesse et al., 2022)</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_Toc235404102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11</w:t>
        </w:r>
        <w:r>
          <w:rPr>
            <w:rFonts w:ascii="Times New Roman" w:hAnsi="Times New Roman" w:cs="Times New Roman"/>
            <w:noProof/>
            <w:webHidden/>
          </w:rPr>
          <w:fldChar w:fldCharType="end"/>
        </w:r>
      </w:hyperlink>
    </w:p>
    <w:p w14:paraId="4C5D077C" w14:textId="0A03118E" w:rsidR="00F72685" w:rsidRPr="00F72685" w:rsidRDefault="00F72685" w:rsidP="00F72685">
      <w:pPr>
        <w:rPr>
          <w:rFonts w:ascii="Times New Roman" w:hAnsi="Times New Roman" w:cs="Times New Roman"/>
        </w:rPr>
      </w:pPr>
      <w:r>
        <w:rPr>
          <w:rFonts w:ascii="Times New Roman" w:hAnsi="Times New Roman" w:cs="Times New Roman"/>
        </w:rPr>
        <w:fldChar w:fldCharType="end"/>
      </w: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235404106" w:history="1">
        <w:r>
          <w:rPr>
            <w:rStyle w:val="Hyperlink"/>
            <w:rFonts w:ascii="Times New Roman" w:hAnsi="Times New Roman" w:cs="Times New Roman"/>
            <w:noProof/>
          </w:rPr>
          <w:t>Table 1 The 7Ps configured for IKEA KRETSLOPP</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_Toc235404106 \h </w:instrText>
        </w:r>
        <w:r>
          <w:rPr>
            <w:rFonts w:ascii="Times New Roman" w:hAnsi="Times New Roman" w:cs="Times New Roman"/>
            <w:noProof/>
            <w:webHidden/>
          </w:rPr>
        </w:r>
        <w:r>
          <w:rPr>
            <w:rFonts w:ascii="Times New Roman" w:hAnsi="Times New Roman" w:cs="Times New Roman"/>
            <w:noProof/>
            <w:webHidden/>
          </w:rPr>
          <w:fldChar w:fldCharType="separate"/>
        </w:r>
        <w:r>
          <w:rPr>
            <w:rFonts w:ascii="Times New Roman" w:hAnsi="Times New Roman" w:cs="Times New Roman"/>
            <w:noProof/>
            <w:webHidden/>
          </w:rPr>
          <w:t>8</w:t>
        </w:r>
        <w:r>
          <w:rPr>
            <w:rFonts w:ascii="Times New Roman" w:hAnsi="Times New Roman" w:cs="Times New Roman"/>
            <w:noProof/>
            <w:webHidden/>
          </w:rPr>
          <w:fldChar w:fldCharType="end"/>
        </w:r>
      </w:hyperlink>
    </w:p>
    <w:p w14:paraId="73ED30C0" w14:textId="27F50979" w:rsidR="00F72685" w:rsidRDefault="00F72685" w:rsidP="00F72685">
      <w:r>
        <w:rPr>
          <w:rFonts w:ascii="Times New Roman" w:hAnsi="Times New Roman" w:cs="Times New Roman"/>
        </w:rPr>
        <w:fldChar w:fldCharType="end"/>
      </w:r>
    </w:p>
    <w:p w14:paraId="7214031C" w14:textId="77777777" w:rsidR="00F72685" w:rsidRDefault="00F72685" w:rsidP="00F72685"/>
    <w:p w14:paraId="0E1EEE64" w14:textId="77777777" w:rsidR="00F72685" w:rsidRDefault="00F72685" w:rsidP="00F72685"/>
    <w:p w14:paraId="0E3041A4" w14:textId="77777777" w:rsidR="00F72685" w:rsidRDefault="00F72685" w:rsidP="00F72685"/>
    <w:p w14:paraId="4390986C" w14:textId="77777777" w:rsidR="00F72685" w:rsidRDefault="00F72685" w:rsidP="00F72685"/>
    <w:p w14:paraId="771ED9AD" w14:textId="77777777" w:rsidR="00F72685" w:rsidRDefault="00F72685" w:rsidP="00F72685"/>
    <w:p w14:paraId="73F67CA8" w14:textId="77777777" w:rsidR="00F72685" w:rsidRDefault="00F72685" w:rsidP="00F72685"/>
    <w:p w14:paraId="2ACCDA88" w14:textId="77777777" w:rsidR="00F72685" w:rsidRDefault="00F72685" w:rsidP="00F72685"/>
    <w:p w14:paraId="5F6F6131" w14:textId="77777777" w:rsidR="00F72685" w:rsidRDefault="00F72685" w:rsidP="00F72685"/>
    <w:p w14:paraId="7A3E6AD3" w14:textId="77777777" w:rsidR="00F72685" w:rsidRDefault="00F72685" w:rsidP="00F72685"/>
    <w:p w14:paraId="3B574E8E" w14:textId="77777777" w:rsidR="00F72685" w:rsidRDefault="00F72685" w:rsidP="00F72685"/>
    <w:p w14:paraId="456603F3" w14:textId="77777777" w:rsidR="00F72685" w:rsidRDefault="00F72685" w:rsidP="00F72685"/>
    <w:p w14:paraId="5894A618" w14:textId="77777777" w:rsidR="00F72685" w:rsidRDefault="00F72685" w:rsidP="00F72685"/>
    <w:p w14:paraId="054F0B01" w14:textId="77777777" w:rsidR="00F72685" w:rsidRDefault="00F72685" w:rsidP="00F72685"/>
    <w:p w14:paraId="14C6248D" w14:textId="77777777" w:rsidR="00F72685" w:rsidRDefault="00F72685" w:rsidP="00F72685"/>
    <w:p w14:paraId="74263D9F" w14:textId="77777777" w:rsidR="00F72685" w:rsidRDefault="00F72685" w:rsidP="00F72685"/>
    <w:p w14:paraId="5E4CA8FA" w14:textId="77777777" w:rsidR="00F72685" w:rsidRDefault="00F72685" w:rsidP="00F72685"/>
    <w:p w14:paraId="70D5426C" w14:textId="77777777" w:rsidR="00F72685" w:rsidRDefault="00F72685" w:rsidP="00F72685"/>
    <w:p w14:paraId="100D88C0" w14:textId="77777777" w:rsidR="00F72685" w:rsidRDefault="00F72685" w:rsidP="00F72685"/>
    <w:p w14:paraId="30976615" w14:textId="77777777" w:rsidR="00F72685" w:rsidRDefault="00F72685" w:rsidP="00F72685"/>
    <w:p w14:paraId="52AB77AB" w14:textId="77777777" w:rsidR="00F72685" w:rsidRDefault="00F72685" w:rsidP="00F72685"/>
    <w:p w14:paraId="76BF917C" w14:textId="77777777" w:rsidR="00F72685" w:rsidRDefault="00F72685" w:rsidP="00F72685"/>
    <w:p w14:paraId="7D68B6E9" w14:textId="77777777" w:rsidR="00F72685" w:rsidRDefault="00F72685" w:rsidP="00F72685"/>
    <w:p w14:paraId="263FB184" w14:textId="77777777" w:rsidR="00F72685" w:rsidRDefault="00F72685" w:rsidP="00F72685"/>
    <w:p w14:paraId="6955E208" w14:textId="77777777" w:rsidR="00F72685" w:rsidRDefault="00F72685" w:rsidP="00F72685"/>
    <w:p w14:paraId="4011F686" w14:textId="77777777" w:rsidR="00F72685" w:rsidRDefault="00F72685" w:rsidP="00F72685"/>
    <w:p w14:paraId="738DE2B6" w14:textId="77777777" w:rsidR="00F72685" w:rsidRDefault="00F72685" w:rsidP="00F72685"/>
    <w:p w14:paraId="10000111" w14:textId="77777777" w:rsidR="001B0AD8" w:rsidRDefault="001B0AD8" w:rsidP="00DF1C95">
      <w:pPr>
        <w:pStyle w:val="Heading1"/>
        <w:rPr>
          <w:highlight w:val="yellow"/>
        </w:rPr>
      </w:pPr>
      <w:r>
        <w:rPr>
          <w:highlight w:val="yellow"/>
        </w:rPr>
        <w:t>Introduction</w:t>
      </w:r>
    </w:p>
    <w:p w14:paraId="10000222"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This portfolio presents IKEA KRETSLOPP, a sustainable brand extension developed for the Marketing Management module. The purpose of this introduction is to set out the idea behind the extension and to evaluate its strategic rationale before the supporting analysis is presented in the elements that follow.</w:t>
      </w:r>
    </w:p>
    <w:p w14:paraId="10000333" w14:textId="19141767" w:rsidR="001B0AD8" w:rsidRDefault="00EA08B5" w:rsidP="00766153">
      <w:pPr>
        <w:jc w:val="both"/>
        <w:rPr>
          <w:rFonts w:ascii="Times New Roman" w:hAnsi="Times New Roman" w:cs="Times New Roman"/>
          <w:highlight w:val="yellow"/>
        </w:rPr>
      </w:pPr>
      <w:r w:rsidRPr="00EA08B5">
        <w:rPr>
          <w:rFonts w:ascii="Times New Roman" w:hAnsi="Times New Roman" w:cs="Times New Roman"/>
          <w:b/>
          <w:bCs/>
          <w:highlight w:val="yellow"/>
        </w:rPr>
        <w:t>Main</w:t>
      </w:r>
      <w:r w:rsidR="001B0AD8" w:rsidRPr="00EA08B5">
        <w:rPr>
          <w:rFonts w:ascii="Times New Roman" w:hAnsi="Times New Roman" w:cs="Times New Roman"/>
          <w:b/>
          <w:bCs/>
          <w:highlight w:val="yellow"/>
        </w:rPr>
        <w:t xml:space="preserve"> idea</w:t>
      </w:r>
      <w:r w:rsidR="001B0AD8">
        <w:rPr>
          <w:rFonts w:ascii="Times New Roman" w:hAnsi="Times New Roman" w:cs="Times New Roman"/>
          <w:highlight w:val="yellow"/>
        </w:rPr>
        <w:t>. KRETSLOPP (Swedish for ‘cycle’) is a circular furniture-as-a-service proposition in which customers subscribe to modular, design-for-disassembly furniture rather than purchasing it outright. Items are delivered, maintained, swapped and eventually collected by IKEA, refurbished to a published condition standard and re-leased to a further customer. The extension therefore moves IKEA from a transactional retail model, in which revenue depends on replacement, towards a product–service system in which revenue depends on durability and repeated use (Mont, 2002).</w:t>
      </w:r>
    </w:p>
    <w:p w14:paraId="10000444"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Evaluation of the idea</w:t>
      </w:r>
      <w:r>
        <w:rPr>
          <w:rFonts w:ascii="Times New Roman" w:hAnsi="Times New Roman" w:cs="Times New Roman"/>
          <w:highlight w:val="yellow"/>
        </w:rPr>
        <w:t>. The extension is evaluated here against three criteria commonly applied to brand extensions: fit, leverage and risk. In terms of fit, the proposition sits in an adjacent category to the parent brand and draws on associations of affordable, well-designed living that consumers already hold, which the extension literature identifies as the strongest predictor of extension acceptance (Aaker and Keller, 1990; Keller, 1993). In terms of leverage, IKEA possesses assets that competitors cannot easily replicate: design-for-disassembly capability, a 400-plus store estate that can function as collection and refurbishment infrastructure, and an established Buyback system. In terms of risk, the two principal exposures are dilution of the parent brand if service delivery fails, and accusations of greenwashing if sustainability claims are not substantiated (Hesse et al., 2022; Tran, 2023). Both risks are addressed through the disciplined execution of the marketing mix set out in Element 3.</w:t>
      </w:r>
    </w:p>
    <w:p w14:paraId="10000555"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On balance, the idea is judged to be commercially and strategically defensible: it responds to a documented waste problem, it aligns with a growing rental market, and it converts IKEA’s existing sustainability commitments into a revenue-generating offer rather than a cost centre. The remainder of the portfolio develops this idea through the poster (Element 1), the STDP analysis (Element 2), the 7Ps marketing mix (Element 3) and a structured reflection (Element 4).</w:t>
      </w:r>
    </w:p>
    <w:p w14:paraId="2F3DE3D6" w14:textId="18C82EBC" w:rsidR="00574EC8" w:rsidRPr="00E620D6" w:rsidRDefault="00000000" w:rsidP="00F72685">
      <w:pPr>
        <w:pStyle w:val="Heading1"/>
      </w:pPr>
      <w:r>
        <w:t>Element 1: Sustainable Brand Extension Poster</w:t>
      </w:r>
      <w:bookmarkEnd w:id="0"/>
      <w:bookmarkEnd w:id="1"/>
    </w:p>
    <w:p w14:paraId="78637BF9" w14:textId="2B679CFE" w:rsidR="001B0AD8" w:rsidRPr="00E620D6" w:rsidRDefault="001B0AD8" w:rsidP="00766153">
      <w:pPr>
        <w:jc w:val="both"/>
        <w:rPr>
          <w:rFonts w:ascii="Times New Roman" w:hAnsi="Times New Roman" w:cs="Times New Roman"/>
        </w:rPr>
      </w:pPr>
      <w:r>
        <w:rPr>
          <w:rFonts w:ascii="Times New Roman" w:hAnsi="Times New Roman" w:cs="Times New Roman"/>
        </w:rPr>
        <w:t>The poster below (Figure 1) presents the sustainable brand extension, IKEA KRETSLOPP – a circular ‘furniture-as-a-service’ offer. It presents the company, the sustainability challenges the extension is trying to solve, explains the proposal and demonstrates how the proposal relates to the IKEA sustainability goals. The following written components (2–4) elaborate on the strategy.</w:t>
      </w:r>
    </w:p>
    <w:p w14:paraId="49906ACB" w14:textId="77777777" w:rsidR="00574EC8" w:rsidRPr="00E620D6" w:rsidRDefault="00000000" w:rsidP="00766153">
      <w:pPr>
        <w:jc w:val="both"/>
        <w:rPr>
          <w:rFonts w:ascii="Times New Roman" w:hAnsi="Times New Roman" w:cs="Times New Roman"/>
        </w:rPr>
      </w:pPr>
      <w:r>
        <w:rPr>
          <w:rFonts w:ascii="Times New Roman" w:hAnsi="Times New Roman" w:cs="Times New Roman"/>
          <w:noProof/>
        </w:rPr>
        <w:drawing>
          <wp:inline distT="0" distB="0" distL="0" distR="0" wp14:anchorId="0E723599" wp14:editId="4E7EE907">
            <wp:extent cx="5715000" cy="3209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3209925"/>
                    </a:xfrm>
                    <a:prstGeom prst="rect">
                      <a:avLst/>
                    </a:prstGeom>
                  </pic:spPr>
                </pic:pic>
              </a:graphicData>
            </a:graphic>
          </wp:inline>
        </w:drawing>
      </w:r>
    </w:p>
    <w:p w14:paraId="445DCC3B" w14:textId="3EDD9FD7" w:rsidR="00574EC8" w:rsidRPr="00E620D6" w:rsidRDefault="00E620D6" w:rsidP="00E620D6">
      <w:pPr>
        <w:pStyle w:val="Caption"/>
        <w:jc w:val="center"/>
        <w:rPr>
          <w:rFonts w:ascii="Times New Roman" w:hAnsi="Times New Roman" w:cs="Times New Roman"/>
          <w:b/>
          <w:bCs/>
          <w:color w:val="auto"/>
          <w:sz w:val="20"/>
          <w:szCs w:val="20"/>
        </w:rPr>
      </w:pPr>
      <w:bookmarkStart w:id="2" w:name="_Toc235404099"/>
      <w:r>
        <w:rPr>
          <w:rFonts w:ascii="Times New Roman" w:hAnsi="Times New Roman" w:cs="Times New Roman"/>
          <w:b/>
          <w:bCs/>
          <w:color w:val="auto"/>
          <w:sz w:val="20"/>
          <w:szCs w:val="20"/>
        </w:rPr>
        <w:t xml:space="preserve">Figure </w:t>
      </w:r>
      <w:r>
        <w:rPr>
          <w:rFonts w:ascii="Times New Roman" w:hAnsi="Times New Roman" w:cs="Times New Roman"/>
          <w:b/>
          <w:bCs/>
          <w:color w:val="auto"/>
          <w:sz w:val="20"/>
          <w:szCs w:val="20"/>
        </w:rPr>
        <w:fldChar w:fldCharType="begin"/>
      </w:r>
      <w:r>
        <w:rPr>
          <w:rFonts w:ascii="Times New Roman" w:hAnsi="Times New Roman" w:cs="Times New Roman"/>
          <w:b/>
          <w:bCs/>
          <w:color w:val="auto"/>
          <w:sz w:val="20"/>
          <w:szCs w:val="20"/>
        </w:rPr>
        <w:instrText xml:space="preserve"> SEQ Figure \* ARABIC </w:instrText>
      </w:r>
      <w:r>
        <w:rPr>
          <w:rFonts w:ascii="Times New Roman" w:hAnsi="Times New Roman" w:cs="Times New Roman"/>
          <w:b/>
          <w:bCs/>
          <w:color w:val="auto"/>
          <w:sz w:val="20"/>
          <w:szCs w:val="20"/>
        </w:rPr>
        <w:fldChar w:fldCharType="separate"/>
      </w:r>
      <w:r>
        <w:rPr>
          <w:rFonts w:ascii="Times New Roman" w:hAnsi="Times New Roman" w:cs="Times New Roman"/>
          <w:b/>
          <w:bCs/>
          <w:noProof/>
          <w:color w:val="auto"/>
          <w:sz w:val="20"/>
          <w:szCs w:val="20"/>
        </w:rPr>
        <w:t>1</w:t>
      </w:r>
      <w:r>
        <w:rPr>
          <w:rFonts w:ascii="Times New Roman" w:hAnsi="Times New Roman" w:cs="Times New Roman"/>
          <w:b/>
          <w:bCs/>
          <w:color w:val="auto"/>
          <w:sz w:val="20"/>
          <w:szCs w:val="20"/>
        </w:rPr>
        <w:fldChar w:fldCharType="end"/>
      </w:r>
      <w:r>
        <w:rPr>
          <w:rFonts w:ascii="Times New Roman" w:hAnsi="Times New Roman" w:cs="Times New Roman"/>
          <w:b/>
          <w:bCs/>
          <w:color w:val="auto"/>
          <w:sz w:val="20"/>
          <w:szCs w:val="20"/>
        </w:rPr>
        <w:t xml:space="preserve"> IKEA KRETSLOPP poster presentation (Ingka Group, 2026; WRAP, 2012).</w:t>
      </w:r>
      <w:bookmarkEnd w:id="2"/>
    </w:p>
    <w:p w14:paraId="5D70CF25" w14:textId="77777777" w:rsidR="00574EC8" w:rsidRPr="00E620D6" w:rsidRDefault="00000000" w:rsidP="00E620D6">
      <w:pPr>
        <w:jc w:val="center"/>
        <w:rPr>
          <w:rFonts w:ascii="Times New Roman" w:hAnsi="Times New Roman" w:cs="Times New Roman"/>
          <w:b/>
          <w:bCs/>
          <w:sz w:val="20"/>
          <w:szCs w:val="20"/>
        </w:rPr>
      </w:pPr>
      <w:r>
        <w:rPr>
          <w:rFonts w:ascii="Times New Roman" w:hAnsi="Times New Roman" w:cs="Times New Roman"/>
          <w:b/>
          <w:bCs/>
          <w:sz w:val="20"/>
          <w:szCs w:val="20"/>
        </w:rPr>
        <w:br w:type="page"/>
      </w:r>
    </w:p>
    <w:p w14:paraId="4BC7A4DE" w14:textId="77777777" w:rsidR="00574EC8" w:rsidRPr="00E620D6" w:rsidRDefault="00000000" w:rsidP="00E620D6">
      <w:pPr>
        <w:pStyle w:val="Heading1"/>
      </w:pPr>
      <w:bookmarkStart w:id="3" w:name="_Toc235398401"/>
      <w:bookmarkStart w:id="4" w:name="_Toc235403948"/>
      <w:r>
        <w:t>Element 2: Segmentation, Targeting, Differentiation and Positioning</w:t>
      </w:r>
      <w:bookmarkEnd w:id="3"/>
      <w:bookmarkEnd w:id="4"/>
    </w:p>
    <w:p w14:paraId="66B76EA4" w14:textId="77777777" w:rsidR="001B0AD8" w:rsidRPr="00E620D6" w:rsidRDefault="001B0AD8" w:rsidP="00766153">
      <w:pPr>
        <w:jc w:val="both"/>
        <w:rPr>
          <w:rFonts w:ascii="Times New Roman" w:hAnsi="Times New Roman" w:cs="Times New Roman"/>
        </w:rPr>
      </w:pPr>
      <w:r>
        <w:rPr>
          <w:rFonts w:ascii="Times New Roman" w:hAnsi="Times New Roman" w:cs="Times New Roman"/>
        </w:rPr>
        <w:t>A brand extension is only successful if it reaches a well-defined target audience and is clearly positioned in their minds (Aaker and Keller, 1990). The segmentation, targeting, differentiation and positioning (STDP) framework (Armstrong, 2016) is used in this section when discussing IKEA KRETSLOPP.</w:t>
      </w:r>
    </w:p>
    <w:p w14:paraId="261C746E" w14:textId="77777777" w:rsidR="001B0AD8" w:rsidRPr="00E620D6" w:rsidRDefault="001B0AD8" w:rsidP="00E620D6">
      <w:pPr>
        <w:pStyle w:val="Heading2"/>
      </w:pPr>
      <w:bookmarkStart w:id="5" w:name="_Toc235403949"/>
      <w:r>
        <w:t>Segmentation</w:t>
      </w:r>
      <w:bookmarkEnd w:id="5"/>
    </w:p>
    <w:p w14:paraId="2CAB5430" w14:textId="32FE4F08" w:rsidR="001B0AD8" w:rsidRPr="00E620D6" w:rsidRDefault="001B0AD8" w:rsidP="00766153">
      <w:pPr>
        <w:jc w:val="both"/>
        <w:rPr>
          <w:rFonts w:ascii="Times New Roman" w:hAnsi="Times New Roman" w:cs="Times New Roman"/>
        </w:rPr>
      </w:pPr>
      <w:r>
        <w:rPr>
          <w:rFonts w:ascii="Times New Roman" w:hAnsi="Times New Roman" w:cs="Times New Roman"/>
        </w:rPr>
        <w:t>Table 1 summarises the four segmentation bases. KRETSLOPP's geographical focus is high-density urban centres in the United Kingdom and Western Europe, where rents are highest, space is tight and residents are moving in and out of space frequently- London, Manchester, Berlin and Amsterdam. Asia-Pacific dominates the furniture-rental market with 48.9% (FBI, 2026) but Western Europe is the logical region to launch in due to Ingka's estate and live rental pilots in Germany, France and the Netherlands.</w:t>
      </w:r>
    </w:p>
    <w:p w14:paraId="35007ED1" w14:textId="77777777" w:rsidR="001B0AD8" w:rsidRPr="00E620D6" w:rsidRDefault="001B0AD8" w:rsidP="00766153">
      <w:pPr>
        <w:jc w:val="both"/>
        <w:rPr>
          <w:rFonts w:ascii="Times New Roman" w:hAnsi="Times New Roman" w:cs="Times New Roman"/>
        </w:rPr>
      </w:pPr>
      <w:r>
        <w:rPr>
          <w:rFonts w:ascii="Times New Roman" w:hAnsi="Times New Roman" w:cs="Times New Roman"/>
        </w:rPr>
        <w:t>The core segment, demographically speaking, is the middle-income educated individuals (renters) who are 25-40 years old, deferring home ownership. Extension is psychographically aimed at people who value access rather than ownership of goods, a ‘liquid’ attitude to possessions (Bardhi and Eckhardt, 2012) and who have pro-environmental values. The segment is defined by behaviour, with people wanting flexibility, convenience and ‘sustainability’ proven; by usage occasion, as people relocate, form new households and go through life stage changes; and by showing a willingness to pay a premium for credibly green goods (Nguyen et al., 2025).</w:t>
      </w:r>
    </w:p>
    <w:p w14:paraId="6504B7F1" w14:textId="18262C85" w:rsidR="00574EC8" w:rsidRPr="00E620D6" w:rsidRDefault="00000000" w:rsidP="00E620D6">
      <w:pPr>
        <w:jc w:val="center"/>
        <w:rPr>
          <w:rFonts w:ascii="Times New Roman" w:hAnsi="Times New Roman" w:cs="Times New Roman"/>
          <w:b/>
          <w:bCs/>
          <w:sz w:val="20"/>
          <w:szCs w:val="20"/>
        </w:rPr>
      </w:pPr>
      <w:r>
        <w:rPr>
          <w:rFonts w:ascii="Times New Roman" w:hAnsi="Times New Roman" w:cs="Times New Roman"/>
          <w:b/>
          <w:bCs/>
          <w:i/>
          <w:iCs/>
          <w:sz w:val="20"/>
          <w:szCs w:val="20"/>
        </w:rPr>
        <w:t>Table 1: Segmentation bases for IKEA KRETSLOPP</w:t>
      </w:r>
    </w:p>
    <w:tbl>
      <w:tblPr>
        <w:tblStyle w:val="GridTable4-Accent6"/>
        <w:tblW w:w="9026" w:type="dxa"/>
        <w:tblLook w:val="04A0" w:firstRow="1" w:lastRow="0" w:firstColumn="1" w:lastColumn="0" w:noHBand="0" w:noVBand="1"/>
      </w:tblPr>
      <w:tblGrid>
        <w:gridCol w:w="1723"/>
        <w:gridCol w:w="3106"/>
        <w:gridCol w:w="4197"/>
      </w:tblGrid>
      <w:tr w:rsidR="00574EC8" w:rsidRPr="00E620D6" w14:paraId="0254AB35" w14:textId="77777777" w:rsidTr="00E620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6" w:type="dxa"/>
          </w:tcPr>
          <w:p w14:paraId="0111813B" w14:textId="77777777" w:rsidR="00574EC8" w:rsidRPr="00E620D6" w:rsidRDefault="00000000" w:rsidP="00766153">
            <w:pPr>
              <w:spacing w:line="360" w:lineRule="auto"/>
              <w:jc w:val="both"/>
              <w:rPr>
                <w:rFonts w:ascii="Times New Roman" w:hAnsi="Times New Roman" w:cs="Times New Roman"/>
                <w:color w:val="auto"/>
              </w:rPr>
            </w:pPr>
            <w:r>
              <w:rPr>
                <w:rFonts w:ascii="Times New Roman" w:hAnsi="Times New Roman" w:cs="Times New Roman"/>
                <w:color w:val="auto"/>
              </w:rPr>
              <w:t>Segmentation base</w:t>
            </w:r>
          </w:p>
        </w:tc>
        <w:tc>
          <w:tcPr>
            <w:tcW w:w="3113" w:type="dxa"/>
          </w:tcPr>
          <w:p w14:paraId="17975E65" w14:textId="77777777" w:rsidR="00574EC8" w:rsidRPr="00E620D6"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Variables</w:t>
            </w:r>
          </w:p>
        </w:tc>
        <w:tc>
          <w:tcPr>
            <w:tcW w:w="4207" w:type="dxa"/>
          </w:tcPr>
          <w:p w14:paraId="250D17BE" w14:textId="77777777" w:rsidR="00574EC8" w:rsidRPr="00E620D6"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IKEA KRETSLOPP target profile</w:t>
            </w:r>
          </w:p>
        </w:tc>
      </w:tr>
      <w:tr w:rsidR="00574EC8" w:rsidRPr="00E620D6" w14:paraId="13AE69DA" w14:textId="77777777" w:rsidTr="00E62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6" w:type="dxa"/>
          </w:tcPr>
          <w:p w14:paraId="0538BD8D"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Geographic</w:t>
            </w:r>
          </w:p>
        </w:tc>
        <w:tc>
          <w:tcPr>
            <w:tcW w:w="3113" w:type="dxa"/>
          </w:tcPr>
          <w:p w14:paraId="6CCC8946"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Region, city size, population density</w:t>
            </w:r>
          </w:p>
        </w:tc>
        <w:tc>
          <w:tcPr>
            <w:tcW w:w="4207" w:type="dxa"/>
          </w:tcPr>
          <w:p w14:paraId="7DBB40B5"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High-density UK and Western European cities (London, Manchester, Berlin, Amsterdam) with high rental tenancy and resident churn</w:t>
            </w:r>
          </w:p>
        </w:tc>
      </w:tr>
      <w:tr w:rsidR="00574EC8" w:rsidRPr="00E620D6" w14:paraId="39A795A1" w14:textId="77777777" w:rsidTr="00E620D6">
        <w:tc>
          <w:tcPr>
            <w:cnfStyle w:val="001000000000" w:firstRow="0" w:lastRow="0" w:firstColumn="1" w:lastColumn="0" w:oddVBand="0" w:evenVBand="0" w:oddHBand="0" w:evenHBand="0" w:firstRowFirstColumn="0" w:firstRowLastColumn="0" w:lastRowFirstColumn="0" w:lastRowLastColumn="0"/>
            <w:tcW w:w="1706" w:type="dxa"/>
          </w:tcPr>
          <w:p w14:paraId="251F7AAE"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Demographic</w:t>
            </w:r>
          </w:p>
        </w:tc>
        <w:tc>
          <w:tcPr>
            <w:tcW w:w="3113" w:type="dxa"/>
          </w:tcPr>
          <w:p w14:paraId="43B23EAD"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Age, income, education, life stage</w:t>
            </w:r>
          </w:p>
        </w:tc>
        <w:tc>
          <w:tcPr>
            <w:tcW w:w="4207" w:type="dxa"/>
          </w:tcPr>
          <w:p w14:paraId="281B480B"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25–40 years; students and early-career professionals; middle income; educated; renters or pre-homeowners</w:t>
            </w:r>
          </w:p>
        </w:tc>
      </w:tr>
      <w:tr w:rsidR="00574EC8" w:rsidRPr="00E620D6" w14:paraId="51D4BF7C" w14:textId="77777777" w:rsidTr="00E62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6" w:type="dxa"/>
          </w:tcPr>
          <w:p w14:paraId="6D240DD6"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Psychographic</w:t>
            </w:r>
          </w:p>
        </w:tc>
        <w:tc>
          <w:tcPr>
            <w:tcW w:w="3113" w:type="dxa"/>
          </w:tcPr>
          <w:p w14:paraId="1B33CE78"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Values, lifestyle, attitudes</w:t>
            </w:r>
          </w:p>
        </w:tc>
        <w:tc>
          <w:tcPr>
            <w:tcW w:w="4207" w:type="dxa"/>
          </w:tcPr>
          <w:p w14:paraId="2D8491A9"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‘Access over ownership’ orientation; mobile and time-poor; strong pro-environmental values</w:t>
            </w:r>
          </w:p>
        </w:tc>
      </w:tr>
      <w:tr w:rsidR="00574EC8" w:rsidRPr="00E620D6" w14:paraId="5A1C4706" w14:textId="77777777" w:rsidTr="00E620D6">
        <w:tc>
          <w:tcPr>
            <w:cnfStyle w:val="001000000000" w:firstRow="0" w:lastRow="0" w:firstColumn="1" w:lastColumn="0" w:oddVBand="0" w:evenVBand="0" w:oddHBand="0" w:evenHBand="0" w:firstRowFirstColumn="0" w:firstRowLastColumn="0" w:lastRowFirstColumn="0" w:lastRowLastColumn="0"/>
            <w:tcW w:w="1706" w:type="dxa"/>
          </w:tcPr>
          <w:p w14:paraId="69C2CFA3"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Behavioural</w:t>
            </w:r>
          </w:p>
        </w:tc>
        <w:tc>
          <w:tcPr>
            <w:tcW w:w="3113" w:type="dxa"/>
          </w:tcPr>
          <w:p w14:paraId="71A48704"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Benefits sought, occasion, loyalty</w:t>
            </w:r>
          </w:p>
        </w:tc>
        <w:tc>
          <w:tcPr>
            <w:tcW w:w="4207" w:type="dxa"/>
          </w:tcPr>
          <w:p w14:paraId="4FDC8662"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Flexibility, convenience and credible sustainability; relocation and life-stage transitions; willing to pay a premium for verified green offerings</w:t>
            </w:r>
          </w:p>
        </w:tc>
      </w:tr>
    </w:tbl>
    <w:p w14:paraId="2BB008E4" w14:textId="77777777" w:rsidR="001B0AD8" w:rsidRPr="00E620D6" w:rsidRDefault="001B0AD8" w:rsidP="00766153">
      <w:pPr>
        <w:jc w:val="both"/>
        <w:rPr>
          <w:rFonts w:ascii="Times New Roman" w:hAnsi="Times New Roman" w:cs="Times New Roman"/>
        </w:rPr>
      </w:pPr>
      <w:r>
        <w:rPr>
          <w:rFonts w:ascii="Times New Roman" w:hAnsi="Times New Roman" w:cs="Times New Roman"/>
        </w:rPr>
        <w:t>The ‘green consumer' is not a single entity, but one that is critically plural. The results of the cluster studies are always found to be different in terms of the intensity of environmental attitudes and their conversion into environmental behavior (Jaiswal et al., 2021; Maťová et al., 2024); also, the demographic profiling is a poor predictor of green purchasing (Niedermeier et al., 2021). Because KRETSLOPP is segmented on values and behaviour, and not on demographics, this approach prevents the common pitfall of considering all consumers as ‘the green consumer'.</w:t>
      </w:r>
    </w:p>
    <w:p w14:paraId="1B51D0B9" w14:textId="77777777" w:rsidR="001B0AD8" w:rsidRPr="00E620D6" w:rsidRDefault="001B0AD8" w:rsidP="00E620D6">
      <w:pPr>
        <w:pStyle w:val="Heading2"/>
      </w:pPr>
      <w:bookmarkStart w:id="6" w:name="_Toc235403950"/>
      <w:r>
        <w:t>Targeting</w:t>
      </w:r>
      <w:bookmarkEnd w:id="6"/>
    </w:p>
    <w:p w14:paraId="2CC0FE08" w14:textId="467AE98B" w:rsidR="001B0AD8" w:rsidRPr="00E620D6" w:rsidRDefault="001B0AD8" w:rsidP="00766153">
      <w:pPr>
        <w:jc w:val="both"/>
        <w:rPr>
          <w:rFonts w:ascii="Times New Roman" w:hAnsi="Times New Roman" w:cs="Times New Roman"/>
        </w:rPr>
      </w:pPr>
      <w:r>
        <w:rPr>
          <w:rFonts w:ascii="Times New Roman" w:hAnsi="Times New Roman" w:cs="Times New Roman"/>
        </w:rPr>
        <w:t>KRETSLOPP uses a differentiated targeting strategy with a focused primary targeting strategy. The primary target – ‘urban eco-pragmatists' – is an attractive group because they are mobile young professionals who value good design but do not care for the friction and waste of ownership, and this is the fastest-growing rental category (FBI, 2026), as well as IKEA's own customer base. A secondary B2B segment (co-living operators, serviced apartments and corporate relocation) provides volume and predictable, contracted revenue; a tertiary student segment provides good low-cost entry point and brand affinity. This tiering focuses resources on a high value group and maintains reach. Analysed within the framework of the workable target, the main segment is large and expanding, and it can be measured using rental and mobility statistics, accessed digitally and in-store, and acted upon because IKEA has very good capabilities in the sector (Armstrong, 2016).</w:t>
      </w:r>
    </w:p>
    <w:p w14:paraId="02DE54EC" w14:textId="77777777" w:rsidR="001B0AD8" w:rsidRPr="00E620D6" w:rsidRDefault="001B0AD8" w:rsidP="00E620D6">
      <w:pPr>
        <w:pStyle w:val="Heading2"/>
      </w:pPr>
      <w:bookmarkStart w:id="7" w:name="_Toc235403951"/>
      <w:r>
        <w:t>Differentiation and positioning</w:t>
      </w:r>
      <w:bookmarkEnd w:id="7"/>
    </w:p>
    <w:p w14:paraId="266C974F" w14:textId="77777777" w:rsidR="001B0AD8" w:rsidRPr="00E620D6" w:rsidRDefault="001B0AD8" w:rsidP="00766153">
      <w:pPr>
        <w:jc w:val="both"/>
        <w:rPr>
          <w:rFonts w:ascii="Times New Roman" w:hAnsi="Times New Roman" w:cs="Times New Roman"/>
        </w:rPr>
      </w:pPr>
      <w:r>
        <w:rPr>
          <w:rFonts w:ascii="Times New Roman" w:hAnsi="Times New Roman" w:cs="Times New Roman"/>
        </w:rPr>
        <w:t>KRETSLOPP must differentiate on three fronts. It is competing with traditional retailers (DFS; the failed Made.com) on the circularity and flexibility they offer as opposed to ownership, with pure-play rental start-ups (Feather, Fernish, Furlenco) on the brand equity, scale of price and logistics, and with peer-to-peer resale (Vinted, Facebook Marketplace) on convenience, quality assurance and guarantees of take-back. IKEA's edge is the equity of the parent brand – if it's a strong, quality and trusted brand, then it's easy to transfer to an adjacent category that’s well ‘fitting' (Aaker and Keller, 1990; Keller, 1993); the design-for-disassembly capability, the 400-plus stores and the established/well-developed Buyback system – which returned nearly 686,500 used products in FY25 – are hard for challengers to replicate.</w:t>
      </w:r>
    </w:p>
    <w:p w14:paraId="07B063E6" w14:textId="6D0C9604" w:rsidR="001B0AD8" w:rsidRPr="00E620D6" w:rsidRDefault="001B0AD8" w:rsidP="00766153">
      <w:pPr>
        <w:jc w:val="both"/>
        <w:rPr>
          <w:rFonts w:ascii="Times New Roman" w:hAnsi="Times New Roman" w:cs="Times New Roman"/>
        </w:rPr>
      </w:pPr>
      <w:r>
        <w:rPr>
          <w:rFonts w:ascii="Times New Roman" w:hAnsi="Times New Roman" w:cs="Times New Roman"/>
        </w:rPr>
        <w:t>Figure 2 situates KRETSLOPP on the two dimensions that are most relevant to the target: ownership–access continuum and sustainability credibility. The extension is in a high credibility quadrant, which is partially accessible by opponents. The positioning statement is: ‘IKEA KRETSLOPP is the furniture subscription for mobile, environmentally conscious urban households to affordable well-designed living without the waste of ownership – IKEA designs it that way. The biggest threat is scepticism: Although consumers are becoming more skeptical about the authenticity of green claims of large brands, unsubstantiated messaging can lead to accusations of greenwashing rather than building equity (Hesse et al., 2022; Tran, 2023). It is rooted in concrete evidence, rather than rhetoric: science-based emissions targets; published Buyback volumes and explicit UN SDG12 alignment. The other problem is the dilution of the parent brand, and the failure to deliver what is promised in the service model would undermine the very strength of the brand that the strategy is based on (Aaker and Keller, 1990); thus, disciplined execution of the marketing mix is a prerequisite for success.</w:t>
      </w:r>
    </w:p>
    <w:p w14:paraId="1DCDC00F" w14:textId="77777777" w:rsidR="001B0AD8" w:rsidRPr="00E620D6" w:rsidRDefault="001B0AD8" w:rsidP="00766153">
      <w:pPr>
        <w:jc w:val="both"/>
        <w:rPr>
          <w:rFonts w:ascii="Times New Roman" w:hAnsi="Times New Roman" w:cs="Times New Roman"/>
        </w:rPr>
      </w:pPr>
    </w:p>
    <w:p w14:paraId="419918AE" w14:textId="146A31C0" w:rsidR="00574EC8" w:rsidRPr="00E620D6" w:rsidRDefault="00DF1C95" w:rsidP="00766153">
      <w:pPr>
        <w:jc w:val="both"/>
        <w:rPr>
          <w:rFonts w:ascii="Times New Roman" w:hAnsi="Times New Roman" w:cs="Times New Roman"/>
        </w:rPr>
      </w:pPr>
      <w:r>
        <w:rPr>
          <w:noProof/>
        </w:rPr>
        <w:drawing>
          <wp:inline distT="0" distB="0" distL="0" distR="0" wp14:anchorId="2462EDD8" wp14:editId="12A6191E">
            <wp:extent cx="5236210" cy="3670452"/>
            <wp:effectExtent l="0" t="0" r="2540" b="6350"/>
            <wp:docPr id="1167596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41855" cy="3674409"/>
                    </a:xfrm>
                    <a:prstGeom prst="rect">
                      <a:avLst/>
                    </a:prstGeom>
                    <a:noFill/>
                    <a:ln>
                      <a:noFill/>
                    </a:ln>
                  </pic:spPr>
                </pic:pic>
              </a:graphicData>
            </a:graphic>
          </wp:inline>
        </w:drawing>
      </w:r>
    </w:p>
    <w:p w14:paraId="2954B071" w14:textId="7F67234A" w:rsidR="00574EC8" w:rsidRPr="00DF1C95" w:rsidRDefault="00DF1C95" w:rsidP="00DF1C95">
      <w:pPr>
        <w:pStyle w:val="Caption"/>
        <w:jc w:val="center"/>
        <w:rPr>
          <w:rFonts w:ascii="Times New Roman" w:hAnsi="Times New Roman" w:cs="Times New Roman"/>
          <w:b/>
          <w:bCs/>
          <w:color w:val="auto"/>
          <w:sz w:val="20"/>
          <w:szCs w:val="20"/>
        </w:rPr>
      </w:pPr>
      <w:bookmarkStart w:id="8" w:name="_Toc235404100"/>
      <w:r>
        <w:rPr>
          <w:rFonts w:ascii="Times New Roman" w:hAnsi="Times New Roman" w:cs="Times New Roman"/>
          <w:b/>
          <w:bCs/>
          <w:color w:val="auto"/>
          <w:sz w:val="20"/>
          <w:szCs w:val="20"/>
        </w:rPr>
        <w:t xml:space="preserve">Figure </w:t>
      </w:r>
      <w:r>
        <w:rPr>
          <w:rFonts w:ascii="Times New Roman" w:hAnsi="Times New Roman" w:cs="Times New Roman"/>
          <w:b/>
          <w:bCs/>
          <w:color w:val="auto"/>
          <w:sz w:val="20"/>
          <w:szCs w:val="20"/>
        </w:rPr>
        <w:fldChar w:fldCharType="begin"/>
      </w:r>
      <w:r>
        <w:rPr>
          <w:rFonts w:ascii="Times New Roman" w:hAnsi="Times New Roman" w:cs="Times New Roman"/>
          <w:b/>
          <w:bCs/>
          <w:color w:val="auto"/>
          <w:sz w:val="20"/>
          <w:szCs w:val="20"/>
        </w:rPr>
        <w:instrText xml:space="preserve"> SEQ Figure \* ARABIC </w:instrText>
      </w:r>
      <w:r>
        <w:rPr>
          <w:rFonts w:ascii="Times New Roman" w:hAnsi="Times New Roman" w:cs="Times New Roman"/>
          <w:b/>
          <w:bCs/>
          <w:color w:val="auto"/>
          <w:sz w:val="20"/>
          <w:szCs w:val="20"/>
        </w:rPr>
        <w:fldChar w:fldCharType="separate"/>
      </w:r>
      <w:r>
        <w:rPr>
          <w:rFonts w:ascii="Times New Roman" w:hAnsi="Times New Roman" w:cs="Times New Roman"/>
          <w:b/>
          <w:bCs/>
          <w:noProof/>
          <w:color w:val="auto"/>
          <w:sz w:val="20"/>
          <w:szCs w:val="20"/>
        </w:rPr>
        <w:t>2</w:t>
      </w:r>
      <w:r>
        <w:rPr>
          <w:rFonts w:ascii="Times New Roman" w:hAnsi="Times New Roman" w:cs="Times New Roman"/>
          <w:b/>
          <w:bCs/>
          <w:color w:val="auto"/>
          <w:sz w:val="20"/>
          <w:szCs w:val="20"/>
        </w:rPr>
        <w:fldChar w:fldCharType="end"/>
      </w:r>
      <w:r>
        <w:rPr>
          <w:rFonts w:ascii="Times New Roman" w:hAnsi="Times New Roman" w:cs="Times New Roman"/>
          <w:b/>
          <w:bCs/>
          <w:color w:val="auto"/>
          <w:sz w:val="20"/>
          <w:szCs w:val="20"/>
        </w:rPr>
        <w:t xml:space="preserve"> Perceptual positioning map for IKEA KRETSLOPP (Hesse et al., 2022)</w:t>
      </w:r>
      <w:bookmarkEnd w:id="8"/>
    </w:p>
    <w:p w14:paraId="26A69C77" w14:textId="77777777" w:rsidR="00574EC8" w:rsidRPr="00E620D6" w:rsidRDefault="00000000" w:rsidP="00DF1C95">
      <w:pPr>
        <w:pStyle w:val="Heading1"/>
      </w:pPr>
      <w:bookmarkStart w:id="9" w:name="_Toc235398405"/>
      <w:bookmarkStart w:id="10" w:name="_Toc235403952"/>
      <w:r>
        <w:t>Element 3: The Marketing Mix (7Ps)</w:t>
      </w:r>
      <w:bookmarkEnd w:id="9"/>
      <w:bookmarkEnd w:id="10"/>
    </w:p>
    <w:p w14:paraId="43F5C7EF" w14:textId="77777777" w:rsidR="001B0AD8" w:rsidRPr="00DF1C95" w:rsidRDefault="001B0AD8" w:rsidP="00766153">
      <w:pPr>
        <w:jc w:val="both"/>
        <w:rPr>
          <w:rFonts w:ascii="Times New Roman" w:hAnsi="Times New Roman" w:cs="Times New Roman"/>
        </w:rPr>
      </w:pPr>
      <w:r>
        <w:rPr>
          <w:rFonts w:ascii="Times New Roman" w:hAnsi="Times New Roman" w:cs="Times New Roman"/>
        </w:rPr>
        <w:t>The services marketing mix (7Ps), which consists of the classical 4Ps, people, process, and physical evidence, is the most appropriate one because KRETSLOPP is a service-dominant, subscription offering rather than a product sold once (Abdul-Hamid et al., 2017; Nguyen et al., 2025). The key decisions are summarised in table 2, which outlines how each element is set up to reinforce the sustainable strategy, and then explained and evaluated.</w:t>
      </w:r>
    </w:p>
    <w:p w14:paraId="3C772966" w14:textId="51475456" w:rsidR="00574EC8" w:rsidRPr="00DF1C95" w:rsidRDefault="00DF1C95" w:rsidP="00DF1C95">
      <w:pPr>
        <w:pStyle w:val="Caption"/>
        <w:jc w:val="center"/>
        <w:rPr>
          <w:rFonts w:ascii="Times New Roman" w:hAnsi="Times New Roman" w:cs="Times New Roman"/>
          <w:b/>
          <w:bCs/>
          <w:color w:val="auto"/>
          <w:sz w:val="20"/>
          <w:szCs w:val="20"/>
        </w:rPr>
      </w:pPr>
      <w:bookmarkStart w:id="11" w:name="_Toc235404106"/>
      <w:r>
        <w:rPr>
          <w:rFonts w:ascii="Times New Roman" w:hAnsi="Times New Roman" w:cs="Times New Roman"/>
          <w:b/>
          <w:bCs/>
          <w:color w:val="auto"/>
          <w:sz w:val="20"/>
          <w:szCs w:val="20"/>
        </w:rPr>
        <w:t xml:space="preserve">Table </w:t>
      </w:r>
      <w:r>
        <w:rPr>
          <w:rFonts w:ascii="Times New Roman" w:hAnsi="Times New Roman" w:cs="Times New Roman"/>
          <w:b/>
          <w:bCs/>
          <w:color w:val="auto"/>
          <w:sz w:val="20"/>
          <w:szCs w:val="20"/>
        </w:rPr>
        <w:fldChar w:fldCharType="begin"/>
      </w:r>
      <w:r>
        <w:rPr>
          <w:rFonts w:ascii="Times New Roman" w:hAnsi="Times New Roman" w:cs="Times New Roman"/>
          <w:b/>
          <w:bCs/>
          <w:color w:val="auto"/>
          <w:sz w:val="20"/>
          <w:szCs w:val="20"/>
        </w:rPr>
        <w:instrText xml:space="preserve"> SEQ Table \* ARABIC </w:instrText>
      </w:r>
      <w:r>
        <w:rPr>
          <w:rFonts w:ascii="Times New Roman" w:hAnsi="Times New Roman" w:cs="Times New Roman"/>
          <w:b/>
          <w:bCs/>
          <w:color w:val="auto"/>
          <w:sz w:val="20"/>
          <w:szCs w:val="20"/>
        </w:rPr>
        <w:fldChar w:fldCharType="separate"/>
      </w:r>
      <w:r>
        <w:rPr>
          <w:rFonts w:ascii="Times New Roman" w:hAnsi="Times New Roman" w:cs="Times New Roman"/>
          <w:b/>
          <w:bCs/>
          <w:noProof/>
          <w:color w:val="auto"/>
          <w:sz w:val="20"/>
          <w:szCs w:val="20"/>
        </w:rPr>
        <w:t>1</w:t>
      </w:r>
      <w:r>
        <w:rPr>
          <w:rFonts w:ascii="Times New Roman" w:hAnsi="Times New Roman" w:cs="Times New Roman"/>
          <w:b/>
          <w:bCs/>
          <w:color w:val="auto"/>
          <w:sz w:val="20"/>
          <w:szCs w:val="20"/>
        </w:rPr>
        <w:fldChar w:fldCharType="end"/>
      </w:r>
      <w:r>
        <w:rPr>
          <w:rFonts w:ascii="Times New Roman" w:hAnsi="Times New Roman" w:cs="Times New Roman"/>
          <w:b/>
          <w:bCs/>
          <w:color w:val="auto"/>
          <w:sz w:val="20"/>
          <w:szCs w:val="20"/>
        </w:rPr>
        <w:t xml:space="preserve"> The 7Ps configured for IKEA KRETSLOPP</w:t>
      </w:r>
      <w:bookmarkEnd w:id="11"/>
    </w:p>
    <w:tbl>
      <w:tblPr>
        <w:tblStyle w:val="GridTable4-Accent5"/>
        <w:tblW w:w="9026" w:type="dxa"/>
        <w:tblLook w:val="04A0" w:firstRow="1" w:lastRow="0" w:firstColumn="1" w:lastColumn="0" w:noHBand="0" w:noVBand="1"/>
      </w:tblPr>
      <w:tblGrid>
        <w:gridCol w:w="1600"/>
        <w:gridCol w:w="3900"/>
        <w:gridCol w:w="3526"/>
      </w:tblGrid>
      <w:tr w:rsidR="00574EC8" w:rsidRPr="00E620D6" w14:paraId="4336FADF" w14:textId="77777777" w:rsidTr="00DF1C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427C07D2" w14:textId="77777777" w:rsidR="00574EC8" w:rsidRPr="00E620D6" w:rsidRDefault="00000000" w:rsidP="00766153">
            <w:pPr>
              <w:spacing w:line="360" w:lineRule="auto"/>
              <w:jc w:val="both"/>
              <w:rPr>
                <w:rFonts w:ascii="Times New Roman" w:hAnsi="Times New Roman" w:cs="Times New Roman"/>
                <w:color w:val="auto"/>
              </w:rPr>
            </w:pPr>
            <w:r>
              <w:rPr>
                <w:rFonts w:ascii="Times New Roman" w:hAnsi="Times New Roman" w:cs="Times New Roman"/>
                <w:color w:val="auto"/>
              </w:rPr>
              <w:t>Element</w:t>
            </w:r>
          </w:p>
        </w:tc>
        <w:tc>
          <w:tcPr>
            <w:tcW w:w="3900" w:type="dxa"/>
          </w:tcPr>
          <w:p w14:paraId="2B44CDFF" w14:textId="77777777" w:rsidR="00574EC8" w:rsidRPr="00E620D6"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Strategic configuration for KRETSLOPP</w:t>
            </w:r>
          </w:p>
        </w:tc>
        <w:tc>
          <w:tcPr>
            <w:tcW w:w="3526" w:type="dxa"/>
          </w:tcPr>
          <w:p w14:paraId="099F66CA" w14:textId="77777777" w:rsidR="00574EC8" w:rsidRPr="00E620D6"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Link to the sustainability strategy</w:t>
            </w:r>
          </w:p>
        </w:tc>
      </w:tr>
      <w:tr w:rsidR="00574EC8" w:rsidRPr="00E620D6" w14:paraId="68FCD144"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F430C4A"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Product</w:t>
            </w:r>
          </w:p>
        </w:tc>
        <w:tc>
          <w:tcPr>
            <w:tcW w:w="3900" w:type="dxa"/>
          </w:tcPr>
          <w:p w14:paraId="3A3B2D1A"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Modular, single-material, design-for-disassembly furniture offered as a service (PSS)</w:t>
            </w:r>
          </w:p>
        </w:tc>
        <w:tc>
          <w:tcPr>
            <w:tcW w:w="3526" w:type="dxa"/>
          </w:tcPr>
          <w:p w14:paraId="0B3E1D75"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Durability and reuse replace replacement as the profit driver</w:t>
            </w:r>
          </w:p>
        </w:tc>
      </w:tr>
      <w:tr w:rsidR="00574EC8" w:rsidRPr="00E620D6" w14:paraId="6DDC1521" w14:textId="77777777" w:rsidTr="00DF1C95">
        <w:tc>
          <w:tcPr>
            <w:cnfStyle w:val="001000000000" w:firstRow="0" w:lastRow="0" w:firstColumn="1" w:lastColumn="0" w:oddVBand="0" w:evenVBand="0" w:oddHBand="0" w:evenHBand="0" w:firstRowFirstColumn="0" w:firstRowLastColumn="0" w:lastRowFirstColumn="0" w:lastRowLastColumn="0"/>
            <w:tcW w:w="1600" w:type="dxa"/>
          </w:tcPr>
          <w:p w14:paraId="45F50DA5"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Price</w:t>
            </w:r>
          </w:p>
        </w:tc>
        <w:tc>
          <w:tcPr>
            <w:tcW w:w="3900" w:type="dxa"/>
          </w:tcPr>
          <w:p w14:paraId="65195B04"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Tiered monthly subscription; value-based pricing with student/entry tiers</w:t>
            </w:r>
          </w:p>
        </w:tc>
        <w:tc>
          <w:tcPr>
            <w:tcW w:w="3526" w:type="dxa"/>
          </w:tcPr>
          <w:p w14:paraId="18C58DC2"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De-risks the retail cycle; reframes cost as total cost of access</w:t>
            </w:r>
          </w:p>
        </w:tc>
      </w:tr>
      <w:tr w:rsidR="00574EC8" w:rsidRPr="00E620D6" w14:paraId="138978E9"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F238209"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Place</w:t>
            </w:r>
          </w:p>
        </w:tc>
        <w:tc>
          <w:tcPr>
            <w:tcW w:w="3900" w:type="dxa"/>
          </w:tcPr>
          <w:p w14:paraId="00404E3E"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Omnichannel stores and app; bidirectional reverse logistics</w:t>
            </w:r>
          </w:p>
        </w:tc>
        <w:tc>
          <w:tcPr>
            <w:tcW w:w="3526" w:type="dxa"/>
          </w:tcPr>
          <w:p w14:paraId="3E065220"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Enables collection, refurbishment and re-leasing at scale</w:t>
            </w:r>
          </w:p>
        </w:tc>
      </w:tr>
      <w:tr w:rsidR="00574EC8" w:rsidRPr="00E620D6" w14:paraId="6E275746" w14:textId="77777777" w:rsidTr="00DF1C95">
        <w:tc>
          <w:tcPr>
            <w:cnfStyle w:val="001000000000" w:firstRow="0" w:lastRow="0" w:firstColumn="1" w:lastColumn="0" w:oddVBand="0" w:evenVBand="0" w:oddHBand="0" w:evenHBand="0" w:firstRowFirstColumn="0" w:firstRowLastColumn="0" w:lastRowFirstColumn="0" w:lastRowLastColumn="0"/>
            <w:tcW w:w="1600" w:type="dxa"/>
          </w:tcPr>
          <w:p w14:paraId="1BF037FF"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Promotion</w:t>
            </w:r>
          </w:p>
        </w:tc>
        <w:tc>
          <w:tcPr>
            <w:tcW w:w="3900" w:type="dxa"/>
          </w:tcPr>
          <w:p w14:paraId="69A0F1B3"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Evidence-led circular storytelling; anti-greenwashing discipline</w:t>
            </w:r>
          </w:p>
        </w:tc>
        <w:tc>
          <w:tcPr>
            <w:tcW w:w="3526" w:type="dxa"/>
          </w:tcPr>
          <w:p w14:paraId="5E65457B"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Builds green brand trust through verifiable proof points</w:t>
            </w:r>
          </w:p>
        </w:tc>
      </w:tr>
      <w:tr w:rsidR="00574EC8" w:rsidRPr="00E620D6" w14:paraId="2062F1E6"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764BFF3A"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People</w:t>
            </w:r>
          </w:p>
        </w:tc>
        <w:tc>
          <w:tcPr>
            <w:tcW w:w="3900" w:type="dxa"/>
          </w:tcPr>
          <w:p w14:paraId="5C8B5C5D"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Trained co-workers advising, grading and disclosing condition honestly</w:t>
            </w:r>
          </w:p>
        </w:tc>
        <w:tc>
          <w:tcPr>
            <w:tcW w:w="3526" w:type="dxa"/>
          </w:tcPr>
          <w:p w14:paraId="69634535"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Credible service encounter sustains the green promise</w:t>
            </w:r>
          </w:p>
        </w:tc>
      </w:tr>
      <w:tr w:rsidR="00574EC8" w:rsidRPr="00E620D6" w14:paraId="2F6C76AC" w14:textId="77777777" w:rsidTr="00DF1C95">
        <w:tc>
          <w:tcPr>
            <w:cnfStyle w:val="001000000000" w:firstRow="0" w:lastRow="0" w:firstColumn="1" w:lastColumn="0" w:oddVBand="0" w:evenVBand="0" w:oddHBand="0" w:evenHBand="0" w:firstRowFirstColumn="0" w:firstRowLastColumn="0" w:lastRowFirstColumn="0" w:lastRowLastColumn="0"/>
            <w:tcW w:w="1600" w:type="dxa"/>
          </w:tcPr>
          <w:p w14:paraId="0EE6D0C3"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Process</w:t>
            </w:r>
          </w:p>
        </w:tc>
        <w:tc>
          <w:tcPr>
            <w:tcW w:w="3900" w:type="dxa"/>
          </w:tcPr>
          <w:p w14:paraId="47E371E7"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Closed loop: subscribe → use → collect → refurbish → re-lease</w:t>
            </w:r>
          </w:p>
        </w:tc>
        <w:tc>
          <w:tcPr>
            <w:tcW w:w="3526" w:type="dxa"/>
          </w:tcPr>
          <w:p w14:paraId="7B957312" w14:textId="77777777" w:rsidR="00574EC8" w:rsidRPr="00E620D6"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stage at which circularity is operationally realised</w:t>
            </w:r>
          </w:p>
        </w:tc>
      </w:tr>
      <w:tr w:rsidR="00574EC8" w:rsidRPr="00E620D6" w14:paraId="5A7B06D5"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6F116525" w14:textId="77777777" w:rsidR="00574EC8" w:rsidRPr="00E620D6" w:rsidRDefault="00000000" w:rsidP="00766153">
            <w:pPr>
              <w:spacing w:line="360" w:lineRule="auto"/>
              <w:jc w:val="both"/>
              <w:rPr>
                <w:rFonts w:ascii="Times New Roman" w:hAnsi="Times New Roman" w:cs="Times New Roman"/>
              </w:rPr>
            </w:pPr>
            <w:r>
              <w:rPr>
                <w:rFonts w:ascii="Times New Roman" w:hAnsi="Times New Roman" w:cs="Times New Roman"/>
              </w:rPr>
              <w:t>Physical evidence</w:t>
            </w:r>
          </w:p>
        </w:tc>
        <w:tc>
          <w:tcPr>
            <w:tcW w:w="3900" w:type="dxa"/>
          </w:tcPr>
          <w:p w14:paraId="09623348"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Refurbished quality standards, clear app interface, reusable packaging</w:t>
            </w:r>
          </w:p>
        </w:tc>
        <w:tc>
          <w:tcPr>
            <w:tcW w:w="3526" w:type="dxa"/>
          </w:tcPr>
          <w:p w14:paraId="175607EF" w14:textId="77777777" w:rsidR="00574EC8" w:rsidRPr="00E620D6"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Makes the intangible ‘circular’ claim tangible and trustworthy</w:t>
            </w:r>
          </w:p>
        </w:tc>
      </w:tr>
    </w:tbl>
    <w:p w14:paraId="3CC1FD42" w14:textId="77777777" w:rsidR="00574EC8" w:rsidRPr="00E620D6" w:rsidRDefault="00000000" w:rsidP="00DF1C95">
      <w:pPr>
        <w:pStyle w:val="Heading2"/>
      </w:pPr>
      <w:bookmarkStart w:id="12" w:name="_Toc235398406"/>
      <w:bookmarkStart w:id="13" w:name="_Toc235403953"/>
      <w:r>
        <w:t>Product</w:t>
      </w:r>
      <w:bookmarkEnd w:id="12"/>
      <w:bookmarkEnd w:id="13"/>
    </w:p>
    <w:p w14:paraId="1E8BCAF0" w14:textId="7430B8F8" w:rsidR="001B0AD8" w:rsidRPr="00E620D6" w:rsidRDefault="001B0AD8" w:rsidP="00766153">
      <w:pPr>
        <w:jc w:val="both"/>
        <w:rPr>
          <w:rFonts w:ascii="Times New Roman" w:hAnsi="Times New Roman" w:cs="Times New Roman"/>
        </w:rPr>
      </w:pPr>
      <w:r>
        <w:rPr>
          <w:rFonts w:ascii="Times New Roman" w:hAnsi="Times New Roman" w:cs="Times New Roman"/>
        </w:rPr>
        <w:t>The product-service system (PSS) is not a furniture business but a business that ensures people have “the right to use a good function design” (Mont, 2002) and the company makes money from durability and re-use instead of replacement. Most importantly, this turns the conventional business incentive around: the manufacturer owns the product and the durability, and the ability to repair it, is a source of profit, and not a cost, so the commercial and environmental goals go together. The actual product is a series of modular pieces, single material, designed for refurbishment for further leases, with the augmented product being bundled with the delivery, assembly, maintenance, swaps and end-of-life take-back. This directly tackles the ‘fast furniture’ issue the poster points to, where approximately 670,000 tonnes of furniture (many of which are reusable) in the UK is thrown away each year (WRAP, 2012). Consumer perception of used goods is the central product risk: Access-based consumers feel uneasy about unsanitary products, wear and lack of ownership pride (Bardhi and Eckhardt, 2012), therefore the standards of refurbishment are not details of the product but rather its core attributes.</w:t>
      </w:r>
    </w:p>
    <w:p w14:paraId="73F5114E" w14:textId="77777777" w:rsidR="001B0AD8" w:rsidRPr="00E620D6" w:rsidRDefault="001B0AD8" w:rsidP="00DF1C95">
      <w:pPr>
        <w:pStyle w:val="Heading2"/>
      </w:pPr>
      <w:bookmarkStart w:id="14" w:name="_Toc235403954"/>
      <w:r>
        <w:t>Price</w:t>
      </w:r>
      <w:bookmarkEnd w:id="14"/>
    </w:p>
    <w:p w14:paraId="1BA5DF6A" w14:textId="62669A4C" w:rsidR="001B0AD8" w:rsidRPr="00E620D6" w:rsidRDefault="001B0AD8" w:rsidP="00766153">
      <w:pPr>
        <w:jc w:val="both"/>
        <w:rPr>
          <w:rFonts w:ascii="Times New Roman" w:hAnsi="Times New Roman" w:cs="Times New Roman"/>
        </w:rPr>
      </w:pPr>
      <w:r>
        <w:rPr>
          <w:rFonts w:ascii="Times New Roman" w:hAnsi="Times New Roman" w:cs="Times New Roman"/>
        </w:rPr>
        <w:t>KRETSLOPP puts the decision over whether to access from the purchase price to the total cost of access on a monthly subscription basis. Because the target pays a premium for the sustainability, and demonstrated value-add, and tiered plans (essential, family and premium) can segment willingness to pay, it is justified. There are two types of tensions that must be balanced. First, subscription economics can be more expensive over the length of owning the device, which can be a deterrent for the price-sensitive students in the segment, and introductory and student tiers help alleviate it. Second, it's not quite fitting for IKEA to charge premium prices, and the extension has to not offend the almost-low-cost brand DNA and must not offend the ‘many people’ IKEA is built for. Taking an affordability-through-access approach to price maintains brand consistency, instead of luxury.</w:t>
      </w:r>
    </w:p>
    <w:p w14:paraId="4578A592" w14:textId="77777777" w:rsidR="001B0AD8" w:rsidRPr="00E620D6" w:rsidRDefault="001B0AD8" w:rsidP="00DF1C95">
      <w:pPr>
        <w:pStyle w:val="Heading2"/>
      </w:pPr>
      <w:bookmarkStart w:id="15" w:name="_Toc235403955"/>
      <w:r>
        <w:t>Place</w:t>
      </w:r>
      <w:bookmarkEnd w:id="15"/>
    </w:p>
    <w:p w14:paraId="4074B77E" w14:textId="77777777" w:rsidR="001B0AD8" w:rsidRPr="00E620D6" w:rsidRDefault="001B0AD8" w:rsidP="00766153">
      <w:pPr>
        <w:jc w:val="both"/>
        <w:rPr>
          <w:rFonts w:ascii="Times New Roman" w:hAnsi="Times New Roman" w:cs="Times New Roman"/>
        </w:rPr>
      </w:pPr>
      <w:r>
        <w:rPr>
          <w:rFonts w:ascii="Times New Roman" w:hAnsi="Times New Roman" w:cs="Times New Roman"/>
        </w:rPr>
        <w:t>The distribution is multi-channel and most importantly, Two Way. IKEA's 400+ stores, ‘As-Is' areas turn into experience showrooms, collection centres, refurb centres, and a digital platform acts as a subscription, swap and return centre. The reverse logistics – sending goods back for refurbishment – is the most difficult and defensible part of place and IKEA already has a Buyback network in place and a growing number of zero-emission delivery vehicles (60.1% of all home deliveries in FY25).</w:t>
      </w:r>
    </w:p>
    <w:p w14:paraId="10000666"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Booking and reservation</w:t>
      </w:r>
      <w:r>
        <w:rPr>
          <w:rFonts w:ascii="Times New Roman" w:hAnsi="Times New Roman" w:cs="Times New Roman"/>
          <w:highlight w:val="yellow"/>
        </w:rPr>
        <w:t>. Access to the service is deliberately offered through three booking and reservation routes so that no segment is excluded by channel preference. The website carries the full subscription configurator, allowing customers to browse plans, check availability by postcode, reserve items and book a delivery slot. The mobile application is the primary channel for the target segment and supports account management, swap requests, collection bookings and push notifications for lease renewals. A telephone booking line is retained for customers who are less digitally confident, for B2B accounts such as co-living operators placing bulk reservations, and for complex enquiries requiring advice. All three channels write to a single reservation system, so a booking made by telephone is visible in the app and vice versa, which prevents double-allocation of refurbished stock and supports a consistent service experience.</w:t>
      </w:r>
    </w:p>
    <w:p w14:paraId="58B0345D" w14:textId="77777777" w:rsidR="001B0AD8" w:rsidRPr="00E620D6" w:rsidRDefault="001B0AD8" w:rsidP="00DF1C95">
      <w:pPr>
        <w:pStyle w:val="Heading2"/>
      </w:pPr>
      <w:bookmarkStart w:id="16" w:name="_Toc235403956"/>
      <w:r>
        <w:t>Promotion</w:t>
      </w:r>
      <w:bookmarkEnd w:id="16"/>
    </w:p>
    <w:p w14:paraId="7AD5BA95" w14:textId="77777777" w:rsidR="001B0AD8" w:rsidRPr="00E620D6" w:rsidRDefault="001B0AD8" w:rsidP="00766153">
      <w:pPr>
        <w:jc w:val="both"/>
        <w:rPr>
          <w:rFonts w:ascii="Times New Roman" w:hAnsi="Times New Roman" w:cs="Times New Roman"/>
        </w:rPr>
      </w:pPr>
      <w:r>
        <w:rPr>
          <w:rFonts w:ascii="Times New Roman" w:hAnsi="Times New Roman" w:cs="Times New Roman"/>
        </w:rPr>
        <w:t>Communication foregrounds the circular proposition by using evident and transparent story-telling, and not by vague eco-claims. Documented consumer scepticism over large brands' green extensions (Hesse et al., 2022) means that promotion needs to underpin all claims with trustworthy scientific data—such as science-based targets and published metrics for the circular economy—to create green brand trust upon which equity is built (Tran, 2023). At the heart of the campaign are channels that are digital and social, targeting the young city audience, with in-store experiential activation.</w:t>
      </w:r>
    </w:p>
    <w:p w14:paraId="10000777"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Definition of integrated marketing communications (IMC).</w:t>
      </w:r>
      <w:r>
        <w:rPr>
          <w:rFonts w:ascii="Times New Roman" w:hAnsi="Times New Roman" w:cs="Times New Roman"/>
          <w:highlight w:val="yellow"/>
        </w:rPr>
        <w:t xml:space="preserve"> Integrated marketing communications is the practice of coordinating and integrating all marketing communication tools, channels and sources within an organisation into a seamless programme that maximises impact on consumers at minimal cost (Armstrong, 2016). The defining principle is that the brand speaks with one voice: advertising, digital content, in-store experience, public relations and personal selling are planned together rather than in isolation, so that each contact point reinforces the same positioning. IMC is particularly important for KRETSLOPP because a circular proposition is unfamiliar to most consumers and any inconsistency between what is promised in communication and what is delivered in the service encounter would be read as greenwashing.</w:t>
      </w:r>
    </w:p>
    <w:p w14:paraId="10000888"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Social media marketing strategy</w:t>
      </w:r>
      <w:r>
        <w:rPr>
          <w:rFonts w:ascii="Times New Roman" w:hAnsi="Times New Roman" w:cs="Times New Roman"/>
          <w:highlight w:val="yellow"/>
        </w:rPr>
        <w:t>. Social media is the lead channel for the primary target segment and is organised around four elements. First, platform selection: Instagram and TikTok carry the visual, short-form content that demonstrates modularity, condition-grading and the refurbishment process, while LinkedIn supports the secondary B2B segment of co-living and corporate relocation accounts. Second, content strategy: rather than generic eco-messaging, content is evidence-led and shows the closed loop in operation – items being collected, refurbished and re-leased – alongside published circularity metrics, which builds green brand trust (Tran, 2023). Third, influencer and community activity: partnerships focus on micro-influencers in urban living, interiors and sustainability whose audiences perceive them as authentic, with disclosed commercial relationships to protect credibility. Fourth, measurement: performance is tracked through engagement rate, click-through to the subscription configurator, cost per acquisition and sentiment analysis of comments relating to sustainability claims, so that messaging can be corrected quickly if scepticism emerges.</w:t>
      </w:r>
    </w:p>
    <w:p w14:paraId="7463EE6C" w14:textId="77777777" w:rsidR="001B0AD8" w:rsidRPr="00E620D6" w:rsidRDefault="001B0AD8" w:rsidP="00DF1C95">
      <w:pPr>
        <w:pStyle w:val="Heading2"/>
      </w:pPr>
      <w:bookmarkStart w:id="17" w:name="_Toc235403957"/>
      <w:r>
        <w:t>People</w:t>
      </w:r>
      <w:bookmarkEnd w:id="17"/>
    </w:p>
    <w:p w14:paraId="38BE8EA9" w14:textId="77777777" w:rsidR="001B0AD8" w:rsidRPr="00E620D6" w:rsidRDefault="001B0AD8" w:rsidP="00766153">
      <w:pPr>
        <w:jc w:val="both"/>
        <w:rPr>
          <w:rFonts w:ascii="Times New Roman" w:hAnsi="Times New Roman" w:cs="Times New Roman"/>
        </w:rPr>
      </w:pPr>
      <w:r>
        <w:rPr>
          <w:rFonts w:ascii="Times New Roman" w:hAnsi="Times New Roman" w:cs="Times New Roman"/>
        </w:rPr>
        <w:t>Front line staff co-creates value in a service. Perceived quality is materially influenced by co-workers advice on plans, returns and refurbished product quality, and is empirically related to green brand loyalty (Nguyen et al., 2025). It is important to therefore train coworkers on circular principles and disclosure of what is not happening, and not create a credibility gap that can jeopardize a sustainable position.</w:t>
      </w:r>
    </w:p>
    <w:p w14:paraId="10000999"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Training</w:t>
      </w:r>
      <w:r>
        <w:rPr>
          <w:rFonts w:ascii="Times New Roman" w:hAnsi="Times New Roman" w:cs="Times New Roman"/>
          <w:highlight w:val="yellow"/>
        </w:rPr>
        <w:t>. The feedback that ‘training’ must be specified is addressed by defining four concrete training strands. The first is circular economy and product knowledge training, covering the principles of the product–service system, how modular items are disassembled and refurbished, and the environmental rationale for leasing rather than selling, so that co-workers can explain the model credibly. The second is condition-grading and disclosure training, in which co-workers are taught to apply the published grading standard consistently and to disclose wear honestly, since this directly addresses the contamination concern associated with access-based consumption (Bardhi and Eckhardt, 2012). The third is systems and process training on the subscription platform, covering reservations, swaps, collections and the digital product passport. The fourth is service recovery training, which equips front-line staff to handle complaints and failed deliveries at first contact.</w:t>
      </w:r>
    </w:p>
    <w:p w14:paraId="10000AAA"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Motivation.</w:t>
      </w:r>
      <w:r>
        <w:rPr>
          <w:rFonts w:ascii="Times New Roman" w:hAnsi="Times New Roman" w:cs="Times New Roman"/>
          <w:highlight w:val="yellow"/>
        </w:rPr>
        <w:t xml:space="preserve"> Training alone will not sustain the service promise, so motivation is aligned to circular outcomes rather than sales volume. Performance measures for store and delivery teams are based on refurbishment yield, subscriber retention and service quality ratings instead of units sold, which removes the incentive to push outright purchases over subscriptions. This is supported by internal recognition of teams achieving the highest re-lease rates, by clear progression routes into refurbishment and circular operations roles, and by empowering co-workers to resolve complaints within defined limits without escalation. Aligning reward with circular performance is what prevents a credibility gap between the sustainability promise and the service encounter (Nguyen et al., 2025).</w:t>
      </w:r>
    </w:p>
    <w:p w14:paraId="0173B2C1" w14:textId="77777777" w:rsidR="001B0AD8" w:rsidRPr="00E620D6" w:rsidRDefault="001B0AD8" w:rsidP="00DF1C95">
      <w:pPr>
        <w:pStyle w:val="Heading2"/>
      </w:pPr>
      <w:bookmarkStart w:id="18" w:name="_Toc235403958"/>
      <w:r>
        <w:t>Process</w:t>
      </w:r>
      <w:bookmarkEnd w:id="18"/>
    </w:p>
    <w:p w14:paraId="4E9D42EB" w14:textId="77777777" w:rsidR="001B0AD8" w:rsidRPr="00E620D6" w:rsidRDefault="001B0AD8" w:rsidP="00766153">
      <w:pPr>
        <w:jc w:val="both"/>
        <w:rPr>
          <w:rFonts w:ascii="Times New Roman" w:hAnsi="Times New Roman" w:cs="Times New Roman"/>
        </w:rPr>
      </w:pPr>
      <w:r>
        <w:rPr>
          <w:rFonts w:ascii="Times New Roman" w:hAnsi="Times New Roman" w:cs="Times New Roman"/>
        </w:rPr>
        <w:t>Closed-loop service process: subscribe, deliver, use, collect, refurbish and re-lease is the defining element. A frictionless digital onboarding, refitting and a simple take-back journey minimise the perceived effort to make it likely that users will adopt the product based on their need, and a digital product passport that shows each item's history helps to maximise refurbishment benefits and demonstrate circularity. Process is a step where sustainability is manifested in practice (Mont, 2002).</w:t>
      </w:r>
    </w:p>
    <w:p w14:paraId="10000BBB"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Customer complaint process.</w:t>
      </w:r>
      <w:r>
        <w:rPr>
          <w:rFonts w:ascii="Times New Roman" w:hAnsi="Times New Roman" w:cs="Times New Roman"/>
          <w:highlight w:val="yellow"/>
        </w:rPr>
        <w:t xml:space="preserve"> Because the offer is a continuing service relationship rather than a single transaction, complaint handling is a core process rather than an administrative afterthought. A structured five-stage complaint process is therefore defined. Complaints are first captured through any of the booking channels – app, website form, telephone line or in-store service desk – and logged against the subscriber account and the individual item record, so that the history of the specific piece of furniture is visible to the co-worker handling the case. They are then acknowledged automatically within twenty-four hours with a reference number and an expected resolution time. At the third stage the complaint is classified by type: condition and cleanliness of a refurbished item, delivery or collection failure, billing and subscription queries, or product fault and damage. Classification determines the resolution route, and front-line co-workers are empowered to resolve common cases immediately through replacement, swap, repair visit or partial credit, with escalation to a service manager only where the case falls outside defined limits.</w:t>
      </w:r>
    </w:p>
    <w:p w14:paraId="10000CCC"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The final two stages are resolution confirmation and learning. The subscriber is contacted to confirm that the outcome is acceptable and the case is closed only after confirmation. Complaint data is then aggregated monthly and fed back into refurbishment quality standards, training content and product design, so that recurring faults in particular modules or materials are engineered out rather than repeatedly compensated. This closes the loop between service failure and product improvement, and it directly protects the positioning: because the central perceived risk of the proposition is the condition of used goods, visible and well-handled complaint resolution is one of the strongest available proofs that the circular promise is being delivered in practice.</w:t>
      </w:r>
    </w:p>
    <w:p w14:paraId="021D230B" w14:textId="77777777" w:rsidR="001B0AD8" w:rsidRPr="00E620D6" w:rsidRDefault="001B0AD8" w:rsidP="00DF1C95">
      <w:pPr>
        <w:pStyle w:val="Heading2"/>
      </w:pPr>
      <w:bookmarkStart w:id="19" w:name="_Toc235403959"/>
      <w:r>
        <w:t>Physical evidence</w:t>
      </w:r>
      <w:bookmarkEnd w:id="19"/>
    </w:p>
    <w:p w14:paraId="57E3A468" w14:textId="77777777" w:rsidR="001B0AD8" w:rsidRPr="00E620D6" w:rsidRDefault="001B0AD8" w:rsidP="00766153">
      <w:pPr>
        <w:jc w:val="both"/>
        <w:rPr>
          <w:rFonts w:ascii="Times New Roman" w:hAnsi="Times New Roman" w:cs="Times New Roman"/>
        </w:rPr>
      </w:pPr>
      <w:r>
        <w:rPr>
          <w:rFonts w:ascii="Times New Roman" w:hAnsi="Times New Roman" w:cs="Times New Roman"/>
        </w:rPr>
        <w:t>The intangible nature of the service indicates there are tangible cues to link to the brand promise: quality and cleanliness of refurbished items, the clarity of the app interface, minimal reusable packaging and visible condition-grading. These cues directly respond to the used-goods concern and concretise the abstract ‘circular' claim. The mix is designed to capture the commercial rationale as evidenced in Figure 3.</w:t>
      </w:r>
    </w:p>
    <w:p w14:paraId="10000DDD" w14:textId="77777777" w:rsidR="001B0AD8" w:rsidRDefault="001B0AD8" w:rsidP="00766153">
      <w:pPr>
        <w:jc w:val="both"/>
        <w:rPr>
          <w:rFonts w:ascii="Times New Roman" w:hAnsi="Times New Roman" w:cs="Times New Roman"/>
          <w:highlight w:val="yellow"/>
        </w:rPr>
      </w:pPr>
      <w:r w:rsidRPr="00EA08B5">
        <w:rPr>
          <w:rFonts w:ascii="Times New Roman" w:hAnsi="Times New Roman" w:cs="Times New Roman"/>
          <w:b/>
          <w:bCs/>
          <w:highlight w:val="yellow"/>
        </w:rPr>
        <w:t>Website content.</w:t>
      </w:r>
      <w:r>
        <w:rPr>
          <w:rFonts w:ascii="Times New Roman" w:hAnsi="Times New Roman" w:cs="Times New Roman"/>
          <w:highlight w:val="yellow"/>
        </w:rPr>
        <w:t xml:space="preserve"> For a service brand the website is one of the most important pieces of physical evidence, because it is frequently the first tangible encounter a customer has with the proposition and it substitutes for the physical inspection a buyer would otherwise make. The KRETSLOPP website is therefore treated as a designed evidence cue rather than a catalogue. Its content includes high-resolution photography of actual refurbished stock rather than studio renders, so that customers see genuine condition; a published condition-grading scale explaining precisely what each grade means; and a transparent refurbishment page documenting the cleaning, repair and quality-inspection steps every item passes through before it is re-leased.</w:t>
      </w:r>
    </w:p>
    <w:p w14:paraId="10000EEE"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The site additionally carries the subscription configurator with clear tiered pricing and no hidden charges, the digital product passport for each item showing its lease history and materials, verified sustainability reporting linked to published Ingka Group and science-based targets rather than unsupported claims, customer reviews of refurbished items, and accessible terms covering damage liability, cancellation and take-back. Frequently asked questions directly confront the hygiene and wear concerns associated with used goods rather than avoiding them. Presenting this evidence openly converts the abstract ‘circular’ claim into inspectable proof and supports the anti-greenwashing discipline that the positioning depends upon (Hesse et al., 2022; Tran, 2023).</w:t>
      </w:r>
    </w:p>
    <w:p w14:paraId="583E740E" w14:textId="58628DB8" w:rsidR="00574EC8" w:rsidRPr="00E620D6" w:rsidRDefault="00000000" w:rsidP="00DF1C95">
      <w:pPr>
        <w:jc w:val="center"/>
        <w:rPr>
          <w:rFonts w:ascii="Times New Roman" w:hAnsi="Times New Roman" w:cs="Times New Roman"/>
        </w:rPr>
      </w:pPr>
      <w:r>
        <w:rPr>
          <w:rFonts w:ascii="Times New Roman" w:hAnsi="Times New Roman" w:cs="Times New Roman"/>
          <w:noProof/>
        </w:rPr>
        <w:drawing>
          <wp:inline distT="0" distB="0" distL="0" distR="0" wp14:anchorId="385980E7" wp14:editId="1559EAD1">
            <wp:extent cx="4276867" cy="2491740"/>
            <wp:effectExtent l="0" t="0" r="9525" b="3810"/>
            <wp:docPr id="916744743" name="Picture 916744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295820" cy="2502782"/>
                    </a:xfrm>
                    <a:prstGeom prst="rect">
                      <a:avLst/>
                    </a:prstGeom>
                  </pic:spPr>
                </pic:pic>
              </a:graphicData>
            </a:graphic>
          </wp:inline>
        </w:drawing>
      </w:r>
    </w:p>
    <w:p w14:paraId="6EF71C18" w14:textId="53D6FF9B" w:rsidR="00574EC8" w:rsidRPr="00DF1C95" w:rsidRDefault="00DF1C95" w:rsidP="00DF1C95">
      <w:pPr>
        <w:pStyle w:val="Caption"/>
        <w:jc w:val="center"/>
        <w:rPr>
          <w:rFonts w:ascii="Times New Roman" w:hAnsi="Times New Roman" w:cs="Times New Roman"/>
          <w:b/>
          <w:bCs/>
          <w:color w:val="auto"/>
          <w:sz w:val="20"/>
          <w:szCs w:val="20"/>
        </w:rPr>
      </w:pPr>
      <w:bookmarkStart w:id="20" w:name="_Toc235404101"/>
      <w:r>
        <w:rPr>
          <w:rFonts w:ascii="Times New Roman" w:hAnsi="Times New Roman" w:cs="Times New Roman"/>
          <w:b/>
          <w:bCs/>
          <w:color w:val="auto"/>
          <w:sz w:val="20"/>
          <w:szCs w:val="20"/>
        </w:rPr>
        <w:t xml:space="preserve">Figure </w:t>
      </w:r>
      <w:r>
        <w:rPr>
          <w:rFonts w:ascii="Times New Roman" w:hAnsi="Times New Roman" w:cs="Times New Roman"/>
          <w:b/>
          <w:bCs/>
          <w:color w:val="auto"/>
          <w:sz w:val="20"/>
          <w:szCs w:val="20"/>
        </w:rPr>
        <w:fldChar w:fldCharType="begin"/>
      </w:r>
      <w:r>
        <w:rPr>
          <w:rFonts w:ascii="Times New Roman" w:hAnsi="Times New Roman" w:cs="Times New Roman"/>
          <w:b/>
          <w:bCs/>
          <w:color w:val="auto"/>
          <w:sz w:val="20"/>
          <w:szCs w:val="20"/>
        </w:rPr>
        <w:instrText xml:space="preserve"> SEQ Figure \* ARABIC </w:instrText>
      </w:r>
      <w:r>
        <w:rPr>
          <w:rFonts w:ascii="Times New Roman" w:hAnsi="Times New Roman" w:cs="Times New Roman"/>
          <w:b/>
          <w:bCs/>
          <w:color w:val="auto"/>
          <w:sz w:val="20"/>
          <w:szCs w:val="20"/>
        </w:rPr>
        <w:fldChar w:fldCharType="separate"/>
      </w:r>
      <w:r>
        <w:rPr>
          <w:rFonts w:ascii="Times New Roman" w:hAnsi="Times New Roman" w:cs="Times New Roman"/>
          <w:b/>
          <w:bCs/>
          <w:noProof/>
          <w:color w:val="auto"/>
          <w:sz w:val="20"/>
          <w:szCs w:val="20"/>
        </w:rPr>
        <w:t>3</w:t>
      </w:r>
      <w:r>
        <w:rPr>
          <w:rFonts w:ascii="Times New Roman" w:hAnsi="Times New Roman" w:cs="Times New Roman"/>
          <w:b/>
          <w:bCs/>
          <w:color w:val="auto"/>
          <w:sz w:val="20"/>
          <w:szCs w:val="20"/>
        </w:rPr>
        <w:fldChar w:fldCharType="end"/>
      </w:r>
      <w:r>
        <w:rPr>
          <w:rFonts w:ascii="Times New Roman" w:hAnsi="Times New Roman" w:cs="Times New Roman"/>
          <w:b/>
          <w:bCs/>
          <w:color w:val="auto"/>
          <w:sz w:val="20"/>
          <w:szCs w:val="20"/>
        </w:rPr>
        <w:t xml:space="preserve"> Global furniture rental market growth (</w:t>
      </w:r>
      <w:r>
        <w:rPr>
          <w:rFonts w:ascii="Times New Roman" w:hAnsi="Times New Roman" w:cs="Times New Roman"/>
          <w:b/>
          <w:bCs/>
          <w:i w:val="0"/>
          <w:iCs w:val="0"/>
          <w:color w:val="auto"/>
          <w:sz w:val="20"/>
          <w:szCs w:val="20"/>
        </w:rPr>
        <w:t>FBI,</w:t>
      </w:r>
      <w:r>
        <w:rPr>
          <w:rFonts w:ascii="Times New Roman" w:hAnsi="Times New Roman" w:cs="Times New Roman"/>
          <w:b/>
          <w:bCs/>
          <w:color w:val="auto"/>
          <w:sz w:val="20"/>
          <w:szCs w:val="20"/>
        </w:rPr>
        <w:t xml:space="preserve"> 2026).</w:t>
      </w:r>
      <w:bookmarkEnd w:id="20"/>
    </w:p>
    <w:p w14:paraId="77D73049" w14:textId="2A94EA49" w:rsidR="001B0AD8" w:rsidRDefault="001B0AD8" w:rsidP="00766153">
      <w:pPr>
        <w:jc w:val="both"/>
        <w:rPr>
          <w:rFonts w:ascii="Times New Roman" w:hAnsi="Times New Roman" w:cs="Times New Roman"/>
        </w:rPr>
      </w:pPr>
      <w:r>
        <w:rPr>
          <w:rFonts w:ascii="Times New Roman" w:hAnsi="Times New Roman" w:cs="Times New Roman"/>
        </w:rPr>
        <w:t>The 7Ps are all linked together: The Durable Modular Design (Product) allows the process of refurbishing (Process) to generate recurring revenue (Price), while the sustainability claims are supported by the physical evidence (Process). The biggest strategic threat in the blend is cannibalisation of IKEA's core retail sales, which is better described as an evolving transition to a more sustainable revenue stream that will be repeated over time. Success should be measured in terms of circular key performance indicators (KPIs) such as refurbishment yield, average leases per item and subscribers retained, not via one-off sales, and be aligned with the durability outcomes underpinning the entire proposition.</w:t>
      </w:r>
    </w:p>
    <w:p w14:paraId="085F3B18" w14:textId="0FFCE8F1" w:rsidR="00DF1C95" w:rsidRDefault="00DF1C95" w:rsidP="00DF1C95">
      <w:pPr>
        <w:jc w:val="center"/>
        <w:rPr>
          <w:rFonts w:ascii="Times New Roman" w:hAnsi="Times New Roman" w:cs="Times New Roman"/>
        </w:rPr>
      </w:pPr>
      <w:r>
        <w:rPr>
          <w:noProof/>
        </w:rPr>
        <w:drawing>
          <wp:inline distT="0" distB="0" distL="0" distR="0" wp14:anchorId="748115A7" wp14:editId="7417E977">
            <wp:extent cx="4253306" cy="2705100"/>
            <wp:effectExtent l="0" t="0" r="0" b="0"/>
            <wp:docPr id="69885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53768" name=""/>
                    <pic:cNvPicPr/>
                  </pic:nvPicPr>
                  <pic:blipFill rotWithShape="1">
                    <a:blip r:embed="rId12"/>
                    <a:srcRect t="15207"/>
                    <a:stretch>
                      <a:fillRect/>
                    </a:stretch>
                  </pic:blipFill>
                  <pic:spPr bwMode="auto">
                    <a:xfrm>
                      <a:off x="0" y="0"/>
                      <a:ext cx="4272564" cy="2717348"/>
                    </a:xfrm>
                    <a:prstGeom prst="rect">
                      <a:avLst/>
                    </a:prstGeom>
                    <a:ln>
                      <a:noFill/>
                    </a:ln>
                    <a:extLst>
                      <a:ext uri="{53640926-AAD7-44D8-BBD7-CCE9431645EC}">
                        <a14:shadowObscured xmlns:a14="http://schemas.microsoft.com/office/drawing/2010/main"/>
                      </a:ext>
                    </a:extLst>
                  </pic:spPr>
                </pic:pic>
              </a:graphicData>
            </a:graphic>
          </wp:inline>
        </w:drawing>
      </w:r>
    </w:p>
    <w:p w14:paraId="1636E26C" w14:textId="28AA037E" w:rsidR="00DF1C95" w:rsidRPr="00DF1C95" w:rsidRDefault="00DF1C95" w:rsidP="00DF1C95">
      <w:pPr>
        <w:pStyle w:val="Caption"/>
        <w:jc w:val="center"/>
        <w:rPr>
          <w:rFonts w:ascii="Times New Roman" w:hAnsi="Times New Roman" w:cs="Times New Roman"/>
          <w:b/>
          <w:bCs/>
          <w:color w:val="auto"/>
          <w:sz w:val="20"/>
          <w:szCs w:val="20"/>
        </w:rPr>
      </w:pPr>
      <w:bookmarkStart w:id="21" w:name="_Toc235404102"/>
      <w:r>
        <w:rPr>
          <w:rFonts w:ascii="Times New Roman" w:hAnsi="Times New Roman" w:cs="Times New Roman"/>
          <w:b/>
          <w:bCs/>
          <w:color w:val="auto"/>
          <w:sz w:val="20"/>
          <w:szCs w:val="20"/>
        </w:rPr>
        <w:t xml:space="preserve">Figure </w:t>
      </w:r>
      <w:r>
        <w:rPr>
          <w:rFonts w:ascii="Times New Roman" w:hAnsi="Times New Roman" w:cs="Times New Roman"/>
          <w:b/>
          <w:bCs/>
          <w:color w:val="auto"/>
          <w:sz w:val="20"/>
          <w:szCs w:val="20"/>
        </w:rPr>
        <w:fldChar w:fldCharType="begin"/>
      </w:r>
      <w:r>
        <w:rPr>
          <w:rFonts w:ascii="Times New Roman" w:hAnsi="Times New Roman" w:cs="Times New Roman"/>
          <w:b/>
          <w:bCs/>
          <w:color w:val="auto"/>
          <w:sz w:val="20"/>
          <w:szCs w:val="20"/>
        </w:rPr>
        <w:instrText xml:space="preserve"> SEQ Figure \* ARABIC </w:instrText>
      </w:r>
      <w:r>
        <w:rPr>
          <w:rFonts w:ascii="Times New Roman" w:hAnsi="Times New Roman" w:cs="Times New Roman"/>
          <w:b/>
          <w:bCs/>
          <w:color w:val="auto"/>
          <w:sz w:val="20"/>
          <w:szCs w:val="20"/>
        </w:rPr>
        <w:fldChar w:fldCharType="separate"/>
      </w:r>
      <w:r>
        <w:rPr>
          <w:rFonts w:ascii="Times New Roman" w:hAnsi="Times New Roman" w:cs="Times New Roman"/>
          <w:b/>
          <w:bCs/>
          <w:noProof/>
          <w:color w:val="auto"/>
          <w:sz w:val="20"/>
          <w:szCs w:val="20"/>
        </w:rPr>
        <w:t>4</w:t>
      </w:r>
      <w:r>
        <w:rPr>
          <w:rFonts w:ascii="Times New Roman" w:hAnsi="Times New Roman" w:cs="Times New Roman"/>
          <w:b/>
          <w:bCs/>
          <w:color w:val="auto"/>
          <w:sz w:val="20"/>
          <w:szCs w:val="20"/>
        </w:rPr>
        <w:fldChar w:fldCharType="end"/>
      </w:r>
      <w:r>
        <w:rPr>
          <w:rFonts w:ascii="Times New Roman" w:hAnsi="Times New Roman" w:cs="Times New Roman"/>
          <w:b/>
          <w:bCs/>
          <w:color w:val="auto"/>
          <w:sz w:val="20"/>
          <w:szCs w:val="20"/>
        </w:rPr>
        <w:t xml:space="preserve"> Marketing Mix (Hesse et al., 2022)</w:t>
      </w:r>
      <w:bookmarkEnd w:id="21"/>
    </w:p>
    <w:p w14:paraId="156459E8" w14:textId="77777777" w:rsidR="001B0AD8" w:rsidRPr="00E620D6" w:rsidRDefault="001B0AD8" w:rsidP="00DF1C95">
      <w:pPr>
        <w:pStyle w:val="Heading1"/>
      </w:pPr>
      <w:r>
        <w:t xml:space="preserve"> </w:t>
      </w:r>
      <w:bookmarkStart w:id="22" w:name="_Toc235403960"/>
      <w:r>
        <w:t>Element 4: Reflection</w:t>
      </w:r>
      <w:bookmarkEnd w:id="22"/>
    </w:p>
    <w:p w14:paraId="10000FFF"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This reflection is structured explicitly around the six stages of Gibbs’ Reflective Cycle (Gibbs, 1988), a framework that supports learning from experience by moving systematically from description of an event through to a plan for future action.</w:t>
      </w:r>
    </w:p>
    <w:p w14:paraId="54A9B885" w14:textId="0B800CBB" w:rsidR="00EA08B5" w:rsidRDefault="00EA08B5" w:rsidP="00EA08B5">
      <w:pPr>
        <w:jc w:val="center"/>
        <w:rPr>
          <w:rFonts w:ascii="Times New Roman" w:hAnsi="Times New Roman" w:cs="Times New Roman"/>
          <w:highlight w:val="yellow"/>
        </w:rPr>
      </w:pPr>
      <w:r>
        <w:rPr>
          <w:noProof/>
        </w:rPr>
        <w:drawing>
          <wp:inline distT="0" distB="0" distL="0" distR="0" wp14:anchorId="001F71C6" wp14:editId="69C1B40F">
            <wp:extent cx="3927287" cy="2956560"/>
            <wp:effectExtent l="0" t="0" r="0" b="0"/>
            <wp:docPr id="1982725076"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5526" cy="2962762"/>
                    </a:xfrm>
                    <a:prstGeom prst="rect">
                      <a:avLst/>
                    </a:prstGeom>
                    <a:noFill/>
                    <a:ln>
                      <a:noFill/>
                    </a:ln>
                  </pic:spPr>
                </pic:pic>
              </a:graphicData>
            </a:graphic>
          </wp:inline>
        </w:drawing>
      </w:r>
    </w:p>
    <w:p w14:paraId="080FE5D9" w14:textId="76B5BE61" w:rsidR="00EA08B5" w:rsidRDefault="00EA08B5" w:rsidP="00EA08B5">
      <w:pPr>
        <w:jc w:val="center"/>
        <w:rPr>
          <w:rFonts w:ascii="Times New Roman" w:hAnsi="Times New Roman" w:cs="Times New Roman"/>
          <w:highlight w:val="yellow"/>
        </w:rPr>
      </w:pPr>
      <w:r>
        <w:rPr>
          <w:rFonts w:ascii="Times New Roman" w:hAnsi="Times New Roman" w:cs="Times New Roman"/>
          <w:highlight w:val="yellow"/>
        </w:rPr>
        <w:t>Figure: Gibbs Reflective Cycle (Gibbs, 1988),</w:t>
      </w:r>
    </w:p>
    <w:p w14:paraId="10001110" w14:textId="77777777" w:rsidR="001B0AD8" w:rsidRDefault="001B0AD8" w:rsidP="00DF1C95">
      <w:pPr>
        <w:pStyle w:val="Heading2"/>
        <w:rPr>
          <w:highlight w:val="yellow"/>
        </w:rPr>
      </w:pPr>
      <w:r>
        <w:rPr>
          <w:highlight w:val="yellow"/>
        </w:rPr>
        <w:t>Description</w:t>
      </w:r>
    </w:p>
    <w:p w14:paraId="10001221"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The task required the development of a sustainable brand extension for an existing organisation and its presentation as a poster, supported by a written portfolio applying segmentation, targeting, differentiation and positioning and the extended services marketing mix. I selected IKEA and developed KRETSLOPP, a circular furniture-as-a-service proposition. Over the course of the module I researched the furniture rental market and IKEA’s published sustainability reporting, developed the STDP analysis and the 7Ps configuration, designed the poster in Canva, and presented it live to peers and tutors while answering questions on the proposition.</w:t>
      </w:r>
    </w:p>
    <w:p w14:paraId="10001332" w14:textId="77777777" w:rsidR="001B0AD8" w:rsidRDefault="001B0AD8" w:rsidP="00DF1C95">
      <w:pPr>
        <w:pStyle w:val="Heading2"/>
        <w:rPr>
          <w:highlight w:val="yellow"/>
        </w:rPr>
      </w:pPr>
      <w:r>
        <w:rPr>
          <w:highlight w:val="yellow"/>
        </w:rPr>
        <w:t>Feelings</w:t>
      </w:r>
    </w:p>
    <w:p w14:paraId="10001443"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At the outset I felt confident about the analytical work but apprehensive about the poster and the live presentation, which were less familiar to me. Early in the process I also felt some frustration: sustainability marketing is easy to write about persuasively and I was uneasy that my first drafts sounded convincing without being adequately evidenced. During the presentation itself I was initially nervous, but as questions were asked I became noticeably more confident, because I found that I could answer them from the research I had done. Afterwards I felt satisfied, though also aware that parts of the financial argument rested on assumptions I could not fully defend.</w:t>
      </w:r>
    </w:p>
    <w:p w14:paraId="10001554" w14:textId="77777777" w:rsidR="001B0AD8" w:rsidRDefault="001B0AD8" w:rsidP="00DF1C95">
      <w:pPr>
        <w:pStyle w:val="Heading2"/>
        <w:rPr>
          <w:highlight w:val="yellow"/>
        </w:rPr>
      </w:pPr>
      <w:r>
        <w:rPr>
          <w:highlight w:val="yellow"/>
        </w:rPr>
        <w:t>Evaluation</w:t>
      </w:r>
    </w:p>
    <w:p w14:paraId="10001665"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Judged overall, the experience was positive and the work achieved what it set out to do. What went well was the analytical structure: the portfolio moves logically from problem to segmentation, positioning and marketing mix, and each strategic claim is anchored in a cited source rather than assertion. Locating current peer-reviewed literature and applying Harvard referencing accurately also went well and improved my academic literacy. What went less well was the visual design stage, where I initially tried to include too much detail on the poster, and the economic dimension of the proposition, which relies entirely on secondary data. My timing in the presentation was also imprecise because I had not rehearsed against a clock.</w:t>
      </w:r>
    </w:p>
    <w:p w14:paraId="10001776" w14:textId="77777777" w:rsidR="001B0AD8" w:rsidRDefault="001B0AD8" w:rsidP="00DF1C95">
      <w:pPr>
        <w:pStyle w:val="Heading2"/>
        <w:rPr>
          <w:highlight w:val="yellow"/>
        </w:rPr>
      </w:pPr>
      <w:r>
        <w:rPr>
          <w:highlight w:val="yellow"/>
        </w:rPr>
        <w:t>Analysis</w:t>
      </w:r>
    </w:p>
    <w:p w14:paraId="10001887"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Reflecting on why the work developed as it did, the analytical strength came from applying frameworks actively rather than describing them. Working through STDP changed my understanding of segmentation: I had previously treated it as a descriptive exercise in demographic profiling, but the literature demonstrates that demographic variables are weak predictors of green purchasing behaviour (Niedermeier et al., 2021) and that environmental consumers form plural rather than single clusters (Jaiswal et al., 2021). This forced me to segment on values and behaviour instead, which was a genuine shift in judgement rather than technique. Similarly, extending the 4Ps into the 7Ps showed me that people, process and physical evidence are not supplementary in a service model but are the points at which a sustainability promise is either kept or broken. The weaknesses are equally explicable: the poster difficulty arose because I was prioritising completeness over communication, whereas a poster must be legible in seconds, and the financial weakness arose because I had no mechanism for gathering primary willingness-to-pay data within the timeframe.</w:t>
      </w:r>
    </w:p>
    <w:p w14:paraId="10001998" w14:textId="77777777" w:rsidR="001B0AD8" w:rsidRDefault="001B0AD8" w:rsidP="00DF1C95">
      <w:pPr>
        <w:pStyle w:val="Heading2"/>
        <w:rPr>
          <w:highlight w:val="yellow"/>
        </w:rPr>
      </w:pPr>
      <w:r>
        <w:rPr>
          <w:highlight w:val="yellow"/>
        </w:rPr>
        <w:t>Conclusion</w:t>
      </w:r>
    </w:p>
    <w:p w14:paraId="10001AA9"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I conclude that my principal strength is structured analytical reasoning and the disciplined use of evidence, and that my principal weaknesses are reliance on secondary data and insufficient rehearsal of oral delivery. In hindsight I could have tested the proposition earlier with a small sample of the target segment rather than defending assumptions after the fact, and I could have drafted the poster earlier so that the visual and written work developed together instead of sequentially. More broadly, I have concluded that credibility in sustainability marketing is not achieved through persuasive language but through verifiable proof points, which is a lesson that applies well beyond this module.</w:t>
      </w:r>
    </w:p>
    <w:p w14:paraId="10001BBA" w14:textId="77777777" w:rsidR="001B0AD8" w:rsidRDefault="001B0AD8" w:rsidP="00DF1C95">
      <w:pPr>
        <w:pStyle w:val="Heading2"/>
        <w:rPr>
          <w:highlight w:val="yellow"/>
        </w:rPr>
      </w:pPr>
      <w:r>
        <w:rPr>
          <w:highlight w:val="yellow"/>
        </w:rPr>
        <w:t>Action Plan</w:t>
      </w:r>
    </w:p>
    <w:p w14:paraId="10001CCB"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If I undertake a similar project again I will act in three specific ways. First, I will incorporate primary research at the start rather than the end, using a short survey or a small number of interviews to test willingness to pay and to challenge my assumptions while there is still time to change direction. Second, I will strengthen the financial dimension by building a simple costing model covering reverse logistics, refurbishment cost per item and break-even lease cycles, so that the strategy is demonstrably viable and not only conceptually sound. Third, I will develop my presentation skills through deliberate practice, rehearsing against a timer and inviting peer questions in advance so that delivery is as considered as the analysis. Taken together, this project has consolidated my confidence that marketing theory can be applied to real business problems with sustainability as the objective, and has developed the transferable judgement, communication and self-direction expected at postgraduate level.</w:t>
      </w:r>
    </w:p>
    <w:p w14:paraId="3EC9E2EC" w14:textId="77777777" w:rsidR="00EA08B5" w:rsidRDefault="00EA08B5" w:rsidP="00766153">
      <w:pPr>
        <w:jc w:val="both"/>
        <w:rPr>
          <w:rFonts w:ascii="Times New Roman" w:hAnsi="Times New Roman" w:cs="Times New Roman"/>
          <w:highlight w:val="yellow"/>
        </w:rPr>
      </w:pPr>
    </w:p>
    <w:p w14:paraId="1A6C833B" w14:textId="77777777" w:rsidR="00EA08B5" w:rsidRDefault="00EA08B5" w:rsidP="00766153">
      <w:pPr>
        <w:jc w:val="both"/>
        <w:rPr>
          <w:rFonts w:ascii="Times New Roman" w:hAnsi="Times New Roman" w:cs="Times New Roman"/>
          <w:highlight w:val="yellow"/>
        </w:rPr>
      </w:pPr>
    </w:p>
    <w:p w14:paraId="00D611C0" w14:textId="67490C23" w:rsidR="00EA08B5" w:rsidRPr="00EA08B5" w:rsidRDefault="00EA08B5" w:rsidP="00766153">
      <w:pPr>
        <w:jc w:val="both"/>
        <w:rPr>
          <w:rFonts w:ascii="Times New Roman" w:hAnsi="Times New Roman" w:cs="Times New Roman"/>
          <w:b/>
          <w:bCs/>
          <w:highlight w:val="yellow"/>
        </w:rPr>
      </w:pPr>
      <w:r w:rsidRPr="00EA08B5">
        <w:rPr>
          <w:rFonts w:ascii="Times New Roman" w:hAnsi="Times New Roman" w:cs="Times New Roman"/>
          <w:b/>
          <w:bCs/>
          <w:highlight w:val="yellow"/>
        </w:rPr>
        <w:t>Conclusion:</w:t>
      </w:r>
    </w:p>
    <w:p w14:paraId="1C42D8BA" w14:textId="5CB5E97C" w:rsidR="00EA08B5" w:rsidRDefault="00EA08B5" w:rsidP="00766153">
      <w:pPr>
        <w:jc w:val="both"/>
        <w:rPr>
          <w:rFonts w:ascii="Times New Roman" w:hAnsi="Times New Roman" w:cs="Times New Roman"/>
          <w:highlight w:val="yellow"/>
        </w:rPr>
      </w:pPr>
      <w:r w:rsidRPr="00EA08B5">
        <w:rPr>
          <w:rFonts w:ascii="Times New Roman" w:hAnsi="Times New Roman" w:cs="Times New Roman"/>
          <w:highlight w:val="yellow"/>
        </w:rPr>
        <w:t xml:space="preserve">This portfolio has developed and evaluated IKEA KRETSLOPP, a circular furniture-as-a-service extension responding to the roughly 670,000 tonnes of largely reusable furniture discarded in the UK each year. The analysis shows the proposition rests on genuine parent-brand fit and on assets competitors cannot easily replicate — design-for-disassembly capability, a 400-plus store estate that doubles as collection and refurbishment infrastructure, and an established Buyback network. Segmenting on values and </w:t>
      </w:r>
      <w:proofErr w:type="spellStart"/>
      <w:r w:rsidRPr="00EA08B5">
        <w:rPr>
          <w:rFonts w:ascii="Times New Roman" w:hAnsi="Times New Roman" w:cs="Times New Roman"/>
          <w:highlight w:val="yellow"/>
        </w:rPr>
        <w:t>behaviour</w:t>
      </w:r>
      <w:proofErr w:type="spellEnd"/>
      <w:r w:rsidRPr="00EA08B5">
        <w:rPr>
          <w:rFonts w:ascii="Times New Roman" w:hAnsi="Times New Roman" w:cs="Times New Roman"/>
          <w:highlight w:val="yellow"/>
        </w:rPr>
        <w:t xml:space="preserve"> rather than demographics avoids treating the environmental consumer as a single group, while the extended marketing mix places the sustainability promise where it is actually kept or broken: in trained people, a closed-loop process, and tangible evidence such as published condition grading and transparent website content. The two principal risks, parent-brand dilution and accusations of greenwashing, are mitigated through disciplined execution and verifiable proof points rather than persuasive language. Its main limitation is reliance on secondary data, since willingness-to-pay and reverse-logistics economics remain assumed rather than tested. Measured against circular indicators — refurbishment yield, leases per item and subscriber retention — rather than one-off sales, KRETSLOPP represents a commercially defensible evolution of IKEA's model in which durability, not replacement, becomes the profit driver.</w:t>
      </w:r>
    </w:p>
    <w:p w14:paraId="6410CF3F" w14:textId="77777777" w:rsidR="00574EC8" w:rsidRPr="00766153" w:rsidRDefault="00000000" w:rsidP="00DF1C95">
      <w:pPr>
        <w:pStyle w:val="Heading1"/>
      </w:pPr>
      <w:bookmarkStart w:id="23" w:name="_Toc235398414"/>
      <w:bookmarkStart w:id="24" w:name="_Toc235403961"/>
      <w:r>
        <w:t>References</w:t>
      </w:r>
      <w:bookmarkEnd w:id="23"/>
      <w:bookmarkEnd w:id="24"/>
    </w:p>
    <w:p w14:paraId="4D7DE87A" w14:textId="27258FA1" w:rsidR="00C53D2B" w:rsidRPr="00766153" w:rsidRDefault="00C53D2B" w:rsidP="00DF1C95">
      <w:pPr>
        <w:ind w:left="720" w:hanging="720"/>
        <w:rPr>
          <w:rFonts w:ascii="Times New Roman" w:hAnsi="Times New Roman" w:cs="Times New Roman"/>
        </w:rPr>
      </w:pPr>
      <w:r>
        <w:rPr>
          <w:rFonts w:ascii="Times New Roman" w:hAnsi="Times New Roman" w:cs="Times New Roman"/>
        </w:rPr>
        <w:t>Aaker, D.A. and Keller, K.L., 1990. Consumer evaluations of brand extensions. </w:t>
      </w:r>
      <w:r>
        <w:rPr>
          <w:rFonts w:ascii="Times New Roman" w:hAnsi="Times New Roman" w:cs="Times New Roman"/>
          <w:i/>
          <w:iCs/>
        </w:rPr>
        <w:t>Journal of marketing</w:t>
      </w:r>
      <w:r>
        <w:rPr>
          <w:rFonts w:ascii="Times New Roman" w:hAnsi="Times New Roman" w:cs="Times New Roman"/>
        </w:rPr>
        <w:t>, </w:t>
      </w:r>
      <w:r>
        <w:rPr>
          <w:rFonts w:ascii="Times New Roman" w:hAnsi="Times New Roman" w:cs="Times New Roman"/>
          <w:i/>
          <w:iCs/>
        </w:rPr>
        <w:t>54</w:t>
      </w:r>
      <w:r>
        <w:rPr>
          <w:rFonts w:ascii="Times New Roman" w:hAnsi="Times New Roman" w:cs="Times New Roman"/>
        </w:rPr>
        <w:t xml:space="preserve">(1), pp.27-41. </w:t>
      </w:r>
      <w:hyperlink r:id="rId14" w:history="1">
        <w:r>
          <w:rPr>
            <w:rStyle w:val="Hyperlink"/>
            <w:rFonts w:ascii="Times New Roman" w:hAnsi="Times New Roman" w:cs="Times New Roman"/>
          </w:rPr>
          <w:t>https://journals.sagepub.com/doi/abs/10.1177/002224299005400102</w:t>
        </w:r>
      </w:hyperlink>
    </w:p>
    <w:p w14:paraId="4FAA38BB" w14:textId="1F1CE081" w:rsidR="00C53D2B" w:rsidRPr="00766153" w:rsidRDefault="00C53D2B" w:rsidP="00DF1C95">
      <w:pPr>
        <w:ind w:left="720" w:hanging="720"/>
        <w:rPr>
          <w:rFonts w:ascii="Times New Roman" w:hAnsi="Times New Roman" w:cs="Times New Roman"/>
        </w:rPr>
      </w:pPr>
      <w:r>
        <w:rPr>
          <w:rFonts w:ascii="Times New Roman" w:hAnsi="Times New Roman" w:cs="Times New Roman"/>
        </w:rPr>
        <w:t>Abdul-Hamid, I.K., Hinson, R.E., Mahmoud, M.A. and Yaw, E., 2017, June. Sustainability marketing: The 7ps perspectives. In </w:t>
      </w:r>
      <w:r>
        <w:rPr>
          <w:rFonts w:ascii="Times New Roman" w:hAnsi="Times New Roman" w:cs="Times New Roman"/>
          <w:i/>
          <w:iCs/>
        </w:rPr>
        <w:t>5 th International Conference on Contemporary Marketing Issues ICCMI June 21-23, 2017 Thessaloniki, Greece</w:t>
      </w:r>
      <w:r>
        <w:rPr>
          <w:rFonts w:ascii="Times New Roman" w:hAnsi="Times New Roman" w:cs="Times New Roman"/>
        </w:rPr>
        <w:t xml:space="preserve"> (Vol. 595). </w:t>
      </w:r>
      <w:hyperlink r:id="rId15" w:anchor="page=595" w:history="1">
        <w:r>
          <w:rPr>
            <w:rStyle w:val="Hyperlink"/>
            <w:rFonts w:ascii="Times New Roman" w:hAnsi="Times New Roman" w:cs="Times New Roman"/>
          </w:rPr>
          <w:t>https://www.researchgate.net/profile/Meletios-Niros/publication/318110302_Effective_branding_strategies_using_the_CET-CC_matrix_in_foreign_markets_The_Role_of_Consumer_Ethnocentrism_and_Confidence_on_Purchase_Intention/links/595a3cfa458515a5406fbf79/Effective-branding-strategies-using-the-CET-CC-matrix-in-foreign-markets-The-Role-of-Consumer-Ethnocentrism-and-Confidence-on-Purchase-Intention.pdf#page=595</w:t>
        </w:r>
      </w:hyperlink>
    </w:p>
    <w:p w14:paraId="297E09CC" w14:textId="050DA669" w:rsidR="00C53D2B" w:rsidRPr="00766153" w:rsidRDefault="00C53D2B" w:rsidP="00DF1C95">
      <w:pPr>
        <w:ind w:left="720" w:hanging="720"/>
        <w:rPr>
          <w:rFonts w:ascii="Times New Roman" w:hAnsi="Times New Roman" w:cs="Times New Roman"/>
        </w:rPr>
      </w:pPr>
      <w:r>
        <w:rPr>
          <w:rFonts w:ascii="Times New Roman" w:hAnsi="Times New Roman" w:cs="Times New Roman"/>
        </w:rPr>
        <w:t>Bardhi, F. and Eckhardt, G.M., 2012. Access-based consumption: The case of car sharing. </w:t>
      </w:r>
      <w:r>
        <w:rPr>
          <w:rFonts w:ascii="Times New Roman" w:hAnsi="Times New Roman" w:cs="Times New Roman"/>
          <w:i/>
          <w:iCs/>
        </w:rPr>
        <w:t>Journal of consumer research</w:t>
      </w:r>
      <w:r>
        <w:rPr>
          <w:rFonts w:ascii="Times New Roman" w:hAnsi="Times New Roman" w:cs="Times New Roman"/>
        </w:rPr>
        <w:t>, </w:t>
      </w:r>
      <w:r>
        <w:rPr>
          <w:rFonts w:ascii="Times New Roman" w:hAnsi="Times New Roman" w:cs="Times New Roman"/>
          <w:i/>
          <w:iCs/>
        </w:rPr>
        <w:t>39</w:t>
      </w:r>
      <w:r>
        <w:rPr>
          <w:rFonts w:ascii="Times New Roman" w:hAnsi="Times New Roman" w:cs="Times New Roman"/>
        </w:rPr>
        <w:t xml:space="preserve">(4), pp.881-898. </w:t>
      </w:r>
      <w:hyperlink r:id="rId16" w:history="1">
        <w:r>
          <w:rPr>
            <w:rStyle w:val="Hyperlink"/>
            <w:rFonts w:ascii="Times New Roman" w:hAnsi="Times New Roman" w:cs="Times New Roman"/>
          </w:rPr>
          <w:t>https://academic.oup.com/jcr/article-abstract/39/4/881/1798309</w:t>
        </w:r>
      </w:hyperlink>
    </w:p>
    <w:p w14:paraId="3A079226" w14:textId="77777777" w:rsidR="00C53D2B" w:rsidRPr="00766153" w:rsidRDefault="00000000" w:rsidP="00DF1C95">
      <w:pPr>
        <w:ind w:left="720" w:hanging="720"/>
        <w:rPr>
          <w:rFonts w:ascii="Times New Roman" w:hAnsi="Times New Roman" w:cs="Times New Roman"/>
        </w:rPr>
      </w:pPr>
      <w:r>
        <w:rPr>
          <w:rFonts w:ascii="Times New Roman" w:hAnsi="Times New Roman" w:cs="Times New Roman"/>
        </w:rPr>
        <w:t xml:space="preserve">Fortune Business Insights (2026) Furniture rental service market size, share &amp; industry analysis, 2026–2034. Available at: </w:t>
      </w:r>
      <w:hyperlink r:id="rId17" w:history="1">
        <w:r w:rsidR="00C53D2B">
          <w:rPr>
            <w:rStyle w:val="Hyperlink"/>
            <w:rFonts w:ascii="Times New Roman" w:hAnsi="Times New Roman" w:cs="Times New Roman"/>
          </w:rPr>
          <w:t>https://www.fortunebusinessinsights.com/furniture-rental-service-market-106643</w:t>
        </w:r>
      </w:hyperlink>
    </w:p>
    <w:p w14:paraId="7694198D" w14:textId="64C23F1B" w:rsidR="00C53D2B" w:rsidRPr="00766153" w:rsidRDefault="00C53D2B" w:rsidP="00DF1C95">
      <w:pPr>
        <w:ind w:left="720" w:hanging="720"/>
        <w:rPr>
          <w:rFonts w:ascii="Times New Roman" w:hAnsi="Times New Roman" w:cs="Times New Roman"/>
        </w:rPr>
      </w:pPr>
      <w:r>
        <w:rPr>
          <w:rFonts w:ascii="Times New Roman" w:hAnsi="Times New Roman" w:cs="Times New Roman"/>
        </w:rPr>
        <w:t>Gibbs, G., 1988. Learning by doing: A guide to teaching and learning methods. </w:t>
      </w:r>
      <w:r>
        <w:rPr>
          <w:rFonts w:ascii="Times New Roman" w:hAnsi="Times New Roman" w:cs="Times New Roman"/>
          <w:i/>
          <w:iCs/>
        </w:rPr>
        <w:t>Further Education Unit</w:t>
      </w:r>
      <w:r>
        <w:rPr>
          <w:rFonts w:ascii="Times New Roman" w:hAnsi="Times New Roman" w:cs="Times New Roman"/>
        </w:rPr>
        <w:t xml:space="preserve">. </w:t>
      </w:r>
      <w:hyperlink r:id="rId18" w:history="1">
        <w:r>
          <w:rPr>
            <w:rStyle w:val="Hyperlink"/>
            <w:rFonts w:ascii="Times New Roman" w:hAnsi="Times New Roman" w:cs="Times New Roman"/>
          </w:rPr>
          <w:t>https://cir.nii.ac.jp/crid/1571417125052979584</w:t>
        </w:r>
      </w:hyperlink>
    </w:p>
    <w:p w14:paraId="3A197EE7" w14:textId="77777777" w:rsidR="00C53D2B" w:rsidRPr="00766153" w:rsidRDefault="00C53D2B" w:rsidP="00DF1C95">
      <w:pPr>
        <w:ind w:left="720" w:hanging="720"/>
        <w:rPr>
          <w:rFonts w:ascii="Times New Roman" w:hAnsi="Times New Roman" w:cs="Times New Roman"/>
        </w:rPr>
      </w:pPr>
      <w:r>
        <w:rPr>
          <w:rFonts w:ascii="Times New Roman" w:hAnsi="Times New Roman" w:cs="Times New Roman"/>
        </w:rPr>
        <w:t>Ha, M.T., 2021. Optimizing green brand equity: The integrated branding and behavioral perspectives. </w:t>
      </w:r>
      <w:r>
        <w:rPr>
          <w:rFonts w:ascii="Times New Roman" w:hAnsi="Times New Roman" w:cs="Times New Roman"/>
          <w:i/>
          <w:iCs/>
        </w:rPr>
        <w:t>Sage Open</w:t>
      </w:r>
      <w:r>
        <w:rPr>
          <w:rFonts w:ascii="Times New Roman" w:hAnsi="Times New Roman" w:cs="Times New Roman"/>
        </w:rPr>
        <w:t>, </w:t>
      </w:r>
      <w:r>
        <w:rPr>
          <w:rFonts w:ascii="Times New Roman" w:hAnsi="Times New Roman" w:cs="Times New Roman"/>
          <w:i/>
          <w:iCs/>
        </w:rPr>
        <w:t>11</w:t>
      </w:r>
      <w:r>
        <w:rPr>
          <w:rFonts w:ascii="Times New Roman" w:hAnsi="Times New Roman" w:cs="Times New Roman"/>
        </w:rPr>
        <w:t xml:space="preserve">(3), p.21582440211036087. </w:t>
      </w:r>
      <w:hyperlink r:id="rId19" w:history="1">
        <w:r>
          <w:rPr>
            <w:rStyle w:val="Hyperlink"/>
            <w:rFonts w:ascii="Times New Roman" w:hAnsi="Times New Roman" w:cs="Times New Roman"/>
          </w:rPr>
          <w:t>https://journals.sagepub.com/doi/abs/10.1177/21582440211036087</w:t>
        </w:r>
      </w:hyperlink>
    </w:p>
    <w:p w14:paraId="372DA25F" w14:textId="62DF21FD" w:rsidR="00C53D2B" w:rsidRPr="00766153" w:rsidRDefault="00C53D2B" w:rsidP="00DF1C95">
      <w:pPr>
        <w:ind w:left="720" w:hanging="720"/>
        <w:rPr>
          <w:rFonts w:ascii="Times New Roman" w:hAnsi="Times New Roman" w:cs="Times New Roman"/>
        </w:rPr>
      </w:pPr>
      <w:r>
        <w:rPr>
          <w:rFonts w:ascii="Times New Roman" w:hAnsi="Times New Roman" w:cs="Times New Roman"/>
        </w:rPr>
        <w:t>Hesse, A., Bündgen, K., Claren, S. and Frank, S., 2022. Practices of brand extensions and how consumers respond to FMCG giants’ greening attempts. </w:t>
      </w:r>
      <w:r>
        <w:rPr>
          <w:rFonts w:ascii="Times New Roman" w:hAnsi="Times New Roman" w:cs="Times New Roman"/>
          <w:i/>
          <w:iCs/>
        </w:rPr>
        <w:t>Journal of brand management</w:t>
      </w:r>
      <w:r>
        <w:rPr>
          <w:rFonts w:ascii="Times New Roman" w:hAnsi="Times New Roman" w:cs="Times New Roman"/>
        </w:rPr>
        <w:t>, </w:t>
      </w:r>
      <w:r>
        <w:rPr>
          <w:rFonts w:ascii="Times New Roman" w:hAnsi="Times New Roman" w:cs="Times New Roman"/>
          <w:i/>
          <w:iCs/>
        </w:rPr>
        <w:t>29</w:t>
      </w:r>
      <w:r>
        <w:rPr>
          <w:rFonts w:ascii="Times New Roman" w:hAnsi="Times New Roman" w:cs="Times New Roman"/>
        </w:rPr>
        <w:t xml:space="preserve">(6), p.520. </w:t>
      </w:r>
      <w:hyperlink r:id="rId20" w:history="1">
        <w:r>
          <w:rPr>
            <w:rStyle w:val="Hyperlink"/>
            <w:rFonts w:ascii="Times New Roman" w:hAnsi="Times New Roman" w:cs="Times New Roman"/>
          </w:rPr>
          <w:t>https://pmc.ncbi.nlm.nih.gov/articles/PMC8831008/</w:t>
        </w:r>
      </w:hyperlink>
    </w:p>
    <w:p w14:paraId="543F817A" w14:textId="192AA212" w:rsidR="00C53D2B" w:rsidRPr="00766153" w:rsidRDefault="00000000" w:rsidP="00DF1C95">
      <w:pPr>
        <w:ind w:left="720" w:hanging="720"/>
        <w:rPr>
          <w:rFonts w:ascii="Times New Roman" w:hAnsi="Times New Roman" w:cs="Times New Roman"/>
        </w:rPr>
      </w:pPr>
      <w:r>
        <w:rPr>
          <w:rFonts w:ascii="Times New Roman" w:hAnsi="Times New Roman" w:cs="Times New Roman"/>
        </w:rPr>
        <w:t xml:space="preserve">Ingka Group (2026) Annual summary and sustainability report FY25. Leiden: Ingka Holding B.V. Available at: </w:t>
      </w:r>
      <w:hyperlink r:id="rId21" w:history="1">
        <w:r w:rsidR="00C53D2B">
          <w:rPr>
            <w:rStyle w:val="Hyperlink"/>
            <w:rFonts w:ascii="Times New Roman" w:hAnsi="Times New Roman" w:cs="Times New Roman"/>
          </w:rPr>
          <w:t>https://www.ingka.com/annual-summary-and-sustainability-report/</w:t>
        </w:r>
      </w:hyperlink>
    </w:p>
    <w:p w14:paraId="328BD50C" w14:textId="77777777" w:rsidR="00C53D2B" w:rsidRPr="00766153" w:rsidRDefault="00C53D2B" w:rsidP="00DF1C95">
      <w:pPr>
        <w:ind w:left="720" w:hanging="720"/>
        <w:rPr>
          <w:rFonts w:ascii="Times New Roman" w:hAnsi="Times New Roman" w:cs="Times New Roman"/>
        </w:rPr>
      </w:pPr>
      <w:r>
        <w:rPr>
          <w:rFonts w:ascii="Times New Roman" w:hAnsi="Times New Roman" w:cs="Times New Roman"/>
        </w:rPr>
        <w:t>Jaiswal, D., Kaushal, V., Singh, P.K. and Biswas, A., 2021. Green market segmentation and consumer profiling: a cluster approach to an emerging consumer market. </w:t>
      </w:r>
      <w:r>
        <w:rPr>
          <w:rFonts w:ascii="Times New Roman" w:hAnsi="Times New Roman" w:cs="Times New Roman"/>
          <w:i/>
          <w:iCs/>
        </w:rPr>
        <w:t>Benchmarking: An International Journal</w:t>
      </w:r>
      <w:r>
        <w:rPr>
          <w:rFonts w:ascii="Times New Roman" w:hAnsi="Times New Roman" w:cs="Times New Roman"/>
        </w:rPr>
        <w:t>, </w:t>
      </w:r>
      <w:r>
        <w:rPr>
          <w:rFonts w:ascii="Times New Roman" w:hAnsi="Times New Roman" w:cs="Times New Roman"/>
          <w:i/>
          <w:iCs/>
        </w:rPr>
        <w:t>28</w:t>
      </w:r>
      <w:r>
        <w:rPr>
          <w:rFonts w:ascii="Times New Roman" w:hAnsi="Times New Roman" w:cs="Times New Roman"/>
        </w:rPr>
        <w:t xml:space="preserve">(3), pp.792-812. </w:t>
      </w:r>
      <w:hyperlink r:id="rId22" w:history="1">
        <w:r>
          <w:rPr>
            <w:rStyle w:val="Hyperlink"/>
            <w:rFonts w:ascii="Times New Roman" w:hAnsi="Times New Roman" w:cs="Times New Roman"/>
          </w:rPr>
          <w:t>https://www.emerald.com/bij/article-abstract/28/3/792/66300</w:t>
        </w:r>
      </w:hyperlink>
    </w:p>
    <w:p w14:paraId="1DAB914C" w14:textId="62EE11B8" w:rsidR="00F17F47" w:rsidRPr="00766153" w:rsidRDefault="00F17F47" w:rsidP="00DF1C95">
      <w:pPr>
        <w:ind w:left="720" w:hanging="720"/>
        <w:rPr>
          <w:rFonts w:ascii="Times New Roman" w:hAnsi="Times New Roman" w:cs="Times New Roman"/>
        </w:rPr>
      </w:pPr>
      <w:r>
        <w:rPr>
          <w:rFonts w:ascii="Times New Roman" w:hAnsi="Times New Roman" w:cs="Times New Roman"/>
        </w:rPr>
        <w:t>Keller, K.L., 1993. Conceptualizing, measuring, and managing customer-based brand equity. </w:t>
      </w:r>
      <w:r>
        <w:rPr>
          <w:rFonts w:ascii="Times New Roman" w:hAnsi="Times New Roman" w:cs="Times New Roman"/>
          <w:i/>
          <w:iCs/>
        </w:rPr>
        <w:t>Journal of marketing</w:t>
      </w:r>
      <w:r>
        <w:rPr>
          <w:rFonts w:ascii="Times New Roman" w:hAnsi="Times New Roman" w:cs="Times New Roman"/>
        </w:rPr>
        <w:t>, </w:t>
      </w:r>
      <w:r>
        <w:rPr>
          <w:rFonts w:ascii="Times New Roman" w:hAnsi="Times New Roman" w:cs="Times New Roman"/>
          <w:i/>
          <w:iCs/>
        </w:rPr>
        <w:t>57</w:t>
      </w:r>
      <w:r>
        <w:rPr>
          <w:rFonts w:ascii="Times New Roman" w:hAnsi="Times New Roman" w:cs="Times New Roman"/>
        </w:rPr>
        <w:t xml:space="preserve">(1), pp.1-22. </w:t>
      </w:r>
      <w:hyperlink r:id="rId23" w:history="1">
        <w:r>
          <w:rPr>
            <w:rStyle w:val="Hyperlink"/>
            <w:rFonts w:ascii="Times New Roman" w:hAnsi="Times New Roman" w:cs="Times New Roman"/>
          </w:rPr>
          <w:t>https://journals.sagepub.com/doi/abs/10.1177/002224299305700101</w:t>
        </w:r>
      </w:hyperlink>
    </w:p>
    <w:p w14:paraId="32187D59" w14:textId="2DC21DF8" w:rsidR="00F17F47" w:rsidRPr="00766153" w:rsidRDefault="00F17F47" w:rsidP="00DF1C95">
      <w:pPr>
        <w:ind w:left="720" w:hanging="720"/>
        <w:rPr>
          <w:rFonts w:ascii="Times New Roman" w:hAnsi="Times New Roman" w:cs="Times New Roman"/>
        </w:rPr>
      </w:pPr>
      <w:r>
        <w:rPr>
          <w:rFonts w:ascii="Times New Roman" w:hAnsi="Times New Roman" w:cs="Times New Roman"/>
        </w:rPr>
        <w:t xml:space="preserve">Armstrong, G., 2016. Principles of marketing. /Philip Kotler; Gary Armstrong. </w:t>
      </w:r>
      <w:hyperlink r:id="rId24" w:history="1">
        <w:r>
          <w:rPr>
            <w:rStyle w:val="Hyperlink"/>
            <w:rFonts w:ascii="Times New Roman" w:hAnsi="Times New Roman" w:cs="Times New Roman"/>
          </w:rPr>
          <w:t>https://scholar.google.com/scholar?cluster=16813681526304238623&amp;hl=en&amp;as_sdt=2005&amp;sciodt=0,5</w:t>
        </w:r>
      </w:hyperlink>
    </w:p>
    <w:p w14:paraId="5A015A0B" w14:textId="2AB122E8" w:rsidR="00F17F47" w:rsidRPr="00766153" w:rsidRDefault="00F17F47" w:rsidP="00DF1C95">
      <w:pPr>
        <w:ind w:left="720" w:hanging="720"/>
        <w:rPr>
          <w:rFonts w:ascii="Times New Roman" w:hAnsi="Times New Roman" w:cs="Times New Roman"/>
        </w:rPr>
      </w:pPr>
      <w:r>
        <w:rPr>
          <w:rFonts w:ascii="Times New Roman" w:hAnsi="Times New Roman" w:cs="Times New Roman"/>
        </w:rPr>
        <w:t>Maťová, H., Triznová, M.O., Kaputa, V., Loučanová, E. and Vlosky, R.P., 2024. Strategic Environmental Consumer Segmentation: An Exploratory Case Study in Slovakia. </w:t>
      </w:r>
      <w:r>
        <w:rPr>
          <w:rFonts w:ascii="Times New Roman" w:hAnsi="Times New Roman" w:cs="Times New Roman"/>
          <w:i/>
          <w:iCs/>
        </w:rPr>
        <w:t>SAGE Open</w:t>
      </w:r>
      <w:r>
        <w:rPr>
          <w:rFonts w:ascii="Times New Roman" w:hAnsi="Times New Roman" w:cs="Times New Roman"/>
        </w:rPr>
        <w:t>, </w:t>
      </w:r>
      <w:r>
        <w:rPr>
          <w:rFonts w:ascii="Times New Roman" w:hAnsi="Times New Roman" w:cs="Times New Roman"/>
          <w:i/>
          <w:iCs/>
        </w:rPr>
        <w:t>14</w:t>
      </w:r>
      <w:r>
        <w:rPr>
          <w:rFonts w:ascii="Times New Roman" w:hAnsi="Times New Roman" w:cs="Times New Roman"/>
        </w:rPr>
        <w:t xml:space="preserve">(1), p.21582440241240638. </w:t>
      </w:r>
      <w:hyperlink r:id="rId25" w:history="1">
        <w:r>
          <w:rPr>
            <w:rStyle w:val="Hyperlink"/>
            <w:rFonts w:ascii="Times New Roman" w:hAnsi="Times New Roman" w:cs="Times New Roman"/>
          </w:rPr>
          <w:t>https://journals.sagepub.com/doi/abs/10.1177/21582440241240638</w:t>
        </w:r>
      </w:hyperlink>
    </w:p>
    <w:p w14:paraId="747BE04B" w14:textId="6ADDBB6F" w:rsidR="00F17F47" w:rsidRPr="00766153" w:rsidRDefault="00F17F47" w:rsidP="00DF1C95">
      <w:pPr>
        <w:ind w:left="720" w:hanging="720"/>
        <w:rPr>
          <w:rFonts w:ascii="Times New Roman" w:hAnsi="Times New Roman" w:cs="Times New Roman"/>
        </w:rPr>
      </w:pPr>
      <w:r>
        <w:rPr>
          <w:rFonts w:ascii="Times New Roman" w:hAnsi="Times New Roman" w:cs="Times New Roman"/>
        </w:rPr>
        <w:t>Mont, O.K., 2002. Clarifying the concept of product–service system. </w:t>
      </w:r>
      <w:r>
        <w:rPr>
          <w:rFonts w:ascii="Times New Roman" w:hAnsi="Times New Roman" w:cs="Times New Roman"/>
          <w:i/>
          <w:iCs/>
        </w:rPr>
        <w:t>Journal of cleaner production</w:t>
      </w:r>
      <w:r>
        <w:rPr>
          <w:rFonts w:ascii="Times New Roman" w:hAnsi="Times New Roman" w:cs="Times New Roman"/>
        </w:rPr>
        <w:t>, </w:t>
      </w:r>
      <w:r>
        <w:rPr>
          <w:rFonts w:ascii="Times New Roman" w:hAnsi="Times New Roman" w:cs="Times New Roman"/>
          <w:i/>
          <w:iCs/>
        </w:rPr>
        <w:t>10</w:t>
      </w:r>
      <w:r>
        <w:rPr>
          <w:rFonts w:ascii="Times New Roman" w:hAnsi="Times New Roman" w:cs="Times New Roman"/>
        </w:rPr>
        <w:t xml:space="preserve">(3), pp.237-245. </w:t>
      </w:r>
      <w:hyperlink r:id="rId26" w:history="1">
        <w:r>
          <w:rPr>
            <w:rStyle w:val="Hyperlink"/>
            <w:rFonts w:ascii="Times New Roman" w:hAnsi="Times New Roman" w:cs="Times New Roman"/>
          </w:rPr>
          <w:t>https://www.sciencedirect.com/science/article/pii/S0959652601000397</w:t>
        </w:r>
      </w:hyperlink>
    </w:p>
    <w:p w14:paraId="01E4F367" w14:textId="77777777" w:rsidR="001B0AD8" w:rsidRPr="00766153" w:rsidRDefault="001B0AD8" w:rsidP="00DF1C95">
      <w:pPr>
        <w:ind w:left="720" w:hanging="720"/>
        <w:rPr>
          <w:rFonts w:ascii="Times New Roman" w:hAnsi="Times New Roman" w:cs="Times New Roman"/>
        </w:rPr>
      </w:pPr>
      <w:r>
        <w:rPr>
          <w:rFonts w:ascii="Times New Roman" w:hAnsi="Times New Roman" w:cs="Times New Roman"/>
        </w:rPr>
        <w:t>Nguyen, K.M., Dinh, L.T.K., Ngo, T.T., Phan, T.T.T., Nguyen, P.D.H., Tran, H.P.M. and Nguyen, N.T., 2025. The impact of 7Ps green marketing mix on customer commitment and willingness to pay a premium price: Evidence from Vietnam. </w:t>
      </w:r>
      <w:r>
        <w:rPr>
          <w:rFonts w:ascii="Times New Roman" w:hAnsi="Times New Roman" w:cs="Times New Roman"/>
          <w:i/>
          <w:iCs/>
        </w:rPr>
        <w:t>Journal of Promotion management</w:t>
      </w:r>
      <w:r>
        <w:rPr>
          <w:rFonts w:ascii="Times New Roman" w:hAnsi="Times New Roman" w:cs="Times New Roman"/>
        </w:rPr>
        <w:t>, </w:t>
      </w:r>
      <w:r>
        <w:rPr>
          <w:rFonts w:ascii="Times New Roman" w:hAnsi="Times New Roman" w:cs="Times New Roman"/>
          <w:i/>
          <w:iCs/>
        </w:rPr>
        <w:t>31</w:t>
      </w:r>
      <w:r>
        <w:rPr>
          <w:rFonts w:ascii="Times New Roman" w:hAnsi="Times New Roman" w:cs="Times New Roman"/>
        </w:rPr>
        <w:t xml:space="preserve">(4), pp.578-619. </w:t>
      </w:r>
      <w:hyperlink r:id="rId27" w:history="1">
        <w:r>
          <w:rPr>
            <w:rStyle w:val="Hyperlink"/>
            <w:rFonts w:ascii="Times New Roman" w:hAnsi="Times New Roman" w:cs="Times New Roman"/>
          </w:rPr>
          <w:t>https://www.tandfonline.com/doi/abs/10.1080/10496491.2025.2484712</w:t>
        </w:r>
      </w:hyperlink>
    </w:p>
    <w:p w14:paraId="53BE0732" w14:textId="11A3392D" w:rsidR="001B0AD8" w:rsidRPr="00766153" w:rsidRDefault="001B0AD8" w:rsidP="00DF1C95">
      <w:pPr>
        <w:ind w:left="720" w:hanging="720"/>
        <w:rPr>
          <w:rFonts w:ascii="Times New Roman" w:hAnsi="Times New Roman" w:cs="Times New Roman"/>
        </w:rPr>
      </w:pPr>
      <w:r>
        <w:rPr>
          <w:rFonts w:ascii="Times New Roman" w:hAnsi="Times New Roman" w:cs="Times New Roman"/>
        </w:rPr>
        <w:t>Niedermeier, A., Emberger‐Klein, A. and Menrad, K., 2021. Which factors distinguish the different consumer segments of green fast‐moving consumer goods in Germany?. </w:t>
      </w:r>
      <w:r>
        <w:rPr>
          <w:rFonts w:ascii="Times New Roman" w:hAnsi="Times New Roman" w:cs="Times New Roman"/>
          <w:i/>
          <w:iCs/>
        </w:rPr>
        <w:t>Business Strategy and the Environment</w:t>
      </w:r>
      <w:r>
        <w:rPr>
          <w:rFonts w:ascii="Times New Roman" w:hAnsi="Times New Roman" w:cs="Times New Roman"/>
        </w:rPr>
        <w:t>, </w:t>
      </w:r>
      <w:r>
        <w:rPr>
          <w:rFonts w:ascii="Times New Roman" w:hAnsi="Times New Roman" w:cs="Times New Roman"/>
          <w:i/>
          <w:iCs/>
        </w:rPr>
        <w:t>30</w:t>
      </w:r>
      <w:r>
        <w:rPr>
          <w:rFonts w:ascii="Times New Roman" w:hAnsi="Times New Roman" w:cs="Times New Roman"/>
        </w:rPr>
        <w:t xml:space="preserve">(4), pp.1823-1838. </w:t>
      </w:r>
      <w:hyperlink r:id="rId28" w:history="1">
        <w:r>
          <w:rPr>
            <w:rStyle w:val="Hyperlink"/>
            <w:rFonts w:ascii="Times New Roman" w:hAnsi="Times New Roman" w:cs="Times New Roman"/>
          </w:rPr>
          <w:t>https://onlinelibrary.wiley.com/doi/abs/10.1002/bse.2718</w:t>
        </w:r>
      </w:hyperlink>
    </w:p>
    <w:p w14:paraId="26D90DF1" w14:textId="626D3FCE" w:rsidR="001B0AD8" w:rsidRPr="00766153" w:rsidRDefault="001B0AD8" w:rsidP="00DF1C95">
      <w:pPr>
        <w:ind w:left="720" w:hanging="720"/>
        <w:rPr>
          <w:rFonts w:ascii="Times New Roman" w:hAnsi="Times New Roman" w:cs="Times New Roman"/>
        </w:rPr>
      </w:pPr>
      <w:r>
        <w:rPr>
          <w:rFonts w:ascii="Times New Roman" w:hAnsi="Times New Roman" w:cs="Times New Roman"/>
        </w:rPr>
        <w:t>Tran, N.K.H., 2023. Enhancing green brand equity through environmental reputation: The important of green brand image, green brand trust, and green brand loyalty. </w:t>
      </w:r>
      <w:r>
        <w:rPr>
          <w:rFonts w:ascii="Times New Roman" w:hAnsi="Times New Roman" w:cs="Times New Roman"/>
          <w:i/>
          <w:iCs/>
        </w:rPr>
        <w:t>Business Strategy &amp; Development</w:t>
      </w:r>
      <w:r>
        <w:rPr>
          <w:rFonts w:ascii="Times New Roman" w:hAnsi="Times New Roman" w:cs="Times New Roman"/>
        </w:rPr>
        <w:t>, </w:t>
      </w:r>
      <w:r>
        <w:rPr>
          <w:rFonts w:ascii="Times New Roman" w:hAnsi="Times New Roman" w:cs="Times New Roman"/>
          <w:i/>
          <w:iCs/>
        </w:rPr>
        <w:t>6</w:t>
      </w:r>
      <w:r>
        <w:rPr>
          <w:rFonts w:ascii="Times New Roman" w:hAnsi="Times New Roman" w:cs="Times New Roman"/>
        </w:rPr>
        <w:t xml:space="preserve">(4), pp.1006-1017. </w:t>
      </w:r>
      <w:hyperlink r:id="rId29" w:history="1">
        <w:r>
          <w:rPr>
            <w:rStyle w:val="Hyperlink"/>
            <w:rFonts w:ascii="Times New Roman" w:hAnsi="Times New Roman" w:cs="Times New Roman"/>
          </w:rPr>
          <w:t>https://onlinelibrary.wiley.com/doi/abs/10.1002/bsd2.294</w:t>
        </w:r>
      </w:hyperlink>
    </w:p>
    <w:p w14:paraId="66EF8946" w14:textId="279E28CD" w:rsidR="00574EC8" w:rsidRPr="00766153" w:rsidRDefault="00000000" w:rsidP="00DF1C95">
      <w:pPr>
        <w:ind w:left="720" w:hanging="720"/>
        <w:rPr>
          <w:rFonts w:ascii="Times New Roman" w:hAnsi="Times New Roman" w:cs="Times New Roman"/>
        </w:rPr>
      </w:pPr>
      <w:r>
        <w:rPr>
          <w:rFonts w:ascii="Times New Roman" w:hAnsi="Times New Roman" w:cs="Times New Roman"/>
        </w:rPr>
        <w:t xml:space="preserve">WRAP (2012) Study into the re-use potential of household bulky items. Banbury: WRAP. </w:t>
      </w:r>
      <w:hyperlink r:id="rId30" w:history="1">
        <w:r w:rsidR="00574EC8">
          <w:rPr>
            <w:rStyle w:val="Hyperlink"/>
            <w:rFonts w:ascii="Times New Roman" w:hAnsi="Times New Roman" w:cs="Times New Roman"/>
          </w:rPr>
          <w:t>https://www.wrap.ngo/resources/report/study-re-use-potential-household-bulky-items</w:t>
        </w:r>
      </w:hyperlink>
    </w:p>
    <w:p w14:paraId="64932E85" w14:textId="77777777" w:rsidR="001B0AD8" w:rsidRPr="00766153" w:rsidRDefault="001B0AD8" w:rsidP="00DF1C95">
      <w:pPr>
        <w:ind w:left="720" w:hanging="720"/>
        <w:rPr>
          <w:rFonts w:ascii="Times New Roman" w:hAnsi="Times New Roman" w:cs="Times New Roman"/>
        </w:rPr>
      </w:pPr>
    </w:p>
    <w:p w14:paraId="10001DDC" w14:textId="77777777" w:rsidR="001B0AD8" w:rsidRDefault="001B0AD8" w:rsidP="00DF1C95">
      <w:pPr>
        <w:pStyle w:val="Heading1"/>
        <w:rPr>
          <w:highlight w:val="yellow"/>
        </w:rPr>
      </w:pPr>
      <w:r>
        <w:rPr>
          <w:highlight w:val="yellow"/>
        </w:rPr>
        <w:t>Appendix</w:t>
      </w:r>
    </w:p>
    <w:p w14:paraId="10001EED" w14:textId="77777777" w:rsidR="001B0AD8" w:rsidRDefault="001B0AD8" w:rsidP="00DF1C95">
      <w:pPr>
        <w:pStyle w:val="Heading2"/>
        <w:rPr>
          <w:highlight w:val="yellow"/>
        </w:rPr>
      </w:pPr>
      <w:r>
        <w:rPr>
          <w:highlight w:val="yellow"/>
        </w:rPr>
        <w:t>Appendix A: Poster design rationale</w:t>
      </w:r>
    </w:p>
    <w:p w14:paraId="10001FFE"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The poster (Figure 1) was produced in Canva at A1 proportions. Content was prioritised so that a viewer can identify the organisation, the sustainability problem and the proposed extension within approximately ten seconds. The layout follows a top-to-bottom narrative sequence – problem, proposal, alignment with IKEA sustainability goals – and uses the parent brand’s established colour palette to signal fit with the existing brand while differentiating the extension through the circular loop motif.</w:t>
      </w:r>
    </w:p>
    <w:p w14:paraId="1000210F" w14:textId="77777777" w:rsidR="001B0AD8" w:rsidRDefault="001B0AD8" w:rsidP="00DF1C95">
      <w:pPr>
        <w:pStyle w:val="Heading2"/>
        <w:rPr>
          <w:highlight w:val="yellow"/>
        </w:rPr>
      </w:pPr>
      <w:r>
        <w:rPr>
          <w:highlight w:val="yellow"/>
        </w:rPr>
        <w:t>Appendix B: Summary of the segmentation bases applied</w:t>
      </w:r>
    </w:p>
    <w:p w14:paraId="10002220"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Table 1 in Element 2 sets out the four segmentation bases used. Geographic segmentation focuses on high-density UK and Western European cities; demographic segmentation identifies renters aged 25–40; psychographic segmentation targets an access-over-ownership orientation with pro-environmental values; and behavioural segmentation identifies flexibility, convenience and credible sustainability as the benefits sought. Demographic variables are used descriptively only, since the literature indicates they are weak predictors of green purchasing behaviour.</w:t>
      </w:r>
    </w:p>
    <w:p w14:paraId="10002331" w14:textId="77777777" w:rsidR="001B0AD8" w:rsidRDefault="001B0AD8" w:rsidP="00DF1C95">
      <w:pPr>
        <w:pStyle w:val="Heading2"/>
        <w:rPr>
          <w:highlight w:val="yellow"/>
        </w:rPr>
      </w:pPr>
      <w:r>
        <w:rPr>
          <w:highlight w:val="yellow"/>
        </w:rPr>
        <w:t>Appendix C: Booking and reservation channel matrix</w:t>
      </w:r>
    </w:p>
    <w:p w14:paraId="10002442"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Website – full subscription configurator, postcode availability check, item reservation and delivery slot booking; primary channel for first-time customers comparing plans. Mobile application – account management, swap and collection requests, renewal notifications and digital product passport access; primary channel for existing subscribers. Telephone – advice-led enquiries, accessibility support for less digitally confident customers, and bulk reservations for B2B accounts such as co-living operators and corporate relocation providers. All three channels write to a single reservation database to prevent double-allocation of refurbished stock.</w:t>
      </w:r>
    </w:p>
    <w:p w14:paraId="10002553" w14:textId="77777777" w:rsidR="001B0AD8" w:rsidRDefault="001B0AD8" w:rsidP="00DF1C95">
      <w:pPr>
        <w:pStyle w:val="Heading2"/>
        <w:rPr>
          <w:highlight w:val="yellow"/>
        </w:rPr>
      </w:pPr>
      <w:r>
        <w:rPr>
          <w:highlight w:val="yellow"/>
        </w:rPr>
        <w:t>Appendix D: Customer complaint process stages</w:t>
      </w:r>
    </w:p>
    <w:p w14:paraId="10002664"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Stage 1 – Capture: complaint logged via app, website, telephone or in-store desk against both the subscriber account and the individual item record. Stage 2 – Acknowledgement: automatic confirmation within twenty-four hours with reference number and expected resolution time. Stage 3 – Classification: categorised as condition and cleanliness, delivery or collection failure, billing and subscription, or product fault and damage. Stage 4 – Resolution: front-line co-workers empowered to replace, swap, repair or credit within defined limits, with escalation to a service manager beyond those limits. Stage 5 – Confirmation and learning: case closed only after subscriber confirmation, with complaint data aggregated monthly into refurbishment standards, training content and product design.</w:t>
      </w:r>
    </w:p>
    <w:p w14:paraId="10002775" w14:textId="77777777" w:rsidR="001B0AD8" w:rsidRDefault="001B0AD8" w:rsidP="00DF1C95">
      <w:pPr>
        <w:pStyle w:val="Heading2"/>
        <w:rPr>
          <w:highlight w:val="yellow"/>
        </w:rPr>
      </w:pPr>
      <w:r>
        <w:rPr>
          <w:highlight w:val="yellow"/>
        </w:rPr>
        <w:t>Appendix E: Proposed circular key performance indicators</w:t>
      </w:r>
    </w:p>
    <w:p w14:paraId="10002886" w14:textId="77777777" w:rsidR="001B0AD8" w:rsidRDefault="001B0AD8" w:rsidP="00766153">
      <w:pPr>
        <w:jc w:val="both"/>
        <w:rPr>
          <w:rFonts w:ascii="Times New Roman" w:hAnsi="Times New Roman" w:cs="Times New Roman"/>
          <w:highlight w:val="yellow"/>
        </w:rPr>
      </w:pPr>
      <w:r>
        <w:rPr>
          <w:rFonts w:ascii="Times New Roman" w:hAnsi="Times New Roman" w:cs="Times New Roman"/>
          <w:highlight w:val="yellow"/>
        </w:rPr>
        <w:t>Refurbishment yield, defined as the percentage of collected items successfully returned to lease-ready condition; average number of lease cycles achieved per item; subscriber retention and churn rate; percentage of deliveries and collections completed by zero-emission vehicles; complaint volume and first-contact resolution rate by category; and net promoter score among subscribers. These measures replace one-off sales volume as the primary indicators of success, because the commercial logic of the proposition rests on durability and repeated use rather than replacement.</w:t>
      </w:r>
    </w:p>
    <w:sectPr w:rsidR="001B0AD8" w:rsidSect="00F72685">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203E87" w14:textId="77777777" w:rsidR="001C1CAF" w:rsidRDefault="001C1CAF">
      <w:pPr>
        <w:spacing w:line="240" w:lineRule="auto"/>
      </w:pPr>
      <w:r>
        <w:separator/>
      </w:r>
    </w:p>
  </w:endnote>
  <w:endnote w:type="continuationSeparator" w:id="0">
    <w:p w14:paraId="6D9D9DA2" w14:textId="77777777" w:rsidR="001C1CAF" w:rsidRDefault="001C1C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D8C0C8" w14:textId="77777777" w:rsidR="00574EC8" w:rsidRDefault="00000000">
    <w:pPr>
      <w:jc w:val="center"/>
    </w:pPr>
    <w:r>
      <w:rPr>
        <w:color w:val="808080"/>
        <w:sz w:val="18"/>
        <w:szCs w:val="18"/>
      </w:rPr>
      <w:t xml:space="preserve">Page </w:t>
    </w:r>
    <w:r>
      <w:rPr>
        <w:color w:val="808080"/>
        <w:sz w:val="18"/>
        <w:szCs w:val="18"/>
      </w:rPr>
      <w:fldChar w:fldCharType="begin"/>
    </w:r>
    <w:r>
      <w:rPr>
        <w:color w:val="808080"/>
        <w:sz w:val="18"/>
        <w:szCs w:val="18"/>
      </w:rPr>
      <w:instrText>PAGE</w:instrText>
    </w:r>
    <w:r>
      <w:rPr>
        <w:color w:val="808080"/>
        <w:sz w:val="18"/>
        <w:szCs w:val="18"/>
      </w:rPr>
      <w:fldChar w:fldCharType="separate"/>
    </w:r>
    <w:r w:rsidR="00C53D2B">
      <w:rPr>
        <w:noProof/>
        <w:color w:val="808080"/>
        <w:sz w:val="18"/>
        <w:szCs w:val="18"/>
      </w:rPr>
      <w:t>1</w:t>
    </w:r>
    <w:r>
      <w:rPr>
        <w:color w:val="808080"/>
        <w:sz w:val="18"/>
        <w:szCs w:val="18"/>
      </w:rPr>
      <w:fldChar w:fldCharType="end"/>
    </w:r>
    <w:r>
      <w:rPr>
        <w:color w:val="808080"/>
        <w:sz w:val="18"/>
        <w:szCs w:val="18"/>
      </w:rPr>
      <w:t xml:space="preserve"> of </w:t>
    </w:r>
    <w:r>
      <w:rPr>
        <w:color w:val="808080"/>
        <w:sz w:val="18"/>
        <w:szCs w:val="18"/>
      </w:rPr>
      <w:fldChar w:fldCharType="begin"/>
    </w:r>
    <w:r>
      <w:rPr>
        <w:color w:val="808080"/>
        <w:sz w:val="18"/>
        <w:szCs w:val="18"/>
      </w:rPr>
      <w:instrText>NUMPAGES</w:instrText>
    </w:r>
    <w:r>
      <w:rPr>
        <w:color w:val="808080"/>
        <w:sz w:val="18"/>
        <w:szCs w:val="18"/>
      </w:rPr>
      <w:fldChar w:fldCharType="separate"/>
    </w:r>
    <w:r w:rsidR="00C53D2B">
      <w:rPr>
        <w:noProof/>
        <w:color w:val="808080"/>
        <w:sz w:val="18"/>
        <w:szCs w:val="18"/>
      </w:rPr>
      <w:t>1</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F15608" w14:textId="77777777" w:rsidR="001C1CAF" w:rsidRDefault="001C1CAF">
      <w:pPr>
        <w:spacing w:line="240" w:lineRule="auto"/>
      </w:pPr>
      <w:r>
        <w:separator/>
      </w:r>
    </w:p>
  </w:footnote>
  <w:footnote w:type="continuationSeparator" w:id="0">
    <w:p w14:paraId="473B414D" w14:textId="77777777" w:rsidR="001C1CAF" w:rsidRDefault="001C1C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DE4040"/>
    <w:multiLevelType w:val="hybridMultilevel"/>
    <w:tmpl w:val="A7CCD564"/>
    <w:lvl w:ilvl="0" w:tplc="FFB67322">
      <w:start w:val="1"/>
      <w:numFmt w:val="bullet"/>
      <w:lvlText w:val="●"/>
      <w:lvlJc w:val="left"/>
      <w:pPr>
        <w:ind w:left="720" w:hanging="360"/>
      </w:pPr>
    </w:lvl>
    <w:lvl w:ilvl="1" w:tplc="4008F4EC">
      <w:start w:val="1"/>
      <w:numFmt w:val="bullet"/>
      <w:lvlText w:val="○"/>
      <w:lvlJc w:val="left"/>
      <w:pPr>
        <w:ind w:left="1440" w:hanging="360"/>
      </w:pPr>
    </w:lvl>
    <w:lvl w:ilvl="2" w:tplc="83107036">
      <w:start w:val="1"/>
      <w:numFmt w:val="bullet"/>
      <w:lvlText w:val="■"/>
      <w:lvlJc w:val="left"/>
      <w:pPr>
        <w:ind w:left="2160" w:hanging="360"/>
      </w:pPr>
    </w:lvl>
    <w:lvl w:ilvl="3" w:tplc="540CADB4">
      <w:start w:val="1"/>
      <w:numFmt w:val="bullet"/>
      <w:lvlText w:val="●"/>
      <w:lvlJc w:val="left"/>
      <w:pPr>
        <w:ind w:left="2880" w:hanging="360"/>
      </w:pPr>
    </w:lvl>
    <w:lvl w:ilvl="4" w:tplc="5D6683DE">
      <w:start w:val="1"/>
      <w:numFmt w:val="bullet"/>
      <w:lvlText w:val="○"/>
      <w:lvlJc w:val="left"/>
      <w:pPr>
        <w:ind w:left="3600" w:hanging="360"/>
      </w:pPr>
    </w:lvl>
    <w:lvl w:ilvl="5" w:tplc="3A38CCAE">
      <w:start w:val="1"/>
      <w:numFmt w:val="bullet"/>
      <w:lvlText w:val="■"/>
      <w:lvlJc w:val="left"/>
      <w:pPr>
        <w:ind w:left="4320" w:hanging="360"/>
      </w:pPr>
    </w:lvl>
    <w:lvl w:ilvl="6" w:tplc="CD68968A">
      <w:start w:val="1"/>
      <w:numFmt w:val="bullet"/>
      <w:lvlText w:val="●"/>
      <w:lvlJc w:val="left"/>
      <w:pPr>
        <w:ind w:left="5040" w:hanging="360"/>
      </w:pPr>
    </w:lvl>
    <w:lvl w:ilvl="7" w:tplc="D47C173C">
      <w:start w:val="1"/>
      <w:numFmt w:val="bullet"/>
      <w:lvlText w:val="●"/>
      <w:lvlJc w:val="left"/>
      <w:pPr>
        <w:ind w:left="5760" w:hanging="360"/>
      </w:pPr>
    </w:lvl>
    <w:lvl w:ilvl="8" w:tplc="C194F12A">
      <w:start w:val="1"/>
      <w:numFmt w:val="bullet"/>
      <w:lvlText w:val="●"/>
      <w:lvlJc w:val="left"/>
      <w:pPr>
        <w:ind w:left="6480" w:hanging="360"/>
      </w:pPr>
    </w:lvl>
  </w:abstractNum>
  <w:abstractNum w:abstractNumId="1" w15:restartNumberingAfterBreak="0">
    <w:nsid w:val="732534F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38976425">
    <w:abstractNumId w:val="0"/>
    <w:lvlOverride w:ilvl="0">
      <w:startOverride w:val="1"/>
    </w:lvlOverride>
  </w:num>
  <w:num w:numId="2" w16cid:durableId="166195784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EC8"/>
    <w:rsid w:val="001B0AD8"/>
    <w:rsid w:val="001C1CAF"/>
    <w:rsid w:val="00415F28"/>
    <w:rsid w:val="00574EC8"/>
    <w:rsid w:val="00766153"/>
    <w:rsid w:val="00823B95"/>
    <w:rsid w:val="00A53F32"/>
    <w:rsid w:val="00AE3371"/>
    <w:rsid w:val="00AE5BD2"/>
    <w:rsid w:val="00C53D2B"/>
    <w:rsid w:val="00CE4FE3"/>
    <w:rsid w:val="00DF1C95"/>
    <w:rsid w:val="00E620D6"/>
    <w:rsid w:val="00EA08B5"/>
    <w:rsid w:val="00F17F47"/>
    <w:rsid w:val="00F72685"/>
    <w:rsid w:val="00F87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68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E620D6"/>
    <w:pPr>
      <w:numPr>
        <w:numId w:val="2"/>
      </w:numPr>
      <w:spacing w:before="280" w:after="160"/>
      <w:outlineLvl w:val="0"/>
    </w:pPr>
    <w:rPr>
      <w:rFonts w:ascii="Times New Roman" w:hAnsi="Times New Roman"/>
      <w:b/>
      <w:bCs/>
      <w:sz w:val="28"/>
      <w:szCs w:val="30"/>
    </w:rPr>
  </w:style>
  <w:style w:type="paragraph" w:styleId="Heading2">
    <w:name w:val="heading 2"/>
    <w:uiPriority w:val="9"/>
    <w:unhideWhenUsed/>
    <w:qFormat/>
    <w:rsid w:val="00E620D6"/>
    <w:pPr>
      <w:numPr>
        <w:ilvl w:val="1"/>
        <w:numId w:val="2"/>
      </w:numPr>
      <w:spacing w:before="200" w:after="120"/>
      <w:outlineLvl w:val="1"/>
    </w:pPr>
    <w:rPr>
      <w:rFonts w:ascii="Times New Roman" w:hAnsi="Times New Roman"/>
      <w:b/>
      <w:bCs/>
      <w:szCs w:val="26"/>
    </w:rPr>
  </w:style>
  <w:style w:type="paragraph" w:styleId="Heading3">
    <w:name w:val="heading 3"/>
    <w:uiPriority w:val="9"/>
    <w:semiHidden/>
    <w:unhideWhenUsed/>
    <w:qFormat/>
    <w:pPr>
      <w:numPr>
        <w:ilvl w:val="2"/>
        <w:numId w:val="2"/>
      </w:numPr>
      <w:outlineLvl w:val="2"/>
    </w:pPr>
    <w:rPr>
      <w:color w:val="1F4D78"/>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DF1C95"/>
    <w:pPr>
      <w:keepNext/>
      <w:keepLines/>
      <w:numPr>
        <w:ilvl w:val="6"/>
        <w:numId w:val="2"/>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DF1C95"/>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1C95"/>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53D2B"/>
    <w:pPr>
      <w:spacing w:after="100"/>
    </w:pPr>
  </w:style>
  <w:style w:type="paragraph" w:styleId="TOC2">
    <w:name w:val="toc 2"/>
    <w:basedOn w:val="Normal"/>
    <w:next w:val="Normal"/>
    <w:autoRedefine/>
    <w:uiPriority w:val="39"/>
    <w:unhideWhenUsed/>
    <w:rsid w:val="00C53D2B"/>
    <w:pPr>
      <w:spacing w:after="100"/>
      <w:ind w:left="240"/>
    </w:pPr>
  </w:style>
  <w:style w:type="character" w:styleId="UnresolvedMention">
    <w:name w:val="Unresolved Mention"/>
    <w:basedOn w:val="DefaultParagraphFont"/>
    <w:uiPriority w:val="99"/>
    <w:semiHidden/>
    <w:unhideWhenUsed/>
    <w:rsid w:val="00C53D2B"/>
    <w:rPr>
      <w:color w:val="605E5C"/>
      <w:shd w:val="clear" w:color="auto" w:fill="E1DFDD"/>
    </w:rPr>
  </w:style>
  <w:style w:type="paragraph" w:styleId="Caption">
    <w:name w:val="caption"/>
    <w:basedOn w:val="Normal"/>
    <w:next w:val="Normal"/>
    <w:uiPriority w:val="35"/>
    <w:unhideWhenUsed/>
    <w:qFormat/>
    <w:rsid w:val="00E620D6"/>
    <w:pPr>
      <w:spacing w:after="200" w:line="240" w:lineRule="auto"/>
    </w:pPr>
    <w:rPr>
      <w:i/>
      <w:iCs/>
      <w:color w:val="0E2841" w:themeColor="text2"/>
      <w:sz w:val="18"/>
      <w:szCs w:val="18"/>
    </w:rPr>
  </w:style>
  <w:style w:type="table" w:styleId="GridTable1Light">
    <w:name w:val="Grid Table 1 Light"/>
    <w:basedOn w:val="TableNormal"/>
    <w:uiPriority w:val="46"/>
    <w:rsid w:val="00E620D6"/>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E620D6"/>
    <w:pPr>
      <w:spacing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DF1C95"/>
    <w:pPr>
      <w:spacing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DF1C95"/>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character" w:customStyle="1" w:styleId="Heading7Char">
    <w:name w:val="Heading 7 Char"/>
    <w:basedOn w:val="DefaultParagraphFont"/>
    <w:link w:val="Heading7"/>
    <w:uiPriority w:val="9"/>
    <w:semiHidden/>
    <w:rsid w:val="00DF1C95"/>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DF1C9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1C95"/>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F72685"/>
  </w:style>
  <w:style w:type="paragraph" w:styleId="Header">
    <w:name w:val="header"/>
    <w:basedOn w:val="Normal"/>
    <w:link w:val="HeaderChar"/>
    <w:uiPriority w:val="99"/>
    <w:unhideWhenUsed/>
    <w:rsid w:val="00AE5BD2"/>
    <w:pPr>
      <w:tabs>
        <w:tab w:val="center" w:pos="4680"/>
        <w:tab w:val="right" w:pos="9360"/>
      </w:tabs>
      <w:spacing w:line="240" w:lineRule="auto"/>
    </w:pPr>
  </w:style>
  <w:style w:type="character" w:customStyle="1" w:styleId="HeaderChar">
    <w:name w:val="Header Char"/>
    <w:basedOn w:val="DefaultParagraphFont"/>
    <w:link w:val="Header"/>
    <w:uiPriority w:val="99"/>
    <w:rsid w:val="00AE5BD2"/>
  </w:style>
  <w:style w:type="paragraph" w:styleId="Footer">
    <w:name w:val="footer"/>
    <w:basedOn w:val="Normal"/>
    <w:link w:val="FooterChar"/>
    <w:uiPriority w:val="99"/>
    <w:unhideWhenUsed/>
    <w:rsid w:val="00AE5BD2"/>
    <w:pPr>
      <w:tabs>
        <w:tab w:val="center" w:pos="4680"/>
        <w:tab w:val="right" w:pos="9360"/>
      </w:tabs>
      <w:spacing w:line="240" w:lineRule="auto"/>
    </w:pPr>
  </w:style>
  <w:style w:type="character" w:customStyle="1" w:styleId="FooterChar">
    <w:name w:val="Footer Char"/>
    <w:basedOn w:val="DefaultParagraphFont"/>
    <w:link w:val="Footer"/>
    <w:uiPriority w:val="99"/>
    <w:rsid w:val="00AE5B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cir.nii.ac.jp/crid/1571417125052979584" TargetMode="External"/><Relationship Id="rId26" Type="http://schemas.openxmlformats.org/officeDocument/2006/relationships/hyperlink" Target="https://www.sciencedirect.com/science/article/pii/S0959652601000397" TargetMode="External"/><Relationship Id="rId3" Type="http://schemas.openxmlformats.org/officeDocument/2006/relationships/styles" Target="styles.xml"/><Relationship Id="rId21" Type="http://schemas.openxmlformats.org/officeDocument/2006/relationships/hyperlink" Target="https://www.ingka.com/annual-summary-and-sustainability-repor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tunebusinessinsights.com/furniture-rental-service-market-106643" TargetMode="External"/><Relationship Id="rId25" Type="http://schemas.openxmlformats.org/officeDocument/2006/relationships/hyperlink" Target="https://journals.sagepub.com/doi/abs/10.1177/2158244024124063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cademic.oup.com/jcr/article-abstract/39/4/881/1798309" TargetMode="External"/><Relationship Id="rId20" Type="http://schemas.openxmlformats.org/officeDocument/2006/relationships/hyperlink" Target="https://pmc.ncbi.nlm.nih.gov/articles/PMC8831008/" TargetMode="External"/><Relationship Id="rId29" Type="http://schemas.openxmlformats.org/officeDocument/2006/relationships/hyperlink" Target="https://onlinelibrary.wiley.com/doi/abs/10.1002/bsd2.2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cholar.google.com/scholar?cluster=16813681526304238623&amp;hl=en&amp;as_sdt=2005&amp;sciodt=0,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Meletios-Niros/publication/318110302_Effective_branding_strategies_using_the_CET-CC_matrix_in_foreign_markets_The_Role_of_Consumer_Ethnocentrism_and_Confidence_on_Purchase_Intention/links/595a3cfa458515a5406fbf79/Effective-branding-strategies-using-the-CET-CC-matrix-in-foreign-markets-The-Role-of-Consumer-Ethnocentrism-and-Confidence-on-Purchase-Intention.pdf" TargetMode="External"/><Relationship Id="rId23" Type="http://schemas.openxmlformats.org/officeDocument/2006/relationships/hyperlink" Target="https://journals.sagepub.com/doi/abs/10.1177/002224299305700101" TargetMode="External"/><Relationship Id="rId28" Type="http://schemas.openxmlformats.org/officeDocument/2006/relationships/hyperlink" Target="https://onlinelibrary.wiley.com/doi/abs/10.1002/bse.2718" TargetMode="External"/><Relationship Id="rId10" Type="http://schemas.openxmlformats.org/officeDocument/2006/relationships/image" Target="media/image3.png"/><Relationship Id="rId19" Type="http://schemas.openxmlformats.org/officeDocument/2006/relationships/hyperlink" Target="https://journals.sagepub.com/doi/abs/10.1177/2158244021103608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002224299005400102" TargetMode="External"/><Relationship Id="rId22" Type="http://schemas.openxmlformats.org/officeDocument/2006/relationships/hyperlink" Target="https://www.emerald.com/bij/article-abstract/28/3/792/66300" TargetMode="External"/><Relationship Id="rId27" Type="http://schemas.openxmlformats.org/officeDocument/2006/relationships/hyperlink" Target="https://www.tandfonline.com/doi/abs/10.1080/10496491.2025.2484712" TargetMode="External"/><Relationship Id="rId30" Type="http://schemas.openxmlformats.org/officeDocument/2006/relationships/hyperlink" Target="https://www.wrap.ngo/resources/report/study-re-use-potential-household-bulky-items"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A006D-E984-4CA4-A153-F31D270E5E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6353</Words>
  <Characters>36214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2026-07-23T05:33:00Z</dcterms:created>
  <dcterms:modified xsi:type="dcterms:W3CDTF">2026-07-23T14:20:00Z</dcterms:modified>
</cp:coreProperties>
</file>