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D1B02" w14:textId="77777777" w:rsidR="004A676F" w:rsidRDefault="004A676F" w:rsidP="00150D8B">
      <w:pPr>
        <w:spacing w:line="360" w:lineRule="auto"/>
        <w:rPr>
          <w:rFonts w:ascii="Arial" w:hAnsi="Arial" w:cs="Arial"/>
          <w:b/>
          <w:bCs/>
          <w:color w:val="000000"/>
          <w:sz w:val="22"/>
          <w:szCs w:val="22"/>
        </w:rPr>
      </w:pPr>
    </w:p>
    <w:p w14:paraId="2884A63D" w14:textId="77777777" w:rsidR="004A676F" w:rsidRDefault="004A676F" w:rsidP="00150D8B">
      <w:pPr>
        <w:spacing w:line="360" w:lineRule="auto"/>
        <w:rPr>
          <w:rFonts w:ascii="Arial" w:hAnsi="Arial" w:cs="Arial"/>
          <w:b/>
          <w:bCs/>
          <w:color w:val="000000"/>
          <w:sz w:val="22"/>
          <w:szCs w:val="22"/>
        </w:rPr>
      </w:pPr>
    </w:p>
    <w:p w14:paraId="49288A96" w14:textId="77777777" w:rsidR="004A676F" w:rsidRDefault="004A676F" w:rsidP="00150D8B">
      <w:pPr>
        <w:spacing w:line="360" w:lineRule="auto"/>
        <w:rPr>
          <w:rFonts w:ascii="Arial" w:hAnsi="Arial" w:cs="Arial"/>
          <w:b/>
          <w:bCs/>
          <w:color w:val="000000"/>
          <w:sz w:val="22"/>
          <w:szCs w:val="22"/>
        </w:rPr>
      </w:pPr>
    </w:p>
    <w:p w14:paraId="298D452D" w14:textId="77777777" w:rsidR="004A676F" w:rsidRDefault="004A676F" w:rsidP="004A676F"/>
    <w:p w14:paraId="2BA39568" w14:textId="77777777" w:rsidR="004A676F" w:rsidRDefault="004A676F" w:rsidP="004A676F">
      <w:r w:rsidRPr="00C03A91">
        <w:rPr>
          <w:rFonts w:ascii="Arial" w:hAnsi="Arial" w:cs="Arial"/>
          <w:noProof/>
        </w:rPr>
        <w:drawing>
          <wp:anchor distT="0" distB="0" distL="114300" distR="114300" simplePos="0" relativeHeight="251659264" behindDoc="0" locked="0" layoutInCell="1" allowOverlap="1" wp14:anchorId="0A5D22CB" wp14:editId="320C7B9F">
            <wp:simplePos x="0" y="0"/>
            <wp:positionH relativeFrom="margin">
              <wp:posOffset>1653540</wp:posOffset>
            </wp:positionH>
            <wp:positionV relativeFrom="paragraph">
              <wp:posOffset>129540</wp:posOffset>
            </wp:positionV>
            <wp:extent cx="2148840" cy="746760"/>
            <wp:effectExtent l="0" t="0" r="381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148840" cy="74676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p>
    <w:p w14:paraId="3DA78A40" w14:textId="77777777" w:rsidR="004A676F" w:rsidRDefault="004A676F" w:rsidP="004A676F"/>
    <w:p w14:paraId="5F6FA06D" w14:textId="77777777" w:rsidR="004A676F" w:rsidRDefault="004A676F" w:rsidP="004A676F"/>
    <w:p w14:paraId="586A5402" w14:textId="77777777" w:rsidR="004A676F" w:rsidRDefault="004A676F" w:rsidP="004A676F"/>
    <w:p w14:paraId="0225A579" w14:textId="77777777" w:rsidR="004A676F" w:rsidRDefault="004A676F" w:rsidP="004A676F"/>
    <w:p w14:paraId="7949D723" w14:textId="77777777" w:rsidR="004A676F" w:rsidRDefault="004A676F" w:rsidP="004A676F"/>
    <w:p w14:paraId="20CF6529" w14:textId="77777777" w:rsidR="004A676F" w:rsidRDefault="004A676F" w:rsidP="004A676F"/>
    <w:p w14:paraId="4F68A1A5" w14:textId="77777777" w:rsidR="004A676F" w:rsidRDefault="004A676F" w:rsidP="004A676F"/>
    <w:p w14:paraId="7C0E2947" w14:textId="77777777" w:rsidR="004A676F" w:rsidRDefault="004A676F" w:rsidP="004A676F"/>
    <w:p w14:paraId="4652900A" w14:textId="77777777" w:rsidR="004A676F" w:rsidRPr="004A676F" w:rsidRDefault="004A676F" w:rsidP="004A676F"/>
    <w:p w14:paraId="686CA43A" w14:textId="77777777" w:rsidR="004A676F" w:rsidRPr="004A676F" w:rsidRDefault="004A676F" w:rsidP="004A676F">
      <w:pPr>
        <w:spacing w:line="360" w:lineRule="auto"/>
        <w:rPr>
          <w:rFonts w:ascii="Arial" w:hAnsi="Arial" w:cs="Arial"/>
          <w:b/>
          <w:bCs/>
        </w:rPr>
      </w:pPr>
      <w:r w:rsidRPr="004A676F">
        <w:rPr>
          <w:rFonts w:ascii="Arial" w:hAnsi="Arial" w:cs="Arial"/>
          <w:b/>
          <w:bCs/>
        </w:rPr>
        <w:t xml:space="preserve">Programme: </w:t>
      </w:r>
      <w:r w:rsidRPr="004A676F">
        <w:rPr>
          <w:rFonts w:ascii="Arial" w:hAnsi="Arial" w:cs="Arial"/>
        </w:rPr>
        <w:t>BSc (Hons) Health and Social Care</w:t>
      </w:r>
    </w:p>
    <w:p w14:paraId="2AE521AF" w14:textId="77777777" w:rsidR="004A676F" w:rsidRPr="004A676F" w:rsidRDefault="004A676F" w:rsidP="004A676F">
      <w:pPr>
        <w:tabs>
          <w:tab w:val="left" w:pos="6540"/>
        </w:tabs>
        <w:spacing w:line="360" w:lineRule="auto"/>
        <w:rPr>
          <w:rFonts w:ascii="Arial" w:hAnsi="Arial" w:cs="Arial"/>
          <w:lang w:val="nl-NL"/>
        </w:rPr>
      </w:pPr>
      <w:r w:rsidRPr="004A676F">
        <w:rPr>
          <w:rFonts w:ascii="Arial" w:hAnsi="Arial" w:cs="Arial"/>
          <w:b/>
          <w:bCs/>
          <w:lang w:val="nl-NL"/>
        </w:rPr>
        <w:t>Module name</w:t>
      </w:r>
      <w:r w:rsidRPr="004A676F">
        <w:rPr>
          <w:rFonts w:ascii="Arial" w:hAnsi="Arial" w:cs="Arial"/>
          <w:lang w:val="nl-NL"/>
        </w:rPr>
        <w:t xml:space="preserve">: </w:t>
      </w:r>
      <w:r w:rsidRPr="004A676F">
        <w:rPr>
          <w:rFonts w:ascii="Arial" w:hAnsi="Arial" w:cs="Arial"/>
        </w:rPr>
        <w:t>Changemakers: Creativity and Value Creation</w:t>
      </w:r>
    </w:p>
    <w:p w14:paraId="3349FD88" w14:textId="77777777" w:rsidR="004A676F" w:rsidRPr="004A676F" w:rsidRDefault="004A676F" w:rsidP="004A676F">
      <w:pPr>
        <w:tabs>
          <w:tab w:val="left" w:pos="6540"/>
        </w:tabs>
        <w:spacing w:line="360" w:lineRule="auto"/>
        <w:rPr>
          <w:rFonts w:ascii="Arial" w:hAnsi="Arial" w:cs="Arial"/>
        </w:rPr>
      </w:pPr>
      <w:r w:rsidRPr="004A676F">
        <w:rPr>
          <w:rFonts w:ascii="Arial" w:hAnsi="Arial" w:cs="Arial"/>
          <w:b/>
          <w:bCs/>
        </w:rPr>
        <w:t>Module code</w:t>
      </w:r>
      <w:r w:rsidRPr="004A676F">
        <w:rPr>
          <w:rFonts w:ascii="Arial" w:hAnsi="Arial" w:cs="Arial"/>
        </w:rPr>
        <w:t>: BMHP5014</w:t>
      </w:r>
    </w:p>
    <w:p w14:paraId="389024C5" w14:textId="77777777" w:rsidR="004A676F" w:rsidRPr="004A676F" w:rsidRDefault="004A676F" w:rsidP="004A676F">
      <w:pPr>
        <w:tabs>
          <w:tab w:val="left" w:pos="6540"/>
        </w:tabs>
        <w:spacing w:line="360" w:lineRule="auto"/>
        <w:rPr>
          <w:rFonts w:ascii="Arial" w:hAnsi="Arial" w:cs="Arial"/>
        </w:rPr>
      </w:pPr>
      <w:r w:rsidRPr="004A676F">
        <w:rPr>
          <w:rFonts w:ascii="Arial" w:hAnsi="Arial" w:cs="Arial"/>
          <w:b/>
          <w:bCs/>
        </w:rPr>
        <w:t>Assignment Title:</w:t>
      </w:r>
      <w:r w:rsidRPr="004A676F">
        <w:rPr>
          <w:rFonts w:ascii="Arial" w:hAnsi="Arial" w:cs="Arial"/>
        </w:rPr>
        <w:t xml:space="preserve"> Component 2</w:t>
      </w:r>
    </w:p>
    <w:p w14:paraId="0CDF75A8" w14:textId="77777777" w:rsidR="004A676F" w:rsidRPr="004A676F" w:rsidRDefault="004A676F" w:rsidP="004A676F">
      <w:pPr>
        <w:tabs>
          <w:tab w:val="left" w:pos="6540"/>
        </w:tabs>
        <w:spacing w:line="360" w:lineRule="auto"/>
        <w:rPr>
          <w:rFonts w:ascii="Arial" w:hAnsi="Arial" w:cs="Arial"/>
          <w:lang w:val="nl-NL"/>
        </w:rPr>
      </w:pPr>
      <w:r w:rsidRPr="004A676F">
        <w:rPr>
          <w:rFonts w:ascii="Arial" w:hAnsi="Arial" w:cs="Arial"/>
          <w:b/>
          <w:bCs/>
          <w:lang w:val="nl-NL"/>
        </w:rPr>
        <w:t>Student name</w:t>
      </w:r>
      <w:r w:rsidRPr="004A676F">
        <w:rPr>
          <w:rFonts w:ascii="Arial" w:hAnsi="Arial" w:cs="Arial"/>
          <w:lang w:val="nl-NL"/>
        </w:rPr>
        <w:t>: Cheila Tavares</w:t>
      </w:r>
    </w:p>
    <w:p w14:paraId="73B16A92" w14:textId="77777777" w:rsidR="004A676F" w:rsidRPr="004A676F" w:rsidRDefault="004A676F" w:rsidP="004A676F">
      <w:pPr>
        <w:tabs>
          <w:tab w:val="left" w:pos="6540"/>
        </w:tabs>
        <w:spacing w:line="360" w:lineRule="auto"/>
        <w:rPr>
          <w:rFonts w:ascii="Arial" w:hAnsi="Arial" w:cs="Arial"/>
          <w:lang w:val="nl-NL"/>
        </w:rPr>
      </w:pPr>
      <w:r w:rsidRPr="004A676F">
        <w:rPr>
          <w:rFonts w:ascii="Arial" w:hAnsi="Arial" w:cs="Arial"/>
          <w:b/>
          <w:bCs/>
          <w:lang w:val="nl-NL"/>
        </w:rPr>
        <w:t>Student ID</w:t>
      </w:r>
      <w:r w:rsidRPr="004A676F">
        <w:rPr>
          <w:rFonts w:ascii="Arial" w:hAnsi="Arial" w:cs="Arial"/>
          <w:lang w:val="nl-NL"/>
        </w:rPr>
        <w:t>: 2430825</w:t>
      </w:r>
    </w:p>
    <w:p w14:paraId="5D9B7A0E" w14:textId="467467C8" w:rsidR="004A676F" w:rsidRPr="004A676F" w:rsidRDefault="004A676F" w:rsidP="004A676F">
      <w:pPr>
        <w:tabs>
          <w:tab w:val="left" w:pos="6540"/>
        </w:tabs>
        <w:spacing w:line="360" w:lineRule="auto"/>
        <w:rPr>
          <w:rFonts w:ascii="Arial" w:hAnsi="Arial" w:cs="Arial"/>
        </w:rPr>
      </w:pPr>
      <w:r w:rsidRPr="004A676F">
        <w:rPr>
          <w:rFonts w:ascii="Arial" w:hAnsi="Arial" w:cs="Arial"/>
          <w:b/>
          <w:bCs/>
        </w:rPr>
        <w:t>Lecturer name</w:t>
      </w:r>
      <w:r w:rsidRPr="004A676F">
        <w:rPr>
          <w:rFonts w:ascii="Arial" w:hAnsi="Arial" w:cs="Arial"/>
        </w:rPr>
        <w:t>: Caroline Salami </w:t>
      </w:r>
    </w:p>
    <w:p w14:paraId="79DC59A8" w14:textId="77777777" w:rsidR="004A676F" w:rsidRDefault="004A676F" w:rsidP="00150D8B">
      <w:pPr>
        <w:spacing w:line="360" w:lineRule="auto"/>
        <w:rPr>
          <w:rFonts w:ascii="Arial" w:hAnsi="Arial" w:cs="Arial"/>
          <w:b/>
          <w:bCs/>
          <w:color w:val="000000"/>
          <w:sz w:val="22"/>
          <w:szCs w:val="22"/>
        </w:rPr>
      </w:pPr>
    </w:p>
    <w:p w14:paraId="658147BB" w14:textId="77777777" w:rsidR="004A676F" w:rsidRDefault="004A676F" w:rsidP="00150D8B">
      <w:pPr>
        <w:spacing w:line="360" w:lineRule="auto"/>
        <w:rPr>
          <w:rFonts w:ascii="Arial" w:hAnsi="Arial" w:cs="Arial"/>
          <w:b/>
          <w:bCs/>
          <w:color w:val="000000"/>
          <w:sz w:val="22"/>
          <w:szCs w:val="22"/>
        </w:rPr>
      </w:pPr>
    </w:p>
    <w:p w14:paraId="2ADD7381" w14:textId="77777777" w:rsidR="004A676F" w:rsidRDefault="004A676F" w:rsidP="00150D8B">
      <w:pPr>
        <w:spacing w:line="360" w:lineRule="auto"/>
        <w:rPr>
          <w:rFonts w:ascii="Arial" w:hAnsi="Arial" w:cs="Arial"/>
          <w:b/>
          <w:bCs/>
          <w:color w:val="000000"/>
          <w:sz w:val="22"/>
          <w:szCs w:val="22"/>
        </w:rPr>
      </w:pPr>
    </w:p>
    <w:p w14:paraId="63894F99" w14:textId="77777777" w:rsidR="004A676F" w:rsidRDefault="004A676F" w:rsidP="00150D8B">
      <w:pPr>
        <w:spacing w:line="360" w:lineRule="auto"/>
        <w:rPr>
          <w:rFonts w:ascii="Arial" w:hAnsi="Arial" w:cs="Arial"/>
          <w:b/>
          <w:bCs/>
          <w:color w:val="000000"/>
          <w:sz w:val="22"/>
          <w:szCs w:val="22"/>
        </w:rPr>
      </w:pPr>
    </w:p>
    <w:p w14:paraId="39009831" w14:textId="77777777" w:rsidR="004A676F" w:rsidRDefault="004A676F" w:rsidP="00150D8B">
      <w:pPr>
        <w:spacing w:line="360" w:lineRule="auto"/>
        <w:rPr>
          <w:rFonts w:ascii="Arial" w:hAnsi="Arial" w:cs="Arial"/>
          <w:b/>
          <w:bCs/>
          <w:color w:val="000000"/>
          <w:sz w:val="22"/>
          <w:szCs w:val="22"/>
        </w:rPr>
      </w:pPr>
    </w:p>
    <w:p w14:paraId="078AEB9F" w14:textId="77777777" w:rsidR="004A676F" w:rsidRDefault="004A676F" w:rsidP="00150D8B">
      <w:pPr>
        <w:spacing w:line="360" w:lineRule="auto"/>
        <w:rPr>
          <w:rFonts w:ascii="Arial" w:hAnsi="Arial" w:cs="Arial"/>
          <w:b/>
          <w:bCs/>
          <w:color w:val="000000"/>
          <w:sz w:val="22"/>
          <w:szCs w:val="22"/>
        </w:rPr>
      </w:pPr>
    </w:p>
    <w:sdt>
      <w:sdtPr>
        <w:id w:val="-109394184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792641C" w14:textId="185A6874" w:rsidR="004A676F" w:rsidRDefault="004A676F">
          <w:pPr>
            <w:pStyle w:val="TOCHeading"/>
          </w:pPr>
          <w:r>
            <w:t>Contents</w:t>
          </w:r>
        </w:p>
        <w:p w14:paraId="14DD07BF" w14:textId="29C8036C" w:rsidR="004A676F" w:rsidRDefault="004A676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37011414" w:history="1">
            <w:r w:rsidRPr="00B47DF1">
              <w:rPr>
                <w:rStyle w:val="Hyperlink"/>
                <w:noProof/>
              </w:rPr>
              <w:t>Title : MindShift: Confidential Digital Mental Health Support for Frontline Care Workers</w:t>
            </w:r>
            <w:r>
              <w:rPr>
                <w:noProof/>
                <w:webHidden/>
              </w:rPr>
              <w:tab/>
            </w:r>
            <w:r>
              <w:rPr>
                <w:noProof/>
                <w:webHidden/>
              </w:rPr>
              <w:fldChar w:fldCharType="begin"/>
            </w:r>
            <w:r>
              <w:rPr>
                <w:noProof/>
                <w:webHidden/>
              </w:rPr>
              <w:instrText xml:space="preserve"> PAGEREF _Toc237011414 \h </w:instrText>
            </w:r>
            <w:r>
              <w:rPr>
                <w:noProof/>
                <w:webHidden/>
              </w:rPr>
            </w:r>
            <w:r>
              <w:rPr>
                <w:noProof/>
                <w:webHidden/>
              </w:rPr>
              <w:fldChar w:fldCharType="separate"/>
            </w:r>
            <w:r>
              <w:rPr>
                <w:noProof/>
                <w:webHidden/>
              </w:rPr>
              <w:t>3</w:t>
            </w:r>
            <w:r>
              <w:rPr>
                <w:noProof/>
                <w:webHidden/>
              </w:rPr>
              <w:fldChar w:fldCharType="end"/>
            </w:r>
          </w:hyperlink>
        </w:p>
        <w:p w14:paraId="7E7EF22A" w14:textId="76C386A3" w:rsidR="004A676F" w:rsidRDefault="004A676F">
          <w:pPr>
            <w:pStyle w:val="TOC1"/>
            <w:tabs>
              <w:tab w:val="right" w:leader="dot" w:pos="9350"/>
            </w:tabs>
            <w:rPr>
              <w:rFonts w:eastAsiaTheme="minorEastAsia"/>
              <w:noProof/>
              <w:lang w:eastAsia="en-GB"/>
            </w:rPr>
          </w:pPr>
          <w:hyperlink w:anchor="_Toc237011415" w:history="1">
            <w:r w:rsidRPr="00B47DF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_Toc237011415 \h </w:instrText>
            </w:r>
            <w:r>
              <w:rPr>
                <w:noProof/>
                <w:webHidden/>
              </w:rPr>
            </w:r>
            <w:r>
              <w:rPr>
                <w:noProof/>
                <w:webHidden/>
              </w:rPr>
              <w:fldChar w:fldCharType="separate"/>
            </w:r>
            <w:r>
              <w:rPr>
                <w:noProof/>
                <w:webHidden/>
              </w:rPr>
              <w:t>4</w:t>
            </w:r>
            <w:r>
              <w:rPr>
                <w:noProof/>
                <w:webHidden/>
              </w:rPr>
              <w:fldChar w:fldCharType="end"/>
            </w:r>
          </w:hyperlink>
        </w:p>
        <w:p w14:paraId="671D35E8" w14:textId="155097EB" w:rsidR="004A676F" w:rsidRDefault="004A676F">
          <w:pPr>
            <w:pStyle w:val="TOC1"/>
            <w:tabs>
              <w:tab w:val="right" w:leader="dot" w:pos="9350"/>
            </w:tabs>
            <w:rPr>
              <w:rFonts w:eastAsiaTheme="minorEastAsia"/>
              <w:noProof/>
              <w:lang w:eastAsia="en-GB"/>
            </w:rPr>
          </w:pPr>
          <w:hyperlink w:anchor="_Toc237011416" w:history="1">
            <w:r w:rsidRPr="00B47DF1">
              <w:rPr>
                <w:rStyle w:val="Hyperlink"/>
                <w:noProof/>
              </w:rPr>
              <w:t>Background</w:t>
            </w:r>
            <w:r>
              <w:rPr>
                <w:noProof/>
                <w:webHidden/>
              </w:rPr>
              <w:tab/>
            </w:r>
            <w:r>
              <w:rPr>
                <w:noProof/>
                <w:webHidden/>
              </w:rPr>
              <w:fldChar w:fldCharType="begin"/>
            </w:r>
            <w:r>
              <w:rPr>
                <w:noProof/>
                <w:webHidden/>
              </w:rPr>
              <w:instrText xml:space="preserve"> PAGEREF _Toc237011416 \h </w:instrText>
            </w:r>
            <w:r>
              <w:rPr>
                <w:noProof/>
                <w:webHidden/>
              </w:rPr>
            </w:r>
            <w:r>
              <w:rPr>
                <w:noProof/>
                <w:webHidden/>
              </w:rPr>
              <w:fldChar w:fldCharType="separate"/>
            </w:r>
            <w:r>
              <w:rPr>
                <w:noProof/>
                <w:webHidden/>
              </w:rPr>
              <w:t>5</w:t>
            </w:r>
            <w:r>
              <w:rPr>
                <w:noProof/>
                <w:webHidden/>
              </w:rPr>
              <w:fldChar w:fldCharType="end"/>
            </w:r>
          </w:hyperlink>
        </w:p>
        <w:p w14:paraId="66AA00D6" w14:textId="00AD9DFF" w:rsidR="004A676F" w:rsidRDefault="004A676F">
          <w:pPr>
            <w:pStyle w:val="TOC1"/>
            <w:tabs>
              <w:tab w:val="right" w:leader="dot" w:pos="9350"/>
            </w:tabs>
            <w:rPr>
              <w:rFonts w:eastAsiaTheme="minorEastAsia"/>
              <w:noProof/>
              <w:lang w:eastAsia="en-GB"/>
            </w:rPr>
          </w:pPr>
          <w:hyperlink w:anchor="_Toc237011417" w:history="1">
            <w:r w:rsidRPr="00B47DF1">
              <w:rPr>
                <w:rStyle w:val="Hyperlink"/>
                <w:noProof/>
              </w:rPr>
              <w:t>Innovation Description</w:t>
            </w:r>
            <w:r>
              <w:rPr>
                <w:noProof/>
                <w:webHidden/>
              </w:rPr>
              <w:tab/>
            </w:r>
            <w:r>
              <w:rPr>
                <w:noProof/>
                <w:webHidden/>
              </w:rPr>
              <w:fldChar w:fldCharType="begin"/>
            </w:r>
            <w:r>
              <w:rPr>
                <w:noProof/>
                <w:webHidden/>
              </w:rPr>
              <w:instrText xml:space="preserve"> PAGEREF _Toc237011417 \h </w:instrText>
            </w:r>
            <w:r>
              <w:rPr>
                <w:noProof/>
                <w:webHidden/>
              </w:rPr>
            </w:r>
            <w:r>
              <w:rPr>
                <w:noProof/>
                <w:webHidden/>
              </w:rPr>
              <w:fldChar w:fldCharType="separate"/>
            </w:r>
            <w:r>
              <w:rPr>
                <w:noProof/>
                <w:webHidden/>
              </w:rPr>
              <w:t>5</w:t>
            </w:r>
            <w:r>
              <w:rPr>
                <w:noProof/>
                <w:webHidden/>
              </w:rPr>
              <w:fldChar w:fldCharType="end"/>
            </w:r>
          </w:hyperlink>
        </w:p>
        <w:p w14:paraId="22EEFFBD" w14:textId="60AE31ED" w:rsidR="004A676F" w:rsidRDefault="004A676F">
          <w:pPr>
            <w:pStyle w:val="TOC1"/>
            <w:tabs>
              <w:tab w:val="right" w:leader="dot" w:pos="9350"/>
            </w:tabs>
            <w:rPr>
              <w:rFonts w:eastAsiaTheme="minorEastAsia"/>
              <w:noProof/>
              <w:lang w:eastAsia="en-GB"/>
            </w:rPr>
          </w:pPr>
          <w:hyperlink w:anchor="_Toc237011418" w:history="1">
            <w:r w:rsidRPr="00B47DF1">
              <w:rPr>
                <w:rStyle w:val="Hyperlink"/>
                <w:noProof/>
              </w:rPr>
              <w:t>Public and Stakeholder Involvement</w:t>
            </w:r>
            <w:r>
              <w:rPr>
                <w:noProof/>
                <w:webHidden/>
              </w:rPr>
              <w:tab/>
            </w:r>
            <w:r>
              <w:rPr>
                <w:noProof/>
                <w:webHidden/>
              </w:rPr>
              <w:fldChar w:fldCharType="begin"/>
            </w:r>
            <w:r>
              <w:rPr>
                <w:noProof/>
                <w:webHidden/>
              </w:rPr>
              <w:instrText xml:space="preserve"> PAGEREF _Toc237011418 \h </w:instrText>
            </w:r>
            <w:r>
              <w:rPr>
                <w:noProof/>
                <w:webHidden/>
              </w:rPr>
            </w:r>
            <w:r>
              <w:rPr>
                <w:noProof/>
                <w:webHidden/>
              </w:rPr>
              <w:fldChar w:fldCharType="separate"/>
            </w:r>
            <w:r>
              <w:rPr>
                <w:noProof/>
                <w:webHidden/>
              </w:rPr>
              <w:t>6</w:t>
            </w:r>
            <w:r>
              <w:rPr>
                <w:noProof/>
                <w:webHidden/>
              </w:rPr>
              <w:fldChar w:fldCharType="end"/>
            </w:r>
          </w:hyperlink>
        </w:p>
        <w:p w14:paraId="45D5C203" w14:textId="3E2F9BFA" w:rsidR="004A676F" w:rsidRDefault="004A676F">
          <w:pPr>
            <w:pStyle w:val="TOC1"/>
            <w:tabs>
              <w:tab w:val="right" w:leader="dot" w:pos="9350"/>
            </w:tabs>
            <w:rPr>
              <w:rFonts w:eastAsiaTheme="minorEastAsia"/>
              <w:noProof/>
              <w:lang w:eastAsia="en-GB"/>
            </w:rPr>
          </w:pPr>
          <w:hyperlink w:anchor="_Toc237011419" w:history="1">
            <w:r w:rsidRPr="00B47DF1">
              <w:rPr>
                <w:rStyle w:val="Hyperlink"/>
                <w:noProof/>
              </w:rPr>
              <w:t>Policies, Services and Professional Links</w:t>
            </w:r>
            <w:r>
              <w:rPr>
                <w:noProof/>
                <w:webHidden/>
              </w:rPr>
              <w:tab/>
            </w:r>
            <w:r>
              <w:rPr>
                <w:noProof/>
                <w:webHidden/>
              </w:rPr>
              <w:fldChar w:fldCharType="begin"/>
            </w:r>
            <w:r>
              <w:rPr>
                <w:noProof/>
                <w:webHidden/>
              </w:rPr>
              <w:instrText xml:space="preserve"> PAGEREF _Toc237011419 \h </w:instrText>
            </w:r>
            <w:r>
              <w:rPr>
                <w:noProof/>
                <w:webHidden/>
              </w:rPr>
            </w:r>
            <w:r>
              <w:rPr>
                <w:noProof/>
                <w:webHidden/>
              </w:rPr>
              <w:fldChar w:fldCharType="separate"/>
            </w:r>
            <w:r>
              <w:rPr>
                <w:noProof/>
                <w:webHidden/>
              </w:rPr>
              <w:t>7</w:t>
            </w:r>
            <w:r>
              <w:rPr>
                <w:noProof/>
                <w:webHidden/>
              </w:rPr>
              <w:fldChar w:fldCharType="end"/>
            </w:r>
          </w:hyperlink>
        </w:p>
        <w:p w14:paraId="3480CA74" w14:textId="13B515B5" w:rsidR="004A676F" w:rsidRDefault="004A676F">
          <w:pPr>
            <w:pStyle w:val="TOC1"/>
            <w:tabs>
              <w:tab w:val="right" w:leader="dot" w:pos="9350"/>
            </w:tabs>
            <w:rPr>
              <w:rFonts w:eastAsiaTheme="minorEastAsia"/>
              <w:noProof/>
              <w:lang w:eastAsia="en-GB"/>
            </w:rPr>
          </w:pPr>
          <w:hyperlink w:anchor="_Toc237011420" w:history="1">
            <w:r w:rsidRPr="00B47DF1">
              <w:rPr>
                <w:rStyle w:val="Hyperlink"/>
                <w:noProof/>
              </w:rPr>
              <w:t>Conclusion</w:t>
            </w:r>
            <w:r>
              <w:rPr>
                <w:noProof/>
                <w:webHidden/>
              </w:rPr>
              <w:tab/>
            </w:r>
            <w:r>
              <w:rPr>
                <w:noProof/>
                <w:webHidden/>
              </w:rPr>
              <w:fldChar w:fldCharType="begin"/>
            </w:r>
            <w:r>
              <w:rPr>
                <w:noProof/>
                <w:webHidden/>
              </w:rPr>
              <w:instrText xml:space="preserve"> PAGEREF _Toc237011420 \h </w:instrText>
            </w:r>
            <w:r>
              <w:rPr>
                <w:noProof/>
                <w:webHidden/>
              </w:rPr>
            </w:r>
            <w:r>
              <w:rPr>
                <w:noProof/>
                <w:webHidden/>
              </w:rPr>
              <w:fldChar w:fldCharType="separate"/>
            </w:r>
            <w:r>
              <w:rPr>
                <w:noProof/>
                <w:webHidden/>
              </w:rPr>
              <w:t>8</w:t>
            </w:r>
            <w:r>
              <w:rPr>
                <w:noProof/>
                <w:webHidden/>
              </w:rPr>
              <w:fldChar w:fldCharType="end"/>
            </w:r>
          </w:hyperlink>
        </w:p>
        <w:p w14:paraId="4BE3840E" w14:textId="3506DEB2" w:rsidR="004A676F" w:rsidRDefault="004A676F">
          <w:pPr>
            <w:pStyle w:val="TOC1"/>
            <w:tabs>
              <w:tab w:val="right" w:leader="dot" w:pos="9350"/>
            </w:tabs>
            <w:rPr>
              <w:rFonts w:eastAsiaTheme="minorEastAsia"/>
              <w:noProof/>
              <w:lang w:eastAsia="en-GB"/>
            </w:rPr>
          </w:pPr>
          <w:hyperlink w:anchor="_Toc237011421" w:history="1">
            <w:r w:rsidRPr="00B47DF1">
              <w:rPr>
                <w:rStyle w:val="Hyperlink"/>
                <w:rFonts w:eastAsia="Times New Roman"/>
                <w:b/>
                <w:bCs/>
                <w:noProof/>
                <w:kern w:val="0"/>
                <w:lang w:val="en-US"/>
                <w14:ligatures w14:val="none"/>
              </w:rPr>
              <w:t>References</w:t>
            </w:r>
            <w:r>
              <w:rPr>
                <w:noProof/>
                <w:webHidden/>
              </w:rPr>
              <w:tab/>
            </w:r>
            <w:r>
              <w:rPr>
                <w:noProof/>
                <w:webHidden/>
              </w:rPr>
              <w:fldChar w:fldCharType="begin"/>
            </w:r>
            <w:r>
              <w:rPr>
                <w:noProof/>
                <w:webHidden/>
              </w:rPr>
              <w:instrText xml:space="preserve"> PAGEREF _Toc237011421 \h </w:instrText>
            </w:r>
            <w:r>
              <w:rPr>
                <w:noProof/>
                <w:webHidden/>
              </w:rPr>
            </w:r>
            <w:r>
              <w:rPr>
                <w:noProof/>
                <w:webHidden/>
              </w:rPr>
              <w:fldChar w:fldCharType="separate"/>
            </w:r>
            <w:r>
              <w:rPr>
                <w:noProof/>
                <w:webHidden/>
              </w:rPr>
              <w:t>9</w:t>
            </w:r>
            <w:r>
              <w:rPr>
                <w:noProof/>
                <w:webHidden/>
              </w:rPr>
              <w:fldChar w:fldCharType="end"/>
            </w:r>
          </w:hyperlink>
        </w:p>
        <w:p w14:paraId="16172DF6" w14:textId="724DE499" w:rsidR="004A676F" w:rsidRDefault="004A676F">
          <w:r>
            <w:rPr>
              <w:b/>
              <w:bCs/>
            </w:rPr>
            <w:fldChar w:fldCharType="end"/>
          </w:r>
        </w:p>
      </w:sdtContent>
    </w:sdt>
    <w:p w14:paraId="413ACB34" w14:textId="77777777" w:rsidR="004A676F" w:rsidRDefault="004A676F" w:rsidP="00150D8B">
      <w:pPr>
        <w:spacing w:line="360" w:lineRule="auto"/>
        <w:rPr>
          <w:rFonts w:ascii="Arial" w:hAnsi="Arial" w:cs="Arial"/>
          <w:b/>
          <w:bCs/>
          <w:color w:val="000000"/>
          <w:sz w:val="22"/>
          <w:szCs w:val="22"/>
        </w:rPr>
      </w:pPr>
    </w:p>
    <w:p w14:paraId="5E14BFB4" w14:textId="77777777" w:rsidR="004A676F" w:rsidRDefault="004A676F" w:rsidP="00150D8B">
      <w:pPr>
        <w:spacing w:line="360" w:lineRule="auto"/>
        <w:rPr>
          <w:rFonts w:ascii="Arial" w:hAnsi="Arial" w:cs="Arial"/>
          <w:b/>
          <w:bCs/>
          <w:color w:val="000000"/>
          <w:sz w:val="22"/>
          <w:szCs w:val="22"/>
        </w:rPr>
      </w:pPr>
    </w:p>
    <w:p w14:paraId="145CCDE4" w14:textId="77777777" w:rsidR="004A676F" w:rsidRDefault="004A676F" w:rsidP="00150D8B">
      <w:pPr>
        <w:spacing w:line="360" w:lineRule="auto"/>
        <w:rPr>
          <w:rFonts w:ascii="Arial" w:hAnsi="Arial" w:cs="Arial"/>
          <w:b/>
          <w:bCs/>
          <w:color w:val="000000"/>
          <w:sz w:val="22"/>
          <w:szCs w:val="22"/>
        </w:rPr>
      </w:pPr>
    </w:p>
    <w:p w14:paraId="63857A4A" w14:textId="77777777" w:rsidR="004A676F" w:rsidRDefault="004A676F" w:rsidP="00150D8B">
      <w:pPr>
        <w:spacing w:line="360" w:lineRule="auto"/>
        <w:rPr>
          <w:rFonts w:ascii="Arial" w:hAnsi="Arial" w:cs="Arial"/>
          <w:b/>
          <w:bCs/>
          <w:color w:val="000000"/>
          <w:sz w:val="22"/>
          <w:szCs w:val="22"/>
        </w:rPr>
      </w:pPr>
    </w:p>
    <w:p w14:paraId="398F7462" w14:textId="77777777" w:rsidR="004A676F" w:rsidRDefault="004A676F" w:rsidP="00150D8B">
      <w:pPr>
        <w:spacing w:line="360" w:lineRule="auto"/>
        <w:rPr>
          <w:rFonts w:ascii="Arial" w:hAnsi="Arial" w:cs="Arial"/>
          <w:b/>
          <w:bCs/>
          <w:color w:val="000000"/>
          <w:sz w:val="22"/>
          <w:szCs w:val="22"/>
        </w:rPr>
      </w:pPr>
    </w:p>
    <w:p w14:paraId="2F088D41" w14:textId="77777777" w:rsidR="004A676F" w:rsidRDefault="004A676F" w:rsidP="00150D8B">
      <w:pPr>
        <w:spacing w:line="360" w:lineRule="auto"/>
        <w:rPr>
          <w:rFonts w:ascii="Arial" w:hAnsi="Arial" w:cs="Arial"/>
          <w:b/>
          <w:bCs/>
          <w:color w:val="000000"/>
          <w:sz w:val="22"/>
          <w:szCs w:val="22"/>
        </w:rPr>
      </w:pPr>
    </w:p>
    <w:p w14:paraId="2BC1169D" w14:textId="77777777" w:rsidR="004A676F" w:rsidRDefault="004A676F" w:rsidP="004A676F">
      <w:pPr>
        <w:pStyle w:val="Heading1"/>
      </w:pPr>
    </w:p>
    <w:p w14:paraId="3241977E" w14:textId="77777777" w:rsidR="004A676F" w:rsidRDefault="004A676F" w:rsidP="004A676F"/>
    <w:p w14:paraId="327F83B7" w14:textId="77777777" w:rsidR="004A676F" w:rsidRDefault="004A676F" w:rsidP="004A676F"/>
    <w:p w14:paraId="7655CE1A" w14:textId="77777777" w:rsidR="004A676F" w:rsidRPr="004A676F" w:rsidRDefault="004A676F" w:rsidP="004A676F"/>
    <w:p w14:paraId="74A7F80F" w14:textId="0CA4DD0E" w:rsidR="0045705C" w:rsidRPr="00150D8B" w:rsidRDefault="004C73D5" w:rsidP="004A676F">
      <w:pPr>
        <w:pStyle w:val="Heading1"/>
        <w:rPr>
          <w:sz w:val="22"/>
          <w:szCs w:val="22"/>
        </w:rPr>
      </w:pPr>
      <w:r w:rsidRPr="004A676F">
        <w:lastRenderedPageBreak/>
        <w:t xml:space="preserve"> </w:t>
      </w:r>
      <w:bookmarkStart w:id="0" w:name="_Toc237011414"/>
      <w:proofErr w:type="gramStart"/>
      <w:r w:rsidRPr="004A676F">
        <w:t>Title :</w:t>
      </w:r>
      <w:proofErr w:type="gramEnd"/>
      <w:r w:rsidRPr="004A676F">
        <w:t xml:space="preserve"> </w:t>
      </w:r>
      <w:proofErr w:type="spellStart"/>
      <w:r w:rsidRPr="004A676F">
        <w:t>MindShift</w:t>
      </w:r>
      <w:proofErr w:type="spellEnd"/>
      <w:r w:rsidRPr="004A676F">
        <w:t>: Confidential Digital Mental Health Support for Frontline Care Workers</w:t>
      </w:r>
      <w:bookmarkEnd w:id="0"/>
    </w:p>
    <w:p w14:paraId="5917AA8B" w14:textId="77777777" w:rsidR="004C73D5" w:rsidRPr="00150D8B" w:rsidRDefault="004C73D5" w:rsidP="00150D8B">
      <w:pPr>
        <w:spacing w:line="360" w:lineRule="auto"/>
        <w:rPr>
          <w:rFonts w:ascii="Arial" w:hAnsi="Arial" w:cs="Arial"/>
          <w:color w:val="000000"/>
          <w:sz w:val="22"/>
          <w:szCs w:val="22"/>
        </w:rPr>
      </w:pPr>
    </w:p>
    <w:p w14:paraId="1041B7F7" w14:textId="2BD8BE30" w:rsidR="004C73D5" w:rsidRPr="00150D8B" w:rsidRDefault="004C73D5" w:rsidP="00150D8B">
      <w:pPr>
        <w:spacing w:line="360" w:lineRule="auto"/>
        <w:rPr>
          <w:rFonts w:ascii="Arial" w:hAnsi="Arial" w:cs="Arial"/>
          <w:sz w:val="22"/>
          <w:szCs w:val="22"/>
        </w:rPr>
      </w:pPr>
    </w:p>
    <w:p w14:paraId="5FEA8DDC" w14:textId="77777777" w:rsidR="004C73D5" w:rsidRPr="00150D8B" w:rsidRDefault="004C73D5" w:rsidP="00150D8B">
      <w:pPr>
        <w:spacing w:line="360" w:lineRule="auto"/>
        <w:rPr>
          <w:rFonts w:ascii="Arial" w:hAnsi="Arial" w:cs="Arial"/>
          <w:sz w:val="22"/>
          <w:szCs w:val="22"/>
        </w:rPr>
      </w:pPr>
    </w:p>
    <w:p w14:paraId="73C9C958" w14:textId="7DB30AC8" w:rsidR="004C73D5" w:rsidRPr="00150D8B" w:rsidRDefault="00150D8B" w:rsidP="00150D8B">
      <w:pPr>
        <w:spacing w:line="360" w:lineRule="auto"/>
        <w:rPr>
          <w:rFonts w:ascii="Arial" w:hAnsi="Arial" w:cs="Arial"/>
          <w:sz w:val="22"/>
          <w:szCs w:val="22"/>
        </w:rPr>
      </w:pPr>
      <w:r>
        <w:rPr>
          <w:rFonts w:ascii="Arial" w:hAnsi="Arial" w:cs="Arial"/>
          <w:noProof/>
          <w:sz w:val="22"/>
          <w:szCs w:val="22"/>
        </w:rPr>
        <w:drawing>
          <wp:inline distT="0" distB="0" distL="0" distR="0" wp14:anchorId="58B1886D" wp14:editId="08E679E9">
            <wp:extent cx="5943600" cy="5943600"/>
            <wp:effectExtent l="0" t="0" r="0" b="0"/>
            <wp:docPr id="468932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932338" name="Picture 468932338"/>
                    <pic:cNvPicPr/>
                  </pic:nvPicPr>
                  <pic:blipFill>
                    <a:blip r:embed="rId7"/>
                    <a:stretch>
                      <a:fillRect/>
                    </a:stretch>
                  </pic:blipFill>
                  <pic:spPr>
                    <a:xfrm>
                      <a:off x="0" y="0"/>
                      <a:ext cx="5943600" cy="5943600"/>
                    </a:xfrm>
                    <a:prstGeom prst="rect">
                      <a:avLst/>
                    </a:prstGeom>
                  </pic:spPr>
                </pic:pic>
              </a:graphicData>
            </a:graphic>
          </wp:inline>
        </w:drawing>
      </w:r>
    </w:p>
    <w:p w14:paraId="2D3AB0CF" w14:textId="77777777" w:rsidR="004C73D5" w:rsidRPr="00150D8B" w:rsidRDefault="004C73D5" w:rsidP="00150D8B">
      <w:pPr>
        <w:spacing w:line="360" w:lineRule="auto"/>
        <w:rPr>
          <w:rFonts w:ascii="Arial" w:hAnsi="Arial" w:cs="Arial"/>
          <w:sz w:val="22"/>
          <w:szCs w:val="22"/>
        </w:rPr>
      </w:pPr>
    </w:p>
    <w:p w14:paraId="2F3003A8" w14:textId="77777777" w:rsidR="004C73D5" w:rsidRPr="00150D8B" w:rsidRDefault="004C73D5" w:rsidP="00150D8B">
      <w:pPr>
        <w:spacing w:line="360" w:lineRule="auto"/>
        <w:rPr>
          <w:rFonts w:ascii="Arial" w:hAnsi="Arial" w:cs="Arial"/>
          <w:sz w:val="22"/>
          <w:szCs w:val="22"/>
        </w:rPr>
      </w:pPr>
    </w:p>
    <w:p w14:paraId="55E3472E" w14:textId="4FD43BAC" w:rsidR="004C73D5" w:rsidRPr="00150D8B" w:rsidRDefault="00150D8B" w:rsidP="00150D8B">
      <w:pPr>
        <w:spacing w:line="360" w:lineRule="auto"/>
        <w:jc w:val="center"/>
        <w:rPr>
          <w:rFonts w:ascii="Arial" w:hAnsi="Arial" w:cs="Arial"/>
          <w:sz w:val="22"/>
          <w:szCs w:val="22"/>
          <w:u w:val="single"/>
        </w:rPr>
      </w:pPr>
      <w:r w:rsidRPr="00150D8B">
        <w:rPr>
          <w:rFonts w:ascii="Arial" w:hAnsi="Arial" w:cs="Arial"/>
          <w:sz w:val="22"/>
          <w:szCs w:val="22"/>
          <w:u w:val="single"/>
        </w:rPr>
        <w:t>Pitch</w:t>
      </w:r>
    </w:p>
    <w:p w14:paraId="519764C3" w14:textId="77777777" w:rsidR="00150D8B" w:rsidRPr="00150D8B" w:rsidRDefault="00150D8B" w:rsidP="00150D8B">
      <w:pPr>
        <w:spacing w:line="360" w:lineRule="auto"/>
        <w:jc w:val="center"/>
        <w:rPr>
          <w:rFonts w:ascii="Arial" w:hAnsi="Arial" w:cs="Arial"/>
          <w:sz w:val="22"/>
          <w:szCs w:val="22"/>
          <w:u w:val="single"/>
        </w:rPr>
      </w:pPr>
    </w:p>
    <w:p w14:paraId="64302BB5" w14:textId="12669D2D" w:rsidR="004C73D5" w:rsidRPr="00150D8B" w:rsidRDefault="004C73D5" w:rsidP="00150D8B">
      <w:pPr>
        <w:spacing w:line="360" w:lineRule="auto"/>
        <w:rPr>
          <w:rFonts w:ascii="Arial" w:hAnsi="Arial" w:cs="Arial"/>
          <w:b/>
          <w:bCs/>
          <w:color w:val="000000"/>
          <w:sz w:val="22"/>
          <w:szCs w:val="22"/>
        </w:rPr>
      </w:pPr>
      <w:proofErr w:type="spellStart"/>
      <w:r w:rsidRPr="00150D8B">
        <w:rPr>
          <w:rFonts w:ascii="Arial" w:hAnsi="Arial" w:cs="Arial"/>
          <w:b/>
          <w:bCs/>
          <w:color w:val="000000"/>
          <w:sz w:val="22"/>
          <w:szCs w:val="22"/>
        </w:rPr>
        <w:t>MindShift</w:t>
      </w:r>
      <w:proofErr w:type="spellEnd"/>
      <w:r w:rsidRPr="00150D8B">
        <w:rPr>
          <w:rFonts w:ascii="Arial" w:hAnsi="Arial" w:cs="Arial"/>
          <w:b/>
          <w:bCs/>
          <w:color w:val="000000"/>
          <w:sz w:val="22"/>
          <w:szCs w:val="22"/>
        </w:rPr>
        <w:t>: Confidential Digital Mental Health Support for Frontline Care Workers</w:t>
      </w:r>
    </w:p>
    <w:p w14:paraId="28D8725E" w14:textId="77777777" w:rsidR="00150D8B" w:rsidRPr="00150D8B" w:rsidRDefault="00150D8B" w:rsidP="00150D8B">
      <w:pPr>
        <w:spacing w:line="360" w:lineRule="auto"/>
        <w:rPr>
          <w:rFonts w:ascii="Arial" w:hAnsi="Arial" w:cs="Arial"/>
          <w:b/>
          <w:bCs/>
          <w:color w:val="000000"/>
          <w:sz w:val="22"/>
          <w:szCs w:val="22"/>
        </w:rPr>
      </w:pPr>
    </w:p>
    <w:p w14:paraId="5D076DCF" w14:textId="77777777" w:rsidR="00150D8B" w:rsidRPr="00150D8B" w:rsidRDefault="00150D8B" w:rsidP="00150D8B">
      <w:pPr>
        <w:spacing w:line="360" w:lineRule="auto"/>
        <w:rPr>
          <w:rFonts w:ascii="Arial" w:hAnsi="Arial" w:cs="Arial"/>
          <w:b/>
          <w:bCs/>
          <w:color w:val="000000"/>
          <w:sz w:val="22"/>
          <w:szCs w:val="22"/>
        </w:rPr>
      </w:pPr>
    </w:p>
    <w:p w14:paraId="1439B2D8" w14:textId="2709BC69" w:rsidR="004C73D5" w:rsidRPr="004A676F" w:rsidRDefault="004C73D5" w:rsidP="004A676F">
      <w:pPr>
        <w:pStyle w:val="Heading1"/>
        <w:rPr>
          <w:rFonts w:ascii="Arial" w:hAnsi="Arial" w:cs="Arial"/>
        </w:rPr>
      </w:pPr>
      <w:bookmarkStart w:id="1" w:name="_Toc237011415"/>
      <w:r w:rsidRPr="004A676F">
        <w:rPr>
          <w:rFonts w:ascii="Arial" w:hAnsi="Arial" w:cs="Arial"/>
        </w:rPr>
        <w:t>Introduction</w:t>
      </w:r>
      <w:bookmarkEnd w:id="1"/>
      <w:r w:rsidRPr="004A676F">
        <w:rPr>
          <w:rFonts w:ascii="Arial" w:hAnsi="Arial" w:cs="Arial"/>
        </w:rPr>
        <w:t xml:space="preserve"> </w:t>
      </w:r>
    </w:p>
    <w:p w14:paraId="048ED5F3" w14:textId="7D4342CE" w:rsidR="004C73D5" w:rsidRPr="004A676F" w:rsidRDefault="004C73D5" w:rsidP="00150D8B">
      <w:pPr>
        <w:spacing w:line="360" w:lineRule="auto"/>
        <w:rPr>
          <w:rFonts w:ascii="Arial" w:hAnsi="Arial" w:cs="Arial"/>
        </w:rPr>
      </w:pPr>
      <w:r w:rsidRPr="004A676F">
        <w:rPr>
          <w:rFonts w:ascii="Arial" w:hAnsi="Arial" w:cs="Arial"/>
        </w:rPr>
        <w:t xml:space="preserve">To support the mental wellbeing of frontline health and social care workers, </w:t>
      </w:r>
      <w:proofErr w:type="spellStart"/>
      <w:r w:rsidRPr="004A676F">
        <w:rPr>
          <w:rFonts w:ascii="Arial" w:hAnsi="Arial" w:cs="Arial"/>
        </w:rPr>
        <w:t>MindShift</w:t>
      </w:r>
      <w:proofErr w:type="spellEnd"/>
      <w:r w:rsidRPr="004A676F">
        <w:rPr>
          <w:rFonts w:ascii="Arial" w:hAnsi="Arial" w:cs="Arial"/>
        </w:rPr>
        <w:t xml:space="preserve"> is a confidential, on-shift mental health support app developed specifically for them, which allows them to track burnout anonymously, undertake short </w:t>
      </w:r>
      <w:r w:rsidR="00150D8B" w:rsidRPr="004A676F">
        <w:rPr>
          <w:rFonts w:ascii="Arial" w:hAnsi="Arial" w:cs="Arial"/>
        </w:rPr>
        <w:t>chat-based</w:t>
      </w:r>
      <w:r w:rsidRPr="004A676F">
        <w:rPr>
          <w:rFonts w:ascii="Arial" w:hAnsi="Arial" w:cs="Arial"/>
        </w:rPr>
        <w:t xml:space="preserve"> counselling sessions and connect with others for peer support, without their manager knowing. It addresses a specific need: workplace mental health provision is often not tailored to shift-based care work and staff who need to access the health support may not be able to do so during a working day (Mind, 2026). This is relevant today because rates of staff burnout and stigma are still high across the sector (UNISON, 2024), and a growing body of evidence demonstrates that digital interventions can be designed to have a meaningful impact on mental health outcomes for employees (Cameron et al., 2025). The people who will benefit directly from this are frontline care assistants, nurses and domiciliary carers in the NHS and social care.</w:t>
      </w:r>
    </w:p>
    <w:p w14:paraId="0B8EC701" w14:textId="77777777" w:rsidR="004C73D5" w:rsidRDefault="004C73D5" w:rsidP="00150D8B">
      <w:pPr>
        <w:spacing w:line="360" w:lineRule="auto"/>
        <w:rPr>
          <w:rFonts w:ascii="Arial" w:hAnsi="Arial" w:cs="Arial"/>
          <w:sz w:val="22"/>
          <w:szCs w:val="22"/>
        </w:rPr>
      </w:pPr>
    </w:p>
    <w:p w14:paraId="644EBCFC" w14:textId="77777777" w:rsidR="004A676F" w:rsidRDefault="004A676F" w:rsidP="00150D8B">
      <w:pPr>
        <w:spacing w:line="360" w:lineRule="auto"/>
        <w:rPr>
          <w:rFonts w:ascii="Arial" w:hAnsi="Arial" w:cs="Arial"/>
          <w:sz w:val="22"/>
          <w:szCs w:val="22"/>
        </w:rPr>
      </w:pPr>
    </w:p>
    <w:p w14:paraId="288F53F0" w14:textId="77777777" w:rsidR="004A676F" w:rsidRDefault="004A676F" w:rsidP="00150D8B">
      <w:pPr>
        <w:spacing w:line="360" w:lineRule="auto"/>
        <w:rPr>
          <w:rFonts w:ascii="Arial" w:hAnsi="Arial" w:cs="Arial"/>
          <w:sz w:val="22"/>
          <w:szCs w:val="22"/>
        </w:rPr>
      </w:pPr>
    </w:p>
    <w:p w14:paraId="44D43334" w14:textId="77777777" w:rsidR="004A676F" w:rsidRDefault="004A676F" w:rsidP="00150D8B">
      <w:pPr>
        <w:spacing w:line="360" w:lineRule="auto"/>
        <w:rPr>
          <w:rFonts w:ascii="Arial" w:hAnsi="Arial" w:cs="Arial"/>
          <w:sz w:val="22"/>
          <w:szCs w:val="22"/>
        </w:rPr>
      </w:pPr>
    </w:p>
    <w:p w14:paraId="46991FF0" w14:textId="77777777" w:rsidR="004A676F" w:rsidRDefault="004A676F" w:rsidP="00150D8B">
      <w:pPr>
        <w:spacing w:line="360" w:lineRule="auto"/>
        <w:rPr>
          <w:rFonts w:ascii="Arial" w:hAnsi="Arial" w:cs="Arial"/>
          <w:sz w:val="22"/>
          <w:szCs w:val="22"/>
        </w:rPr>
      </w:pPr>
    </w:p>
    <w:p w14:paraId="4A149296" w14:textId="77777777" w:rsidR="004A676F" w:rsidRPr="00150D8B" w:rsidRDefault="004A676F" w:rsidP="00150D8B">
      <w:pPr>
        <w:spacing w:line="360" w:lineRule="auto"/>
        <w:rPr>
          <w:rFonts w:ascii="Arial" w:hAnsi="Arial" w:cs="Arial"/>
          <w:sz w:val="22"/>
          <w:szCs w:val="22"/>
        </w:rPr>
      </w:pPr>
    </w:p>
    <w:p w14:paraId="76B277B5" w14:textId="3B8DD313" w:rsidR="004C73D5" w:rsidRPr="00150D8B" w:rsidRDefault="004C73D5" w:rsidP="004A676F">
      <w:pPr>
        <w:pStyle w:val="Heading1"/>
      </w:pPr>
      <w:bookmarkStart w:id="2" w:name="_Toc237011416"/>
      <w:r w:rsidRPr="00150D8B">
        <w:lastRenderedPageBreak/>
        <w:t>Background</w:t>
      </w:r>
      <w:bookmarkEnd w:id="2"/>
      <w:r w:rsidRPr="00150D8B">
        <w:t xml:space="preserve"> </w:t>
      </w:r>
    </w:p>
    <w:p w14:paraId="37A74FF1" w14:textId="77777777" w:rsidR="004C73D5" w:rsidRPr="004A676F" w:rsidRDefault="004C73D5" w:rsidP="00150D8B">
      <w:pPr>
        <w:spacing w:line="360" w:lineRule="auto"/>
        <w:rPr>
          <w:rFonts w:ascii="Arial" w:hAnsi="Arial" w:cs="Arial"/>
        </w:rPr>
      </w:pPr>
      <w:r w:rsidRPr="004A676F">
        <w:rPr>
          <w:rFonts w:ascii="Arial" w:hAnsi="Arial" w:cs="Arial"/>
        </w:rPr>
        <w:t>Mental health in the workplace is an escalating, and well-documented, issue for health and social care in the UK. The UNISON survey of more than 12,000 healthcare workers in 2024 revealed that 31% had taken time off for mental health conditions during the previous year and among those who had, 85% cited work-related stress as a factor, with panic attacks, high blood pressure and sleep disturbances all reported (UNISON, 2024). The survey also revealed that 45% of those care workers who took off for stress felt their manager wouldn't be supportive and about one in five care workers didn't actually reveal the true nature of the stress they were suffering from, highlighting the extent to which stigma affects help-seeking behaviour among care workers (UNISON, 2024). Staff also highlighted that access to counselling (24 hours</w:t>
      </w:r>
      <w:proofErr w:type="gramStart"/>
      <w:r w:rsidRPr="004A676F">
        <w:rPr>
          <w:rFonts w:ascii="Arial" w:hAnsi="Arial" w:cs="Arial"/>
        </w:rPr>
        <w:t>)</w:t>
      </w:r>
      <w:proofErr w:type="gramEnd"/>
      <w:r w:rsidRPr="004A676F">
        <w:rPr>
          <w:rFonts w:ascii="Arial" w:hAnsi="Arial" w:cs="Arial"/>
        </w:rPr>
        <w:t xml:space="preserve"> and a wellbeing app were among their top asks to help (UNISON, 2024). Policy has acknowledged this but not fully addressed it: although the NHS Long Term Plan pledged to increase staff mental health and wellbeing support as part of a broader workforce plan (NHS England, 2019), many staff in both NHS and social care are experiencing burnout. This is made evident by the demonstrated need, expressed staff need for exactly this kind of tool, and partial policy follow-through, thus pointing to an existing and ongoing opportunity for an innovation such as </w:t>
      </w:r>
      <w:proofErr w:type="spellStart"/>
      <w:r w:rsidRPr="004A676F">
        <w:rPr>
          <w:rFonts w:ascii="Arial" w:hAnsi="Arial" w:cs="Arial"/>
        </w:rPr>
        <w:t>MindShift</w:t>
      </w:r>
      <w:proofErr w:type="spellEnd"/>
      <w:r w:rsidRPr="004A676F">
        <w:rPr>
          <w:rFonts w:ascii="Arial" w:hAnsi="Arial" w:cs="Arial"/>
        </w:rPr>
        <w:t>.</w:t>
      </w:r>
    </w:p>
    <w:p w14:paraId="6F8B5A1D" w14:textId="1866E554" w:rsidR="004C73D5" w:rsidRPr="00150D8B" w:rsidRDefault="004C73D5" w:rsidP="004A676F">
      <w:pPr>
        <w:pStyle w:val="Heading1"/>
      </w:pPr>
      <w:bookmarkStart w:id="3" w:name="_Toc237011417"/>
      <w:r w:rsidRPr="00150D8B">
        <w:t>Innovation Description</w:t>
      </w:r>
      <w:bookmarkEnd w:id="3"/>
      <w:r w:rsidRPr="00150D8B">
        <w:t xml:space="preserve"> </w:t>
      </w:r>
    </w:p>
    <w:p w14:paraId="69BE0A4F" w14:textId="77777777" w:rsidR="004C73D5" w:rsidRPr="004A676F" w:rsidRDefault="004C73D5" w:rsidP="00150D8B">
      <w:pPr>
        <w:spacing w:line="360" w:lineRule="auto"/>
        <w:rPr>
          <w:rFonts w:ascii="Arial" w:hAnsi="Arial" w:cs="Arial"/>
        </w:rPr>
      </w:pPr>
      <w:r w:rsidRPr="004A676F">
        <w:rPr>
          <w:rFonts w:ascii="Arial" w:hAnsi="Arial" w:cs="Arial"/>
        </w:rPr>
        <w:t xml:space="preserve">There are three ways in which </w:t>
      </w:r>
      <w:proofErr w:type="spellStart"/>
      <w:r w:rsidRPr="004A676F">
        <w:rPr>
          <w:rFonts w:ascii="Arial" w:hAnsi="Arial" w:cs="Arial"/>
        </w:rPr>
        <w:t>MindShift</w:t>
      </w:r>
      <w:proofErr w:type="spellEnd"/>
      <w:r w:rsidRPr="004A676F">
        <w:rPr>
          <w:rFonts w:ascii="Arial" w:hAnsi="Arial" w:cs="Arial"/>
        </w:rPr>
        <w:t xml:space="preserve"> is not a typical Employee Assistance Programme (EAP) or generic wellbeing app. Firstly, it is specifically geared towards care work as opposed to generic office-based stress, and </w:t>
      </w:r>
      <w:proofErr w:type="gramStart"/>
      <w:r w:rsidRPr="004A676F">
        <w:rPr>
          <w:rFonts w:ascii="Arial" w:hAnsi="Arial" w:cs="Arial"/>
        </w:rPr>
        <w:t>5-10 minute</w:t>
      </w:r>
      <w:proofErr w:type="gramEnd"/>
      <w:r w:rsidRPr="004A676F">
        <w:rPr>
          <w:rFonts w:ascii="Arial" w:hAnsi="Arial" w:cs="Arial"/>
        </w:rPr>
        <w:t xml:space="preserve"> sessions are available to allow for flexibility around shifts as well as not taking too long away from duties. There is consistent evidence that personalised digital interventions are more likely to yield better mental health outcomes for employees compared to universal interventions (Cameron et al., 2025). Second, it is fully self-referred, and anonymous by default, which circumvents the disclosure and stigma issues identified by UNISON (2024) that are so prevalent in a traditional EAP where staff may need to be referred by a manager or HR. Third, quality and safety are ensured from the ground up: a 2025 review found </w:t>
      </w:r>
      <w:r w:rsidRPr="004A676F">
        <w:rPr>
          <w:rFonts w:ascii="Arial" w:hAnsi="Arial" w:cs="Arial"/>
        </w:rPr>
        <w:lastRenderedPageBreak/>
        <w:t xml:space="preserve">that less than a third of the available mental health apps met basic clinical and data-quality thresholds (Cameron et al., 2025), and </w:t>
      </w:r>
      <w:proofErr w:type="spellStart"/>
      <w:r w:rsidRPr="004A676F">
        <w:rPr>
          <w:rFonts w:ascii="Arial" w:hAnsi="Arial" w:cs="Arial"/>
        </w:rPr>
        <w:t>MindShift</w:t>
      </w:r>
      <w:proofErr w:type="spellEnd"/>
      <w:r w:rsidRPr="004A676F">
        <w:rPr>
          <w:rFonts w:ascii="Arial" w:hAnsi="Arial" w:cs="Arial"/>
        </w:rPr>
        <w:t xml:space="preserve"> is co-designed with mental health professionals and not launched as a generic consumer product. Responses that show signs of acute distress are identified by an AI-assisted triage layer and referred to the human counsellor for rapid follow-up; however, an algorithm never replaces or diagnoses what is happening and a person remains at the centre of any serious concern.</w:t>
      </w:r>
    </w:p>
    <w:p w14:paraId="750A0F07" w14:textId="0A0858BB" w:rsidR="004C73D5" w:rsidRPr="004A676F" w:rsidRDefault="004C73D5" w:rsidP="00150D8B">
      <w:pPr>
        <w:spacing w:line="360" w:lineRule="auto"/>
        <w:rPr>
          <w:rFonts w:ascii="Arial" w:hAnsi="Arial" w:cs="Arial"/>
          <w:color w:val="000000"/>
        </w:rPr>
      </w:pPr>
      <w:r w:rsidRPr="004A676F">
        <w:rPr>
          <w:rFonts w:ascii="Arial" w:hAnsi="Arial" w:cs="Arial"/>
          <w:color w:val="000000"/>
        </w:rPr>
        <w:t xml:space="preserve">Impact on Health and Social Care </w:t>
      </w:r>
    </w:p>
    <w:p w14:paraId="03E88379" w14:textId="77777777" w:rsidR="004C73D5" w:rsidRPr="004A676F" w:rsidRDefault="004C73D5" w:rsidP="00150D8B">
      <w:pPr>
        <w:spacing w:line="360" w:lineRule="auto"/>
        <w:rPr>
          <w:rFonts w:ascii="Arial" w:hAnsi="Arial" w:cs="Arial"/>
          <w:color w:val="000000"/>
        </w:rPr>
      </w:pPr>
    </w:p>
    <w:p w14:paraId="68527879" w14:textId="1DEF6453" w:rsidR="004C73D5" w:rsidRPr="004A676F" w:rsidRDefault="004C73D5" w:rsidP="00150D8B">
      <w:pPr>
        <w:spacing w:line="360" w:lineRule="auto"/>
        <w:rPr>
          <w:rFonts w:ascii="Arial" w:hAnsi="Arial" w:cs="Arial"/>
        </w:rPr>
      </w:pPr>
      <w:r w:rsidRPr="004A676F">
        <w:rPr>
          <w:rFonts w:ascii="Arial" w:hAnsi="Arial" w:cs="Arial"/>
        </w:rPr>
        <w:t xml:space="preserve">Those who are most clearly identified as the beneficiaries of the policy are those groups of staff who are not currently within the scope of existing workplace wellbeing policies: agency workers, zero hours care workers, part-time staff outside of usual workplace occupational health provision and domiciliary care workers working alone in different settings. </w:t>
      </w:r>
      <w:proofErr w:type="spellStart"/>
      <w:r w:rsidRPr="004A676F">
        <w:rPr>
          <w:rFonts w:ascii="Arial" w:hAnsi="Arial" w:cs="Arial"/>
        </w:rPr>
        <w:t>MindShift's</w:t>
      </w:r>
      <w:proofErr w:type="spellEnd"/>
      <w:r w:rsidRPr="004A676F">
        <w:rPr>
          <w:rFonts w:ascii="Arial" w:hAnsi="Arial" w:cs="Arial"/>
        </w:rPr>
        <w:t xml:space="preserve"> self-referral model (which is free) ensures equity of access, irrespective of contract arrangements. Additionally, there is a specific dimension for access from the perspective of minority ethnic care staff: research in the UK reveals that ethnic minority groups report experiencing poorer psychological distress and mental functioning, independently associated with racial discrimination (Hackett et al., 2020), and ethnic minority care staff may experience compounding barriers to revealing mental health difficulty in the workplace. In the case of an anonymous, self-referred model, some of the interpersonal risks associated with disclosure are removed. There is an additional quality of care aspect to supporting staff mental health: exhausted and burnt-out staff are less likely to maintain the attentiveness and consistency required for person centred care, thus staff wellbeing supports service user outcomes. That's the common good argument: a system that cares for the well-being of those who provide care also cares for the well-being of those who receive it.</w:t>
      </w:r>
    </w:p>
    <w:p w14:paraId="70D31DD7" w14:textId="72E5EF49" w:rsidR="004C73D5" w:rsidRPr="00150D8B" w:rsidRDefault="004C73D5" w:rsidP="004A676F">
      <w:pPr>
        <w:pStyle w:val="Heading1"/>
      </w:pPr>
      <w:bookmarkStart w:id="4" w:name="_Toc237011418"/>
      <w:r w:rsidRPr="00150D8B">
        <w:t>Public and Stakeholder Involvement</w:t>
      </w:r>
      <w:bookmarkEnd w:id="4"/>
      <w:r w:rsidRPr="00150D8B">
        <w:t xml:space="preserve"> </w:t>
      </w:r>
    </w:p>
    <w:p w14:paraId="6570A377" w14:textId="74FB8967" w:rsidR="004C73D5" w:rsidRPr="004A676F" w:rsidRDefault="004C73D5" w:rsidP="00150D8B">
      <w:pPr>
        <w:spacing w:line="360" w:lineRule="auto"/>
        <w:rPr>
          <w:rFonts w:ascii="Arial" w:hAnsi="Arial" w:cs="Arial"/>
        </w:rPr>
      </w:pPr>
      <w:r w:rsidRPr="004A676F">
        <w:rPr>
          <w:rFonts w:ascii="Arial" w:hAnsi="Arial" w:cs="Arial"/>
        </w:rPr>
        <w:t xml:space="preserve">It would be co-produced with frontline care staff from the beginning, not made by technologists or managers alone – this is </w:t>
      </w:r>
      <w:proofErr w:type="spellStart"/>
      <w:r w:rsidRPr="004A676F">
        <w:rPr>
          <w:rFonts w:ascii="Arial" w:hAnsi="Arial" w:cs="Arial"/>
        </w:rPr>
        <w:t>MindShift</w:t>
      </w:r>
      <w:proofErr w:type="spellEnd"/>
      <w:r w:rsidRPr="004A676F">
        <w:rPr>
          <w:rFonts w:ascii="Arial" w:hAnsi="Arial" w:cs="Arial"/>
        </w:rPr>
        <w:t xml:space="preserve">. This mirrors the best practice </w:t>
      </w:r>
      <w:r w:rsidRPr="004A676F">
        <w:rPr>
          <w:rFonts w:ascii="Arial" w:hAnsi="Arial" w:cs="Arial"/>
        </w:rPr>
        <w:lastRenderedPageBreak/>
        <w:t xml:space="preserve">guidance provided by CIPD and Mind (2023) that effective mental health support in the workplace is driven by the experiences of those receiving support, with frequent opportunities for staff to give feedback instead of a </w:t>
      </w:r>
      <w:proofErr w:type="spellStart"/>
      <w:r w:rsidRPr="004A676F">
        <w:rPr>
          <w:rFonts w:ascii="Arial" w:hAnsi="Arial" w:cs="Arial"/>
        </w:rPr>
        <w:t>oneoff</w:t>
      </w:r>
      <w:proofErr w:type="spellEnd"/>
      <w:r w:rsidRPr="004A676F">
        <w:rPr>
          <w:rFonts w:ascii="Arial" w:hAnsi="Arial" w:cs="Arial"/>
        </w:rPr>
        <w:t xml:space="preserve"> consultation stage. The voice of concerns of frontline staff, through trade unions, such as UNISON, would be included as a stakeholder voice, as would be professional bodies that oversee registered practice. Feedback mechanisms would continually be in place to support iterative improvements during the pilot and rollout stages, with a short survey inside the app and regular staff focus groups helping to ensure that the tool remains relevant and reflective of actual working conditions and not a static tool once it is launched.</w:t>
      </w:r>
    </w:p>
    <w:p w14:paraId="57ECD7B7" w14:textId="77777777" w:rsidR="00150D8B" w:rsidRPr="00150D8B" w:rsidRDefault="00150D8B" w:rsidP="00150D8B">
      <w:pPr>
        <w:spacing w:line="360" w:lineRule="auto"/>
        <w:rPr>
          <w:rFonts w:ascii="Arial" w:hAnsi="Arial" w:cs="Arial"/>
          <w:sz w:val="22"/>
          <w:szCs w:val="22"/>
        </w:rPr>
      </w:pPr>
    </w:p>
    <w:p w14:paraId="31CE0950" w14:textId="77777777" w:rsidR="00150D8B" w:rsidRDefault="004C73D5" w:rsidP="004A676F">
      <w:pPr>
        <w:pStyle w:val="Heading1"/>
      </w:pPr>
      <w:bookmarkStart w:id="5" w:name="_Toc237011419"/>
      <w:r w:rsidRPr="00150D8B">
        <w:t>Policies, Services and Professional Links</w:t>
      </w:r>
      <w:bookmarkEnd w:id="5"/>
      <w:r w:rsidRPr="00150D8B">
        <w:t xml:space="preserve"> </w:t>
      </w:r>
    </w:p>
    <w:p w14:paraId="6FDEBC39" w14:textId="0F510233" w:rsidR="004C73D5" w:rsidRDefault="004C73D5" w:rsidP="00150D8B">
      <w:pPr>
        <w:spacing w:line="360" w:lineRule="auto"/>
        <w:rPr>
          <w:rFonts w:ascii="Arial" w:hAnsi="Arial" w:cs="Arial"/>
        </w:rPr>
      </w:pPr>
      <w:r w:rsidRPr="004A676F">
        <w:rPr>
          <w:rFonts w:ascii="Arial" w:hAnsi="Arial" w:cs="Arial"/>
        </w:rPr>
        <w:t xml:space="preserve">The design of </w:t>
      </w:r>
      <w:proofErr w:type="spellStart"/>
      <w:r w:rsidRPr="004A676F">
        <w:rPr>
          <w:rFonts w:ascii="Arial" w:hAnsi="Arial" w:cs="Arial"/>
        </w:rPr>
        <w:t>MindShift</w:t>
      </w:r>
      <w:proofErr w:type="spellEnd"/>
      <w:r w:rsidRPr="004A676F">
        <w:rPr>
          <w:rFonts w:ascii="Arial" w:hAnsi="Arial" w:cs="Arial"/>
        </w:rPr>
        <w:t xml:space="preserve"> should be within current legal and professional boundaries. The Care Act 2014 makes a commitment by local authorities to promoting an individual's wellbeing which is a natural extension to the paid workforce delivering the work. The Equality Act 2010 applies to access to workplace support, requiring that there should be no indirect disadvantage to any protected group having regard for the stigma and discrimination barriers mentioned above. </w:t>
      </w:r>
      <w:proofErr w:type="spellStart"/>
      <w:r w:rsidRPr="004A676F">
        <w:rPr>
          <w:rFonts w:ascii="Arial" w:hAnsi="Arial" w:cs="Arial"/>
        </w:rPr>
        <w:t>MindShift</w:t>
      </w:r>
      <w:proofErr w:type="spellEnd"/>
      <w:r w:rsidRPr="004A676F">
        <w:rPr>
          <w:rFonts w:ascii="Arial" w:hAnsi="Arial" w:cs="Arial"/>
        </w:rPr>
        <w:t xml:space="preserve"> would complement, not supplant, existing services that would be integrated into its platform, like GP mental health referral systems, employer EAPs, and charities like Mind for longer-term support outside of the app's capabilities. Use of the app should be consistent with the standards of conduct set out by the Health and Care Professions Council (2016) and organisational uptake would have to be in line with responsibilities brought in under the Health and Care Act 2022 relating to integrated workforce planning for registered staff.</w:t>
      </w:r>
    </w:p>
    <w:p w14:paraId="1BF7CCE0" w14:textId="77777777" w:rsidR="004A676F" w:rsidRDefault="004A676F" w:rsidP="00150D8B">
      <w:pPr>
        <w:spacing w:line="360" w:lineRule="auto"/>
        <w:rPr>
          <w:rFonts w:ascii="Arial" w:hAnsi="Arial" w:cs="Arial"/>
        </w:rPr>
      </w:pPr>
    </w:p>
    <w:p w14:paraId="238385D6" w14:textId="77777777" w:rsidR="004A676F" w:rsidRDefault="004A676F" w:rsidP="00150D8B">
      <w:pPr>
        <w:spacing w:line="360" w:lineRule="auto"/>
        <w:rPr>
          <w:rFonts w:ascii="Arial" w:hAnsi="Arial" w:cs="Arial"/>
        </w:rPr>
      </w:pPr>
    </w:p>
    <w:p w14:paraId="638E30BC" w14:textId="77777777" w:rsidR="004A676F" w:rsidRPr="004A676F" w:rsidRDefault="004A676F" w:rsidP="00150D8B">
      <w:pPr>
        <w:spacing w:line="360" w:lineRule="auto"/>
        <w:rPr>
          <w:rFonts w:ascii="Arial" w:hAnsi="Arial" w:cs="Arial"/>
          <w:b/>
          <w:bCs/>
        </w:rPr>
      </w:pPr>
    </w:p>
    <w:p w14:paraId="4EE7CC6B" w14:textId="7F7E974B" w:rsidR="004C73D5" w:rsidRPr="00150D8B" w:rsidRDefault="004C73D5" w:rsidP="004A676F">
      <w:pPr>
        <w:pStyle w:val="Heading1"/>
      </w:pPr>
      <w:bookmarkStart w:id="6" w:name="_Toc237011420"/>
      <w:r w:rsidRPr="00150D8B">
        <w:lastRenderedPageBreak/>
        <w:t>Conclusion</w:t>
      </w:r>
      <w:bookmarkEnd w:id="6"/>
      <w:r w:rsidRPr="00150D8B">
        <w:t xml:space="preserve"> </w:t>
      </w:r>
    </w:p>
    <w:p w14:paraId="224239A5" w14:textId="5000E881" w:rsidR="004C73D5" w:rsidRPr="004A676F" w:rsidRDefault="004C73D5" w:rsidP="00150D8B">
      <w:pPr>
        <w:spacing w:line="360" w:lineRule="auto"/>
        <w:rPr>
          <w:rFonts w:ascii="Arial" w:hAnsi="Arial" w:cs="Arial"/>
        </w:rPr>
      </w:pPr>
      <w:proofErr w:type="spellStart"/>
      <w:r w:rsidRPr="004A676F">
        <w:rPr>
          <w:rFonts w:ascii="Arial" w:hAnsi="Arial" w:cs="Arial"/>
        </w:rPr>
        <w:t>MindShift</w:t>
      </w:r>
      <w:proofErr w:type="spellEnd"/>
      <w:r w:rsidRPr="004A676F">
        <w:rPr>
          <w:rFonts w:ascii="Arial" w:hAnsi="Arial" w:cs="Arial"/>
        </w:rPr>
        <w:t xml:space="preserve"> is the direct result of a problem that frontline care workers have already identified: high levels of burnout, true stigma around disclosure, and a clear desire among frontline care workers to support their mental health through confidential, app-based platforms (UNISON, 2024). It is based on the evidence for what works in digital mental health tools (Cameron et al., 2025), based on shift patterns and developed to reach to staff groups most frequently excluded from current provision. Supporting those who provide care is not distinct from improving the quality of the care that they provid</w:t>
      </w:r>
      <w:r w:rsidR="004A676F">
        <w:rPr>
          <w:rFonts w:ascii="Arial" w:hAnsi="Arial" w:cs="Arial"/>
        </w:rPr>
        <w:t>e</w:t>
      </w:r>
      <w:r w:rsidRPr="004A676F">
        <w:rPr>
          <w:rFonts w:ascii="Arial" w:hAnsi="Arial" w:cs="Arial"/>
        </w:rPr>
        <w:t xml:space="preserve"> it is a precondition for doing so.</w:t>
      </w:r>
    </w:p>
    <w:p w14:paraId="6A6649F5" w14:textId="77777777" w:rsidR="004C73D5" w:rsidRPr="00150D8B" w:rsidRDefault="004C73D5" w:rsidP="00150D8B">
      <w:pPr>
        <w:spacing w:line="360" w:lineRule="auto"/>
        <w:rPr>
          <w:rFonts w:ascii="Arial" w:hAnsi="Arial" w:cs="Arial"/>
          <w:sz w:val="22"/>
          <w:szCs w:val="22"/>
        </w:rPr>
      </w:pPr>
    </w:p>
    <w:p w14:paraId="62884EAA" w14:textId="77777777" w:rsidR="004C73D5" w:rsidRPr="00150D8B" w:rsidRDefault="004C73D5" w:rsidP="00150D8B">
      <w:pPr>
        <w:spacing w:line="360" w:lineRule="auto"/>
        <w:rPr>
          <w:rFonts w:ascii="Arial" w:hAnsi="Arial" w:cs="Arial"/>
          <w:sz w:val="22"/>
          <w:szCs w:val="22"/>
        </w:rPr>
      </w:pPr>
    </w:p>
    <w:p w14:paraId="6E33E445" w14:textId="77777777" w:rsidR="004C73D5" w:rsidRPr="00150D8B" w:rsidRDefault="004C73D5" w:rsidP="00150D8B">
      <w:pPr>
        <w:spacing w:line="360" w:lineRule="auto"/>
        <w:rPr>
          <w:rFonts w:ascii="Arial" w:hAnsi="Arial" w:cs="Arial"/>
          <w:sz w:val="22"/>
          <w:szCs w:val="22"/>
        </w:rPr>
      </w:pPr>
    </w:p>
    <w:p w14:paraId="586BCBD2" w14:textId="77777777" w:rsidR="004C73D5" w:rsidRPr="00150D8B" w:rsidRDefault="004C73D5" w:rsidP="00150D8B">
      <w:pPr>
        <w:spacing w:line="360" w:lineRule="auto"/>
        <w:rPr>
          <w:rFonts w:ascii="Arial" w:hAnsi="Arial" w:cs="Arial"/>
          <w:sz w:val="22"/>
          <w:szCs w:val="22"/>
        </w:rPr>
      </w:pPr>
    </w:p>
    <w:p w14:paraId="049C9361" w14:textId="77777777" w:rsidR="004C73D5" w:rsidRPr="00150D8B" w:rsidRDefault="004C73D5" w:rsidP="00150D8B">
      <w:pPr>
        <w:spacing w:line="360" w:lineRule="auto"/>
        <w:rPr>
          <w:rFonts w:ascii="Arial" w:hAnsi="Arial" w:cs="Arial"/>
          <w:sz w:val="22"/>
          <w:szCs w:val="22"/>
        </w:rPr>
      </w:pPr>
    </w:p>
    <w:p w14:paraId="64D2C4FC" w14:textId="77777777" w:rsidR="004C73D5" w:rsidRPr="00150D8B" w:rsidRDefault="004C73D5" w:rsidP="00150D8B">
      <w:pPr>
        <w:spacing w:line="360" w:lineRule="auto"/>
        <w:rPr>
          <w:rFonts w:ascii="Arial" w:hAnsi="Arial" w:cs="Arial"/>
          <w:sz w:val="22"/>
          <w:szCs w:val="22"/>
        </w:rPr>
      </w:pPr>
    </w:p>
    <w:p w14:paraId="03358F86" w14:textId="77777777" w:rsidR="004C73D5" w:rsidRPr="00150D8B" w:rsidRDefault="004C73D5" w:rsidP="00150D8B">
      <w:pPr>
        <w:spacing w:line="360" w:lineRule="auto"/>
        <w:rPr>
          <w:rFonts w:ascii="Arial" w:hAnsi="Arial" w:cs="Arial"/>
          <w:sz w:val="22"/>
          <w:szCs w:val="22"/>
        </w:rPr>
      </w:pPr>
    </w:p>
    <w:p w14:paraId="153494BC" w14:textId="77777777" w:rsidR="004C73D5" w:rsidRPr="00150D8B" w:rsidRDefault="004C73D5" w:rsidP="00150D8B">
      <w:pPr>
        <w:spacing w:line="360" w:lineRule="auto"/>
        <w:rPr>
          <w:rFonts w:ascii="Arial" w:hAnsi="Arial" w:cs="Arial"/>
          <w:sz w:val="22"/>
          <w:szCs w:val="22"/>
        </w:rPr>
      </w:pPr>
    </w:p>
    <w:p w14:paraId="7A3C8C38" w14:textId="77777777" w:rsidR="004C73D5" w:rsidRPr="00150D8B" w:rsidRDefault="004C73D5" w:rsidP="00150D8B">
      <w:pPr>
        <w:spacing w:line="360" w:lineRule="auto"/>
        <w:rPr>
          <w:rFonts w:ascii="Arial" w:hAnsi="Arial" w:cs="Arial"/>
          <w:sz w:val="22"/>
          <w:szCs w:val="22"/>
        </w:rPr>
      </w:pPr>
    </w:p>
    <w:p w14:paraId="654AA89B" w14:textId="77777777" w:rsidR="004C73D5" w:rsidRPr="00150D8B" w:rsidRDefault="004C73D5" w:rsidP="004A676F">
      <w:pPr>
        <w:pStyle w:val="Heading1"/>
      </w:pPr>
    </w:p>
    <w:p w14:paraId="5480194A" w14:textId="77777777" w:rsidR="004C73D5" w:rsidRPr="00150D8B" w:rsidRDefault="004C73D5" w:rsidP="004A676F">
      <w:pPr>
        <w:pStyle w:val="Heading1"/>
      </w:pPr>
    </w:p>
    <w:p w14:paraId="7D226FC4" w14:textId="77777777" w:rsidR="004C73D5" w:rsidRPr="00150D8B" w:rsidRDefault="004C73D5" w:rsidP="004A676F">
      <w:pPr>
        <w:pStyle w:val="Heading1"/>
        <w:rPr>
          <w:rFonts w:eastAsia="Times New Roman"/>
          <w:b/>
          <w:bCs/>
          <w:color w:val="000000"/>
          <w:kern w:val="0"/>
          <w:lang w:val="en-US"/>
          <w14:ligatures w14:val="none"/>
        </w:rPr>
      </w:pPr>
      <w:bookmarkStart w:id="7" w:name="_Toc237011421"/>
      <w:r w:rsidRPr="00150D8B">
        <w:rPr>
          <w:rFonts w:eastAsia="Times New Roman"/>
          <w:b/>
          <w:bCs/>
          <w:color w:val="000000"/>
          <w:kern w:val="0"/>
          <w:lang w:val="en-US"/>
          <w14:ligatures w14:val="none"/>
        </w:rPr>
        <w:t>References</w:t>
      </w:r>
      <w:bookmarkEnd w:id="7"/>
    </w:p>
    <w:p w14:paraId="644D1DC5"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Cameron, G., Mulvenna, M., Ennis, E., O'Neill, S., Bond, R., Cameron, D. and Bunting, A. (2025) 'Effectiveness of digital mental health interventions in the workplace: umbrella review of systematic reviews',</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JMIR Mental Health</w:t>
      </w:r>
      <w:r w:rsidRPr="004A676F">
        <w:rPr>
          <w:rFonts w:ascii="Arial" w:hAnsi="Arial" w:cs="Arial"/>
          <w:color w:val="000000"/>
        </w:rPr>
        <w:t>, 12, e67785.</w:t>
      </w:r>
    </w:p>
    <w:p w14:paraId="7D7C0A46"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Care Act 2014. London: The Stationery Office.</w:t>
      </w:r>
    </w:p>
    <w:p w14:paraId="1AA30C01"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Care Act 2014. London: The Stationery Office. Available at:</w:t>
      </w:r>
      <w:r w:rsidRPr="004A676F">
        <w:rPr>
          <w:rStyle w:val="apple-converted-space"/>
          <w:rFonts w:ascii="Arial" w:eastAsiaTheme="majorEastAsia" w:hAnsi="Arial" w:cs="Arial"/>
          <w:color w:val="000000"/>
        </w:rPr>
        <w:t> </w:t>
      </w:r>
      <w:hyperlink r:id="rId8" w:history="1">
        <w:r w:rsidRPr="004A676F">
          <w:rPr>
            <w:rStyle w:val="Hyperlink"/>
            <w:rFonts w:ascii="Arial" w:eastAsiaTheme="majorEastAsia" w:hAnsi="Arial" w:cs="Arial"/>
          </w:rPr>
          <w:t>https://www.legislation.gov.uk/ukpga/2014/23/contents</w:t>
        </w:r>
      </w:hyperlink>
      <w:r w:rsidRPr="004A676F">
        <w:rPr>
          <w:rFonts w:ascii="Arial" w:hAnsi="Arial" w:cs="Arial"/>
          <w:color w:val="000000"/>
        </w:rPr>
        <w:t>(Accessed: 7 August 2026).</w:t>
      </w:r>
    </w:p>
    <w:p w14:paraId="7C103D7A"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Care Quality Commission (2025)</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The State of Health Care and Adult Social Care in England 2024/25</w:t>
      </w:r>
      <w:r w:rsidRPr="004A676F">
        <w:rPr>
          <w:rFonts w:ascii="Arial" w:hAnsi="Arial" w:cs="Arial"/>
          <w:color w:val="000000"/>
        </w:rPr>
        <w:t>. London: CQC. Available at:</w:t>
      </w:r>
      <w:r w:rsidRPr="004A676F">
        <w:rPr>
          <w:rStyle w:val="apple-converted-space"/>
          <w:rFonts w:ascii="Arial" w:eastAsiaTheme="majorEastAsia" w:hAnsi="Arial" w:cs="Arial"/>
          <w:color w:val="000000"/>
        </w:rPr>
        <w:t> </w:t>
      </w:r>
      <w:hyperlink r:id="rId9" w:history="1">
        <w:r w:rsidRPr="004A676F">
          <w:rPr>
            <w:rStyle w:val="Hyperlink"/>
            <w:rFonts w:ascii="Arial" w:eastAsiaTheme="majorEastAsia" w:hAnsi="Arial" w:cs="Arial"/>
          </w:rPr>
          <w:t>https://www.cqc.org.uk/publications/major-report/state-care/2024-2025</w:t>
        </w:r>
      </w:hyperlink>
      <w:r w:rsidRPr="004A676F">
        <w:rPr>
          <w:rStyle w:val="apple-converted-space"/>
          <w:rFonts w:ascii="Arial" w:eastAsiaTheme="majorEastAsia" w:hAnsi="Arial" w:cs="Arial"/>
          <w:color w:val="000000"/>
        </w:rPr>
        <w:t> </w:t>
      </w:r>
      <w:r w:rsidRPr="004A676F">
        <w:rPr>
          <w:rFonts w:ascii="Arial" w:hAnsi="Arial" w:cs="Arial"/>
          <w:color w:val="000000"/>
        </w:rPr>
        <w:t>(Accessed: 7 August 2026).</w:t>
      </w:r>
    </w:p>
    <w:p w14:paraId="16137D97"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Chartered Institute of Personnel and Development and Mind (2023)</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Supporting Mental Health at Work: Practical Guidance</w:t>
      </w:r>
      <w:r w:rsidRPr="004A676F">
        <w:rPr>
          <w:rFonts w:ascii="Arial" w:hAnsi="Arial" w:cs="Arial"/>
          <w:color w:val="000000"/>
        </w:rPr>
        <w:t>. London: CIPD.</w:t>
      </w:r>
    </w:p>
    <w:p w14:paraId="04C5BE89"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Data Protection Act 2018. London: The Stationery Office. Available at:</w:t>
      </w:r>
      <w:r w:rsidRPr="004A676F">
        <w:rPr>
          <w:rStyle w:val="apple-converted-space"/>
          <w:rFonts w:ascii="Arial" w:eastAsiaTheme="majorEastAsia" w:hAnsi="Arial" w:cs="Arial"/>
          <w:color w:val="000000"/>
        </w:rPr>
        <w:t> </w:t>
      </w:r>
      <w:hyperlink r:id="rId10" w:history="1">
        <w:r w:rsidRPr="004A676F">
          <w:rPr>
            <w:rStyle w:val="Hyperlink"/>
            <w:rFonts w:ascii="Arial" w:eastAsiaTheme="majorEastAsia" w:hAnsi="Arial" w:cs="Arial"/>
          </w:rPr>
          <w:t>https://www.legislation.gov.uk/ukpga/2018/12/contents</w:t>
        </w:r>
      </w:hyperlink>
      <w:r w:rsidRPr="004A676F">
        <w:rPr>
          <w:rStyle w:val="apple-converted-space"/>
          <w:rFonts w:ascii="Arial" w:eastAsiaTheme="majorEastAsia" w:hAnsi="Arial" w:cs="Arial"/>
          <w:color w:val="000000"/>
        </w:rPr>
        <w:t> </w:t>
      </w:r>
      <w:r w:rsidRPr="004A676F">
        <w:rPr>
          <w:rFonts w:ascii="Arial" w:hAnsi="Arial" w:cs="Arial"/>
          <w:color w:val="000000"/>
        </w:rPr>
        <w:t>(Accessed: 7 August 2026).</w:t>
      </w:r>
    </w:p>
    <w:p w14:paraId="312B357C"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Equality Act 2010. London: The Stationery Office.</w:t>
      </w:r>
    </w:p>
    <w:p w14:paraId="61AF93DC"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 xml:space="preserve">Hackett, R.A., Ronaldson, A., </w:t>
      </w:r>
      <w:proofErr w:type="spellStart"/>
      <w:r w:rsidRPr="004A676F">
        <w:rPr>
          <w:rFonts w:ascii="Arial" w:hAnsi="Arial" w:cs="Arial"/>
          <w:color w:val="000000"/>
        </w:rPr>
        <w:t>Bhui</w:t>
      </w:r>
      <w:proofErr w:type="spellEnd"/>
      <w:r w:rsidRPr="004A676F">
        <w:rPr>
          <w:rFonts w:ascii="Arial" w:hAnsi="Arial" w:cs="Arial"/>
          <w:color w:val="000000"/>
        </w:rPr>
        <w:t>, K., Steptoe, A. and Jackson, S.E. (2020) 'Racial discrimination and health: a prospective study of ethnic minorities in the United Kingdom',</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BMC Public Health</w:t>
      </w:r>
      <w:r w:rsidRPr="004A676F">
        <w:rPr>
          <w:rFonts w:ascii="Arial" w:hAnsi="Arial" w:cs="Arial"/>
          <w:color w:val="000000"/>
        </w:rPr>
        <w:t>, 20, 1652.</w:t>
      </w:r>
    </w:p>
    <w:p w14:paraId="27C85982"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Health and Care Act 2022. London: The Stationery Office.</w:t>
      </w:r>
    </w:p>
    <w:p w14:paraId="4C1E89FF" w14:textId="610C2204"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lastRenderedPageBreak/>
        <w:t>Health and Care Professions Council (2016)</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Standards of Conduct, Performance and Ethics</w:t>
      </w:r>
      <w:r w:rsidRPr="004A676F">
        <w:rPr>
          <w:rFonts w:ascii="Arial" w:hAnsi="Arial" w:cs="Arial"/>
          <w:color w:val="000000"/>
        </w:rPr>
        <w:t xml:space="preserve">. London: HCPC. Available at </w:t>
      </w:r>
      <w:hyperlink r:id="rId11" w:history="1">
        <w:r w:rsidRPr="004A676F">
          <w:rPr>
            <w:rStyle w:val="Hyperlink"/>
            <w:rFonts w:ascii="Arial" w:hAnsi="Arial" w:cs="Arial"/>
          </w:rPr>
          <w:t>https://www.hcpc-uk.org/standards/standards-of-conduct-performance-and-ethics/</w:t>
        </w:r>
      </w:hyperlink>
      <w:r w:rsidRPr="004A676F">
        <w:rPr>
          <w:rFonts w:ascii="Arial" w:hAnsi="Arial" w:cs="Arial"/>
          <w:color w:val="000000"/>
        </w:rPr>
        <w:t xml:space="preserve"> (Accessed on 6 August 2026). </w:t>
      </w:r>
    </w:p>
    <w:p w14:paraId="4AA0D733"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Mind (2026)</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Mental Health Support &amp; Wellbeing in the Workplace</w:t>
      </w:r>
      <w:r w:rsidRPr="004A676F">
        <w:rPr>
          <w:rFonts w:ascii="Arial" w:hAnsi="Arial" w:cs="Arial"/>
          <w:color w:val="000000"/>
        </w:rPr>
        <w:t>. London: Mind.</w:t>
      </w:r>
    </w:p>
    <w:p w14:paraId="176C9805"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National Institute for Health and Care Excellence (2022)</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Mental Wellbeing at Work</w:t>
      </w:r>
      <w:r w:rsidRPr="004A676F">
        <w:rPr>
          <w:rFonts w:ascii="Arial" w:hAnsi="Arial" w:cs="Arial"/>
          <w:color w:val="000000"/>
        </w:rPr>
        <w:t>. NICE guideline NG212. London: NICE. Available at:</w:t>
      </w:r>
      <w:r w:rsidRPr="004A676F">
        <w:rPr>
          <w:rStyle w:val="apple-converted-space"/>
          <w:rFonts w:ascii="Arial" w:eastAsiaTheme="majorEastAsia" w:hAnsi="Arial" w:cs="Arial"/>
          <w:color w:val="000000"/>
        </w:rPr>
        <w:t> </w:t>
      </w:r>
      <w:hyperlink r:id="rId12" w:history="1">
        <w:r w:rsidRPr="004A676F">
          <w:rPr>
            <w:rStyle w:val="Hyperlink"/>
            <w:rFonts w:ascii="Arial" w:eastAsiaTheme="majorEastAsia" w:hAnsi="Arial" w:cs="Arial"/>
          </w:rPr>
          <w:t>https://www.nice.org.uk/guidance/ng212</w:t>
        </w:r>
      </w:hyperlink>
      <w:r w:rsidRPr="004A676F">
        <w:rPr>
          <w:rStyle w:val="apple-converted-space"/>
          <w:rFonts w:ascii="Arial" w:eastAsiaTheme="majorEastAsia" w:hAnsi="Arial" w:cs="Arial"/>
          <w:color w:val="000000"/>
        </w:rPr>
        <w:t> </w:t>
      </w:r>
      <w:r w:rsidRPr="004A676F">
        <w:rPr>
          <w:rFonts w:ascii="Arial" w:hAnsi="Arial" w:cs="Arial"/>
          <w:color w:val="000000"/>
        </w:rPr>
        <w:t>(Accessed: 7 August 2026).</w:t>
      </w:r>
    </w:p>
    <w:p w14:paraId="3C10BF26" w14:textId="0F63017C"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NHS England (2019)</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The NHS Long Term Plan</w:t>
      </w:r>
      <w:r w:rsidRPr="004A676F">
        <w:rPr>
          <w:rFonts w:ascii="Arial" w:hAnsi="Arial" w:cs="Arial"/>
          <w:color w:val="000000"/>
        </w:rPr>
        <w:t xml:space="preserve">. London: NHS England. </w:t>
      </w:r>
      <w:proofErr w:type="spellStart"/>
      <w:r w:rsidRPr="004A676F">
        <w:rPr>
          <w:rFonts w:ascii="Arial" w:hAnsi="Arial" w:cs="Arial"/>
          <w:color w:val="000000"/>
        </w:rPr>
        <w:t>Avaialble</w:t>
      </w:r>
      <w:proofErr w:type="spellEnd"/>
      <w:r w:rsidRPr="004A676F">
        <w:rPr>
          <w:rFonts w:ascii="Arial" w:hAnsi="Arial" w:cs="Arial"/>
          <w:color w:val="000000"/>
        </w:rPr>
        <w:t xml:space="preserve"> at </w:t>
      </w:r>
      <w:hyperlink r:id="rId13" w:history="1">
        <w:r w:rsidRPr="004A676F">
          <w:rPr>
            <w:rStyle w:val="Hyperlink"/>
            <w:rFonts w:ascii="Arial" w:hAnsi="Arial" w:cs="Arial"/>
          </w:rPr>
          <w:t>https://webarchive.nationalarchives.gov.uk/ukgwa/20250511091243/https://www.longtermplan.nhs.uk/</w:t>
        </w:r>
      </w:hyperlink>
      <w:r w:rsidRPr="004A676F">
        <w:rPr>
          <w:rFonts w:ascii="Arial" w:hAnsi="Arial" w:cs="Arial"/>
          <w:color w:val="000000"/>
        </w:rPr>
        <w:t xml:space="preserve"> (Accessed on 4 </w:t>
      </w:r>
      <w:proofErr w:type="spellStart"/>
      <w:r w:rsidRPr="004A676F">
        <w:rPr>
          <w:rFonts w:ascii="Arial" w:hAnsi="Arial" w:cs="Arial"/>
          <w:color w:val="000000"/>
        </w:rPr>
        <w:t>Auguest</w:t>
      </w:r>
      <w:proofErr w:type="spellEnd"/>
      <w:r w:rsidRPr="004A676F">
        <w:rPr>
          <w:rFonts w:ascii="Arial" w:hAnsi="Arial" w:cs="Arial"/>
          <w:color w:val="000000"/>
        </w:rPr>
        <w:t xml:space="preserve"> 2026). </w:t>
      </w:r>
    </w:p>
    <w:p w14:paraId="6981EBA5"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Nursing and Midwifery Council (2018)</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 xml:space="preserve">The Code: Professional Standards of Practice and </w:t>
      </w:r>
      <w:proofErr w:type="spellStart"/>
      <w:r w:rsidRPr="004A676F">
        <w:rPr>
          <w:rStyle w:val="Emphasis"/>
          <w:rFonts w:ascii="Arial" w:eastAsiaTheme="majorEastAsia" w:hAnsi="Arial" w:cs="Arial"/>
          <w:color w:val="000000"/>
        </w:rPr>
        <w:t>Behaviour</w:t>
      </w:r>
      <w:proofErr w:type="spellEnd"/>
      <w:r w:rsidRPr="004A676F">
        <w:rPr>
          <w:rStyle w:val="Emphasis"/>
          <w:rFonts w:ascii="Arial" w:eastAsiaTheme="majorEastAsia" w:hAnsi="Arial" w:cs="Arial"/>
          <w:color w:val="000000"/>
        </w:rPr>
        <w:t xml:space="preserve"> for Nurses, Midwives and Nursing Associates</w:t>
      </w:r>
      <w:r w:rsidRPr="004A676F">
        <w:rPr>
          <w:rFonts w:ascii="Arial" w:hAnsi="Arial" w:cs="Arial"/>
          <w:color w:val="000000"/>
        </w:rPr>
        <w:t>. London: NMC. Available at:</w:t>
      </w:r>
      <w:r w:rsidRPr="004A676F">
        <w:rPr>
          <w:rStyle w:val="apple-converted-space"/>
          <w:rFonts w:ascii="Arial" w:eastAsiaTheme="majorEastAsia" w:hAnsi="Arial" w:cs="Arial"/>
          <w:color w:val="000000"/>
        </w:rPr>
        <w:t> </w:t>
      </w:r>
      <w:hyperlink r:id="rId14" w:history="1">
        <w:r w:rsidRPr="004A676F">
          <w:rPr>
            <w:rStyle w:val="Hyperlink"/>
            <w:rFonts w:ascii="Arial" w:eastAsiaTheme="majorEastAsia" w:hAnsi="Arial" w:cs="Arial"/>
          </w:rPr>
          <w:t>https://www.nmc.org.uk/standards/code/</w:t>
        </w:r>
      </w:hyperlink>
      <w:r w:rsidRPr="004A676F">
        <w:rPr>
          <w:rStyle w:val="apple-converted-space"/>
          <w:rFonts w:ascii="Arial" w:eastAsiaTheme="majorEastAsia" w:hAnsi="Arial" w:cs="Arial"/>
          <w:color w:val="000000"/>
        </w:rPr>
        <w:t> </w:t>
      </w:r>
      <w:r w:rsidRPr="004A676F">
        <w:rPr>
          <w:rFonts w:ascii="Arial" w:hAnsi="Arial" w:cs="Arial"/>
          <w:color w:val="000000"/>
        </w:rPr>
        <w:t>(Accessed: 7 August 2026).</w:t>
      </w:r>
    </w:p>
    <w:p w14:paraId="383A06C9" w14:textId="778D4732"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Skills for Care (2025)</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The State of the Adult Social Care Sector and Workforce in England 2025</w:t>
      </w:r>
      <w:r w:rsidRPr="004A676F">
        <w:rPr>
          <w:rFonts w:ascii="Arial" w:hAnsi="Arial" w:cs="Arial"/>
          <w:color w:val="000000"/>
        </w:rPr>
        <w:t>. Leeds: Skills for Care. Available at:</w:t>
      </w:r>
      <w:r w:rsidRPr="004A676F">
        <w:rPr>
          <w:rStyle w:val="apple-converted-space"/>
          <w:rFonts w:ascii="Arial" w:eastAsiaTheme="majorEastAsia" w:hAnsi="Arial" w:cs="Arial"/>
          <w:color w:val="000000"/>
        </w:rPr>
        <w:t> </w:t>
      </w:r>
      <w:hyperlink r:id="rId15" w:history="1">
        <w:r w:rsidRPr="004A676F">
          <w:rPr>
            <w:rStyle w:val="Hyperlink"/>
            <w:rFonts w:ascii="Arial" w:eastAsiaTheme="majorEastAsia" w:hAnsi="Arial" w:cs="Arial"/>
          </w:rPr>
          <w:t>https://www.skillsforcare.org.uk/Adult-Social-Care-Workforce-Data/workforceintelligence/resources/Reports/National/The-state-of-the-adult-social-care-sector-and-workforce-in-England-2025.pdf</w:t>
        </w:r>
      </w:hyperlink>
      <w:r w:rsidRPr="004A676F">
        <w:rPr>
          <w:rStyle w:val="apple-converted-space"/>
          <w:rFonts w:ascii="Arial" w:eastAsiaTheme="majorEastAsia" w:hAnsi="Arial" w:cs="Arial"/>
          <w:color w:val="000000"/>
        </w:rPr>
        <w:t> </w:t>
      </w:r>
      <w:r w:rsidRPr="004A676F">
        <w:rPr>
          <w:rFonts w:ascii="Arial" w:hAnsi="Arial" w:cs="Arial"/>
          <w:color w:val="000000"/>
        </w:rPr>
        <w:t>(Accessed: 3 August 2026).</w:t>
      </w:r>
    </w:p>
    <w:p w14:paraId="252331CD" w14:textId="04F3921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The King's Fund (2025)</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From Burnout to Belief: Reflections on Reforming the NHS from Within</w:t>
      </w:r>
      <w:r w:rsidRPr="004A676F">
        <w:rPr>
          <w:rFonts w:ascii="Arial" w:hAnsi="Arial" w:cs="Arial"/>
          <w:color w:val="000000"/>
        </w:rPr>
        <w:t>. London: The King's Fund. Available at:</w:t>
      </w:r>
      <w:r w:rsidRPr="004A676F">
        <w:rPr>
          <w:rStyle w:val="apple-converted-space"/>
          <w:rFonts w:ascii="Arial" w:eastAsiaTheme="majorEastAsia" w:hAnsi="Arial" w:cs="Arial"/>
          <w:color w:val="000000"/>
        </w:rPr>
        <w:t> </w:t>
      </w:r>
      <w:hyperlink r:id="rId16" w:history="1">
        <w:r w:rsidRPr="004A676F">
          <w:rPr>
            <w:rStyle w:val="Hyperlink"/>
            <w:rFonts w:ascii="Arial" w:eastAsiaTheme="majorEastAsia" w:hAnsi="Arial" w:cs="Arial"/>
          </w:rPr>
          <w:t>https://www.kingsfund.org.uk/insight-and-analysis/long-reads/burnout-belief-reforming-the-nhs</w:t>
        </w:r>
      </w:hyperlink>
      <w:r w:rsidRPr="004A676F">
        <w:rPr>
          <w:rFonts w:ascii="Arial" w:hAnsi="Arial" w:cs="Arial"/>
          <w:color w:val="000000"/>
        </w:rPr>
        <w:t>(Accessed: 4 August 2026).</w:t>
      </w:r>
    </w:p>
    <w:p w14:paraId="523A44B6" w14:textId="77777777"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UNISON (2024)</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Mental Health Absences Adding to NHS Staffing Crisis</w:t>
      </w:r>
      <w:r w:rsidRPr="004A676F">
        <w:rPr>
          <w:rFonts w:ascii="Arial" w:hAnsi="Arial" w:cs="Arial"/>
          <w:color w:val="000000"/>
        </w:rPr>
        <w:t>. London: UNISON.</w:t>
      </w:r>
    </w:p>
    <w:p w14:paraId="206ADFA6" w14:textId="73740A80" w:rsidR="004C73D5" w:rsidRPr="004A676F" w:rsidRDefault="004C73D5" w:rsidP="00150D8B">
      <w:pPr>
        <w:pStyle w:val="font-claude-response-body"/>
        <w:spacing w:line="360" w:lineRule="auto"/>
        <w:rPr>
          <w:rFonts w:ascii="Arial" w:hAnsi="Arial" w:cs="Arial"/>
          <w:color w:val="000000"/>
        </w:rPr>
      </w:pPr>
      <w:r w:rsidRPr="004A676F">
        <w:rPr>
          <w:rFonts w:ascii="Arial" w:hAnsi="Arial" w:cs="Arial"/>
          <w:color w:val="000000"/>
        </w:rPr>
        <w:t xml:space="preserve">Zamorano, S., González-Sanguino, C., Fernández-Jiménez, E. and Muñoz, M. (2024) 'A burnt-out health: stigma towards mental health problems as a predictor of burnout in </w:t>
      </w:r>
      <w:r w:rsidRPr="004A676F">
        <w:rPr>
          <w:rFonts w:ascii="Arial" w:hAnsi="Arial" w:cs="Arial"/>
          <w:color w:val="000000"/>
        </w:rPr>
        <w:lastRenderedPageBreak/>
        <w:t>a sample of community social healthcare professionals',</w:t>
      </w:r>
      <w:r w:rsidRPr="004A676F">
        <w:rPr>
          <w:rStyle w:val="apple-converted-space"/>
          <w:rFonts w:ascii="Arial" w:eastAsiaTheme="majorEastAsia" w:hAnsi="Arial" w:cs="Arial"/>
          <w:color w:val="000000"/>
        </w:rPr>
        <w:t> </w:t>
      </w:r>
      <w:r w:rsidRPr="004A676F">
        <w:rPr>
          <w:rStyle w:val="Emphasis"/>
          <w:rFonts w:ascii="Arial" w:eastAsiaTheme="majorEastAsia" w:hAnsi="Arial" w:cs="Arial"/>
          <w:color w:val="000000"/>
        </w:rPr>
        <w:t>Behavioral Sciences</w:t>
      </w:r>
      <w:r w:rsidRPr="004A676F">
        <w:rPr>
          <w:rFonts w:ascii="Arial" w:hAnsi="Arial" w:cs="Arial"/>
          <w:color w:val="000000"/>
        </w:rPr>
        <w:t>, 14(9), 812. Available at:</w:t>
      </w:r>
      <w:r w:rsidRPr="004A676F">
        <w:rPr>
          <w:rStyle w:val="apple-converted-space"/>
          <w:rFonts w:ascii="Arial" w:eastAsiaTheme="majorEastAsia" w:hAnsi="Arial" w:cs="Arial"/>
          <w:color w:val="000000"/>
        </w:rPr>
        <w:t> </w:t>
      </w:r>
      <w:hyperlink r:id="rId17" w:history="1">
        <w:r w:rsidRPr="004A676F">
          <w:rPr>
            <w:rStyle w:val="Hyperlink"/>
            <w:rFonts w:ascii="Arial" w:eastAsiaTheme="majorEastAsia" w:hAnsi="Arial" w:cs="Arial"/>
          </w:rPr>
          <w:t>https://doi.org/10.3390/bs14090812</w:t>
        </w:r>
      </w:hyperlink>
      <w:r w:rsidRPr="004A676F">
        <w:rPr>
          <w:rStyle w:val="apple-converted-space"/>
          <w:rFonts w:ascii="Arial" w:eastAsiaTheme="majorEastAsia" w:hAnsi="Arial" w:cs="Arial"/>
          <w:color w:val="000000"/>
        </w:rPr>
        <w:t> </w:t>
      </w:r>
      <w:r w:rsidRPr="004A676F">
        <w:rPr>
          <w:rFonts w:ascii="Arial" w:hAnsi="Arial" w:cs="Arial"/>
          <w:color w:val="000000"/>
        </w:rPr>
        <w:t>(Accessed: 5 August 2026).</w:t>
      </w:r>
    </w:p>
    <w:p w14:paraId="5D6F710A" w14:textId="77777777" w:rsidR="004C73D5" w:rsidRPr="004A676F" w:rsidRDefault="004C73D5" w:rsidP="00150D8B">
      <w:pPr>
        <w:spacing w:line="360" w:lineRule="auto"/>
        <w:rPr>
          <w:rFonts w:ascii="Arial" w:hAnsi="Arial" w:cs="Arial"/>
        </w:rPr>
      </w:pPr>
    </w:p>
    <w:p w14:paraId="268E53AE" w14:textId="77777777" w:rsidR="004C73D5" w:rsidRPr="004A676F" w:rsidRDefault="004C73D5" w:rsidP="00150D8B">
      <w:pPr>
        <w:spacing w:line="360" w:lineRule="auto"/>
        <w:rPr>
          <w:rFonts w:ascii="Arial" w:hAnsi="Arial" w:cs="Arial"/>
        </w:rPr>
      </w:pPr>
    </w:p>
    <w:sectPr w:rsidR="004C73D5" w:rsidRPr="004A67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3D5"/>
    <w:rsid w:val="00034352"/>
    <w:rsid w:val="00054EC4"/>
    <w:rsid w:val="00150D8B"/>
    <w:rsid w:val="002C1538"/>
    <w:rsid w:val="00373C40"/>
    <w:rsid w:val="003803BD"/>
    <w:rsid w:val="003B7FF8"/>
    <w:rsid w:val="003D3A5B"/>
    <w:rsid w:val="0045705C"/>
    <w:rsid w:val="00481D6D"/>
    <w:rsid w:val="004A676F"/>
    <w:rsid w:val="004C73D5"/>
    <w:rsid w:val="004E54D9"/>
    <w:rsid w:val="005A299F"/>
    <w:rsid w:val="006E2FF3"/>
    <w:rsid w:val="00765A1D"/>
    <w:rsid w:val="00771C54"/>
    <w:rsid w:val="0085214A"/>
    <w:rsid w:val="00861C07"/>
    <w:rsid w:val="00876AD1"/>
    <w:rsid w:val="008A3349"/>
    <w:rsid w:val="008C0CF0"/>
    <w:rsid w:val="00A73563"/>
    <w:rsid w:val="00AE4D18"/>
    <w:rsid w:val="00C53428"/>
    <w:rsid w:val="00CA7988"/>
    <w:rsid w:val="00E02A79"/>
    <w:rsid w:val="00E21569"/>
    <w:rsid w:val="00E46B58"/>
    <w:rsid w:val="00E971EA"/>
    <w:rsid w:val="00F65C46"/>
    <w:rsid w:val="00F808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FFC06"/>
  <w15:chartTrackingRefBased/>
  <w15:docId w15:val="{14A9B47F-A1A9-044A-B84C-F19BD2840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73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73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C73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73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73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73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73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73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73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3D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4C73D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4C73D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C73D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C73D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C73D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C73D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C73D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C73D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C73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73D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C73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73D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C73D5"/>
    <w:pPr>
      <w:spacing w:before="160"/>
      <w:jc w:val="center"/>
    </w:pPr>
    <w:rPr>
      <w:i/>
      <w:iCs/>
      <w:color w:val="404040" w:themeColor="text1" w:themeTint="BF"/>
    </w:rPr>
  </w:style>
  <w:style w:type="character" w:customStyle="1" w:styleId="QuoteChar">
    <w:name w:val="Quote Char"/>
    <w:basedOn w:val="DefaultParagraphFont"/>
    <w:link w:val="Quote"/>
    <w:uiPriority w:val="29"/>
    <w:rsid w:val="004C73D5"/>
    <w:rPr>
      <w:i/>
      <w:iCs/>
      <w:color w:val="404040" w:themeColor="text1" w:themeTint="BF"/>
      <w:lang w:val="en-GB"/>
    </w:rPr>
  </w:style>
  <w:style w:type="paragraph" w:styleId="ListParagraph">
    <w:name w:val="List Paragraph"/>
    <w:basedOn w:val="Normal"/>
    <w:uiPriority w:val="34"/>
    <w:qFormat/>
    <w:rsid w:val="004C73D5"/>
    <w:pPr>
      <w:ind w:left="720"/>
      <w:contextualSpacing/>
    </w:pPr>
  </w:style>
  <w:style w:type="character" w:styleId="IntenseEmphasis">
    <w:name w:val="Intense Emphasis"/>
    <w:basedOn w:val="DefaultParagraphFont"/>
    <w:uiPriority w:val="21"/>
    <w:qFormat/>
    <w:rsid w:val="004C73D5"/>
    <w:rPr>
      <w:i/>
      <w:iCs/>
      <w:color w:val="0F4761" w:themeColor="accent1" w:themeShade="BF"/>
    </w:rPr>
  </w:style>
  <w:style w:type="paragraph" w:styleId="IntenseQuote">
    <w:name w:val="Intense Quote"/>
    <w:basedOn w:val="Normal"/>
    <w:next w:val="Normal"/>
    <w:link w:val="IntenseQuoteChar"/>
    <w:uiPriority w:val="30"/>
    <w:qFormat/>
    <w:rsid w:val="004C73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73D5"/>
    <w:rPr>
      <w:i/>
      <w:iCs/>
      <w:color w:val="0F4761" w:themeColor="accent1" w:themeShade="BF"/>
      <w:lang w:val="en-GB"/>
    </w:rPr>
  </w:style>
  <w:style w:type="character" w:styleId="IntenseReference">
    <w:name w:val="Intense Reference"/>
    <w:basedOn w:val="DefaultParagraphFont"/>
    <w:uiPriority w:val="32"/>
    <w:qFormat/>
    <w:rsid w:val="004C73D5"/>
    <w:rPr>
      <w:b/>
      <w:bCs/>
      <w:smallCaps/>
      <w:color w:val="0F4761" w:themeColor="accent1" w:themeShade="BF"/>
      <w:spacing w:val="5"/>
    </w:rPr>
  </w:style>
  <w:style w:type="paragraph" w:customStyle="1" w:styleId="font-claude-response-body">
    <w:name w:val="font-claude-response-body"/>
    <w:basedOn w:val="Normal"/>
    <w:rsid w:val="004C73D5"/>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customStyle="1" w:styleId="apple-converted-space">
    <w:name w:val="apple-converted-space"/>
    <w:basedOn w:val="DefaultParagraphFont"/>
    <w:rsid w:val="004C73D5"/>
  </w:style>
  <w:style w:type="character" w:styleId="Emphasis">
    <w:name w:val="Emphasis"/>
    <w:basedOn w:val="DefaultParagraphFont"/>
    <w:uiPriority w:val="20"/>
    <w:qFormat/>
    <w:rsid w:val="004C73D5"/>
    <w:rPr>
      <w:i/>
      <w:iCs/>
    </w:rPr>
  </w:style>
  <w:style w:type="character" w:styleId="Hyperlink">
    <w:name w:val="Hyperlink"/>
    <w:basedOn w:val="DefaultParagraphFont"/>
    <w:uiPriority w:val="99"/>
    <w:unhideWhenUsed/>
    <w:rsid w:val="004C73D5"/>
    <w:rPr>
      <w:color w:val="0000FF"/>
      <w:u w:val="single"/>
    </w:rPr>
  </w:style>
  <w:style w:type="character" w:styleId="FollowedHyperlink">
    <w:name w:val="FollowedHyperlink"/>
    <w:basedOn w:val="DefaultParagraphFont"/>
    <w:uiPriority w:val="99"/>
    <w:semiHidden/>
    <w:unhideWhenUsed/>
    <w:rsid w:val="004C73D5"/>
    <w:rPr>
      <w:color w:val="96607D" w:themeColor="followedHyperlink"/>
      <w:u w:val="single"/>
    </w:rPr>
  </w:style>
  <w:style w:type="character" w:styleId="UnresolvedMention">
    <w:name w:val="Unresolved Mention"/>
    <w:basedOn w:val="DefaultParagraphFont"/>
    <w:uiPriority w:val="99"/>
    <w:semiHidden/>
    <w:unhideWhenUsed/>
    <w:rsid w:val="004C73D5"/>
    <w:rPr>
      <w:color w:val="605E5C"/>
      <w:shd w:val="clear" w:color="auto" w:fill="E1DFDD"/>
    </w:rPr>
  </w:style>
  <w:style w:type="paragraph" w:styleId="TOCHeading">
    <w:name w:val="TOC Heading"/>
    <w:basedOn w:val="Heading1"/>
    <w:next w:val="Normal"/>
    <w:uiPriority w:val="39"/>
    <w:unhideWhenUsed/>
    <w:qFormat/>
    <w:rsid w:val="004A676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A67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7519548">
      <w:bodyDiv w:val="1"/>
      <w:marLeft w:val="0"/>
      <w:marRight w:val="0"/>
      <w:marTop w:val="0"/>
      <w:marBottom w:val="0"/>
      <w:divBdr>
        <w:top w:val="none" w:sz="0" w:space="0" w:color="auto"/>
        <w:left w:val="none" w:sz="0" w:space="0" w:color="auto"/>
        <w:bottom w:val="none" w:sz="0" w:space="0" w:color="auto"/>
        <w:right w:val="none" w:sz="0" w:space="0" w:color="auto"/>
      </w:divBdr>
    </w:div>
    <w:div w:id="1615940665">
      <w:bodyDiv w:val="1"/>
      <w:marLeft w:val="0"/>
      <w:marRight w:val="0"/>
      <w:marTop w:val="0"/>
      <w:marBottom w:val="0"/>
      <w:divBdr>
        <w:top w:val="none" w:sz="0" w:space="0" w:color="auto"/>
        <w:left w:val="none" w:sz="0" w:space="0" w:color="auto"/>
        <w:bottom w:val="none" w:sz="0" w:space="0" w:color="auto"/>
        <w:right w:val="none" w:sz="0" w:space="0" w:color="auto"/>
      </w:divBdr>
    </w:div>
    <w:div w:id="168015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ebarchive.nationalarchives.gov.uk/ukgwa/20250511091243/https://www.longtermplan.nhs.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emf"/><Relationship Id="rId12" Type="http://schemas.openxmlformats.org/officeDocument/2006/relationships/hyperlink" Target="https://www.nice.org.uk/guidance/ng212" TargetMode="External"/><Relationship Id="rId17" Type="http://schemas.openxmlformats.org/officeDocument/2006/relationships/hyperlink" Target="https://doi.org/10.3390/bs14090812" TargetMode="External"/><Relationship Id="rId2" Type="http://schemas.openxmlformats.org/officeDocument/2006/relationships/styles" Target="styles.xml"/><Relationship Id="rId16" Type="http://schemas.openxmlformats.org/officeDocument/2006/relationships/hyperlink" Target="https://www.kingsfund.org.uk/insight-and-analysis/long-reads/burnout-belief-reforming-the-nhs" TargetMode="Externa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hyperlink" Target="https://www.hcpc-uk.org/standards/standards-of-conduct-performance-and-ethics/" TargetMode="External"/><Relationship Id="rId5" Type="http://schemas.openxmlformats.org/officeDocument/2006/relationships/image" Target="media/image1.png"/><Relationship Id="rId15" Type="http://schemas.openxmlformats.org/officeDocument/2006/relationships/hyperlink" Target="https://www.skillsforcare.org.uk/Adult-Social-Care-Workforce-Data/workforceintelligence/resources/Reports/National/The-state-of-the-adult-social-care-sector-and-workforce-in-England-2025.pdf" TargetMode="External"/><Relationship Id="rId10" Type="http://schemas.openxmlformats.org/officeDocument/2006/relationships/hyperlink" Target="https://www.legislation.gov.uk/ukpga/2018/12/cont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qc.org.uk/publications/major-report/state-care/2024-2025"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C6CD5-3060-4653-BD25-22C0DC2E7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1994</Words>
  <Characters>11370</Characters>
  <Application>Microsoft Office Word</Application>
  <DocSecurity>0</DocSecurity>
  <Lines>94</Lines>
  <Paragraphs>26</Paragraphs>
  <ScaleCrop>false</ScaleCrop>
  <Company/>
  <LinksUpToDate>false</LinksUpToDate>
  <CharactersWithSpaces>13338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Shafayet K Chowdhury</dc:creator>
  <cp:keywords/>
  <dc:description/>
  <cp:lastModifiedBy>cheila patricia tavares</cp:lastModifiedBy>
  <cp:revision>3</cp:revision>
  <dcterms:created xsi:type="dcterms:W3CDTF">2026-08-07T10:05:00Z</dcterms:created>
  <dcterms:modified xsi:type="dcterms:W3CDTF">2026-08-07T15:10:00Z</dcterms:modified>
</cp:coreProperties>
</file>