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1AD95CE6">
      <w:pPr>
        <w:pStyle w:val="style0"/>
        <w:spacing w:lineRule="auto" w:line="360"/>
        <w:jc w:val="center"/>
        <w:rPr>
          <w:rFonts w:ascii="Times New Roman" w:cs="Times New Roman" w:eastAsia="Times New Roman" w:hAnsi="Times New Roman"/>
          <w:b/>
          <w:bCs/>
          <w:color w:val="222222"/>
          <w:sz w:val="32"/>
          <w:szCs w:val="32"/>
          <w:highlight w:val="white"/>
          <w:lang w:val="en-GB"/>
        </w:rPr>
      </w:pPr>
      <w:r>
        <w:rPr>
          <w:rFonts w:ascii="Times New Roman" w:cs="Times New Roman" w:eastAsia="Times New Roman" w:hAnsi="Times New Roman"/>
          <w:b/>
          <w:bCs/>
          <w:color w:val="222222"/>
          <w:sz w:val="32"/>
          <w:szCs w:val="32"/>
          <w:highlight w:val="white"/>
          <w:lang w:val="en-GB"/>
        </w:rPr>
        <w:drawing>
          <wp:inline distL="0" distT="0" distB="0" distR="0">
            <wp:extent cx="3950970" cy="1652904"/>
            <wp:effectExtent l="0" t="0" r="11430" b="4445"/>
            <wp:docPr id="1026" name="Picture 3" descr="images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2" cstate="print"/>
                    <a:srcRect l="0" t="0" r="0" b="0"/>
                    <a:stretch/>
                  </pic:blipFill>
                  <pic:spPr>
                    <a:xfrm rot="0">
                      <a:off x="0" y="0"/>
                      <a:ext cx="3950970" cy="1652904"/>
                    </a:xfrm>
                    <a:prstGeom prst="rect"/>
                  </pic:spPr>
                </pic:pic>
              </a:graphicData>
            </a:graphic>
          </wp:inline>
        </w:drawing>
      </w:r>
    </w:p>
    <w:bookmarkStart w:id="0" w:name="_GoBack"/>
    <w:bookmarkEnd w:id="0"/>
    <w:p w14:paraId="77157E38">
      <w:pPr>
        <w:pStyle w:val="style0"/>
        <w:spacing w:lineRule="auto" w:line="360"/>
        <w:jc w:val="both"/>
        <w:rPr>
          <w:rFonts w:ascii="Times New Roman" w:cs="Times New Roman" w:eastAsia="Times New Roman" w:hAnsi="Times New Roman"/>
          <w:b/>
          <w:bCs/>
          <w:color w:val="222222"/>
          <w:sz w:val="32"/>
          <w:szCs w:val="32"/>
          <w:highlight w:val="white"/>
          <w:lang w:val="en-GB"/>
        </w:rPr>
      </w:pPr>
    </w:p>
    <w:p w14:paraId="0E9826BA">
      <w:pPr>
        <w:pStyle w:val="style0"/>
        <w:spacing w:lineRule="auto" w:line="360"/>
        <w:jc w:val="center"/>
        <w:rPr>
          <w:rFonts w:ascii="Times New Roman" w:cs="Times New Roman" w:eastAsia="Times New Roman" w:hAnsi="Times New Roman"/>
          <w:b/>
          <w:bCs/>
          <w:color w:val="222222"/>
          <w:sz w:val="32"/>
          <w:szCs w:val="32"/>
          <w:highlight w:val="white"/>
          <w:lang w:val="en-GB"/>
        </w:rPr>
      </w:pPr>
    </w:p>
    <w:p w14:paraId="7E127520">
      <w:pPr>
        <w:pStyle w:val="style0"/>
        <w:spacing w:lineRule="auto" w:line="360"/>
        <w:rPr>
          <w:rFonts w:ascii="Times New Roman" w:cs="Times New Roman" w:eastAsia="Times New Roman" w:hAnsi="Times New Roman"/>
          <w:b/>
          <w:bCs/>
          <w:color w:val="222222"/>
          <w:sz w:val="32"/>
          <w:szCs w:val="32"/>
          <w:highlight w:val="white"/>
          <w:lang w:val="en-GB"/>
        </w:rPr>
      </w:pPr>
    </w:p>
    <w:p w14:paraId="25243860">
      <w:pPr>
        <w:pStyle w:val="style0"/>
        <w:spacing w:lineRule="auto" w:line="360"/>
        <w:jc w:val="center"/>
        <w:rPr>
          <w:rFonts w:ascii="Times New Roman" w:cs="Times New Roman" w:eastAsia="Times New Roman" w:hAnsi="Times New Roman"/>
          <w:b/>
          <w:bCs/>
          <w:color w:val="222222"/>
          <w:sz w:val="32"/>
          <w:szCs w:val="32"/>
          <w:highlight w:val="white"/>
          <w:lang w:val="en-GB"/>
        </w:rPr>
      </w:pPr>
      <w:r>
        <w:rPr>
          <w:rFonts w:ascii="Times New Roman" w:cs="Times New Roman" w:eastAsia="Times New Roman" w:hAnsi="Times New Roman"/>
          <w:b/>
          <w:bCs/>
          <w:color w:val="222222"/>
          <w:sz w:val="32"/>
          <w:szCs w:val="32"/>
          <w:highlight w:val="white"/>
          <w:lang w:val="en-GB"/>
        </w:rPr>
        <w:t>MODULE NAME:  PROCUREMENT AND SUPPLY CHAIN MANAGEMENT</w:t>
      </w:r>
    </w:p>
    <w:p w14:paraId="79937624">
      <w:pPr>
        <w:pStyle w:val="style0"/>
        <w:spacing w:lineRule="auto" w:line="360"/>
        <w:jc w:val="center"/>
        <w:rPr>
          <w:rFonts w:ascii="Times New Roman" w:cs="Times New Roman" w:eastAsia="Times New Roman" w:hAnsi="Times New Roman"/>
          <w:b/>
          <w:bCs/>
          <w:color w:val="222222"/>
          <w:sz w:val="32"/>
          <w:szCs w:val="32"/>
          <w:highlight w:val="white"/>
          <w:lang w:val="en-GB"/>
        </w:rPr>
      </w:pPr>
      <w:r>
        <w:rPr>
          <w:rFonts w:ascii="Times New Roman" w:cs="Times New Roman" w:eastAsia="Times New Roman" w:hAnsi="Times New Roman"/>
          <w:b/>
          <w:bCs/>
          <w:color w:val="222222"/>
          <w:sz w:val="32"/>
          <w:szCs w:val="32"/>
          <w:highlight w:val="white"/>
          <w:lang w:val="en-GB"/>
        </w:rPr>
        <w:t xml:space="preserve">CHOSEN PRODUCT-BASED COMPANY: MICROSOFT </w:t>
      </w:r>
    </w:p>
    <w:p w14:paraId="28613361">
      <w:pPr>
        <w:pStyle w:val="style0"/>
        <w:spacing w:lineRule="auto" w:line="360"/>
        <w:jc w:val="center"/>
        <w:rPr>
          <w:rFonts w:ascii="Times New Roman" w:cs="Times New Roman" w:eastAsia="Times New Roman" w:hAnsi="Times New Roman"/>
          <w:b/>
          <w:bCs/>
          <w:color w:val="222222"/>
          <w:sz w:val="32"/>
          <w:szCs w:val="32"/>
          <w:highlight w:val="white"/>
          <w:lang w:val="en-GB"/>
        </w:rPr>
      </w:pPr>
    </w:p>
    <w:p w14:paraId="3AD88B22">
      <w:pPr>
        <w:pStyle w:val="style0"/>
        <w:spacing w:lineRule="auto" w:line="360"/>
        <w:jc w:val="center"/>
        <w:rPr>
          <w:rFonts w:ascii="Times New Roman" w:cs="Times New Roman" w:eastAsia="Times New Roman" w:hAnsi="Times New Roman"/>
          <w:b/>
          <w:bCs/>
          <w:color w:val="222222"/>
          <w:sz w:val="32"/>
          <w:szCs w:val="32"/>
          <w:highlight w:val="white"/>
          <w:lang w:val="en-GB"/>
        </w:rPr>
      </w:pPr>
    </w:p>
    <w:p w14:paraId="128B2441">
      <w:pPr>
        <w:pStyle w:val="style0"/>
        <w:spacing w:lineRule="auto" w:line="360"/>
        <w:jc w:val="center"/>
        <w:rPr>
          <w:rFonts w:ascii="Times New Roman" w:cs="Times New Roman" w:eastAsia="Times New Roman" w:hAnsi="Times New Roman"/>
          <w:b/>
          <w:bCs/>
          <w:color w:val="222222"/>
          <w:sz w:val="32"/>
          <w:szCs w:val="32"/>
          <w:highlight w:val="white"/>
          <w:lang w:val="en-GB"/>
        </w:rPr>
      </w:pPr>
    </w:p>
    <w:p w14:paraId="F90C872D">
      <w:pPr>
        <w:pStyle w:val="style0"/>
        <w:spacing w:lineRule="auto" w:line="360"/>
        <w:jc w:val="center"/>
        <w:rPr>
          <w:rFonts w:ascii="Times New Roman" w:cs="Times New Roman" w:eastAsia="Times New Roman" w:hAnsi="Times New Roman" w:hint="default"/>
          <w:b/>
          <w:bCs/>
          <w:color w:val="222222"/>
          <w:sz w:val="32"/>
          <w:szCs w:val="32"/>
          <w:highlight w:val="white"/>
          <w:lang w:val="en-GB"/>
        </w:rPr>
      </w:pPr>
      <w:r>
        <w:rPr>
          <w:rFonts w:ascii="Times New Roman" w:cs="Times New Roman" w:eastAsia="Times New Roman" w:hAnsi="Times New Roman" w:hint="default"/>
          <w:b/>
          <w:bCs/>
          <w:color w:val="222222"/>
          <w:sz w:val="32"/>
          <w:szCs w:val="32"/>
          <w:highlight w:val="white"/>
          <w:lang w:val="en-GB"/>
        </w:rPr>
        <w:t xml:space="preserve">STUDENT NAME : </w:t>
      </w:r>
      <w:r>
        <w:rPr>
          <w:rFonts w:ascii="Times New Roman" w:cs="Times New Roman" w:eastAsia="Times New Roman" w:hAnsi="Times New Roman" w:hint="default"/>
          <w:b/>
          <w:bCs/>
          <w:color w:val="222222"/>
          <w:sz w:val="32"/>
          <w:szCs w:val="32"/>
          <w:highlight w:val="white"/>
          <w:lang w:val="en-US"/>
        </w:rPr>
        <w:t>A</w:t>
      </w:r>
      <w:r>
        <w:rPr>
          <w:rFonts w:ascii="Times New Roman" w:cs="Times New Roman" w:eastAsia="Times New Roman" w:hAnsi="Times New Roman" w:hint="default"/>
          <w:b/>
          <w:bCs/>
          <w:color w:val="222222"/>
          <w:sz w:val="32"/>
          <w:szCs w:val="32"/>
          <w:highlight w:val="white"/>
          <w:lang w:val="en-GB"/>
        </w:rPr>
        <w:t>minur Islam Tonm</w:t>
      </w:r>
      <w:r>
        <w:rPr>
          <w:rFonts w:ascii="Times New Roman" w:cs="Times New Roman" w:eastAsia="Times New Roman" w:hAnsi="Times New Roman" w:hint="default"/>
          <w:b/>
          <w:bCs/>
          <w:color w:val="222222"/>
          <w:sz w:val="32"/>
          <w:szCs w:val="32"/>
          <w:highlight w:val="white"/>
          <w:lang w:val="en-US"/>
        </w:rPr>
        <w:t xml:space="preserve">oy </w:t>
      </w:r>
    </w:p>
    <w:p w14:paraId="5369DEE5">
      <w:pPr>
        <w:pStyle w:val="style0"/>
        <w:spacing w:lineRule="auto" w:line="360"/>
        <w:jc w:val="center"/>
        <w:rPr>
          <w:rFonts w:ascii="Times New Roman" w:cs="Times New Roman" w:eastAsia="Times New Roman" w:hAnsi="Times New Roman" w:hint="default"/>
          <w:b/>
          <w:bCs/>
          <w:color w:val="222222"/>
          <w:sz w:val="32"/>
          <w:szCs w:val="32"/>
          <w:highlight w:val="white"/>
          <w:lang w:val="en-GB"/>
        </w:rPr>
      </w:pPr>
      <w:r>
        <w:rPr>
          <w:rFonts w:ascii="Times New Roman" w:cs="Times New Roman" w:eastAsia="Times New Roman" w:hAnsi="Times New Roman" w:hint="default"/>
          <w:b/>
          <w:bCs/>
          <w:color w:val="222222"/>
          <w:sz w:val="32"/>
          <w:szCs w:val="32"/>
          <w:highlight w:val="white"/>
          <w:lang w:val="en-GB"/>
        </w:rPr>
        <w:t>STUDENT ID :</w:t>
      </w:r>
      <w:r>
        <w:rPr>
          <w:rFonts w:ascii="Times New Roman" w:cs="Times New Roman" w:eastAsia="Times New Roman" w:hAnsi="Times New Roman" w:hint="default"/>
          <w:b/>
          <w:bCs/>
          <w:color w:val="222222"/>
          <w:sz w:val="32"/>
          <w:szCs w:val="32"/>
          <w:highlight w:val="white"/>
          <w:lang w:val="en-US"/>
        </w:rPr>
        <w:t xml:space="preserve"> 2522779</w:t>
      </w:r>
    </w:p>
    <w:p w14:paraId="292836EB">
      <w:pPr>
        <w:pStyle w:val="style0"/>
        <w:spacing w:lineRule="auto" w:line="360"/>
        <w:jc w:val="center"/>
        <w:rPr>
          <w:rFonts w:ascii="Times New Roman" w:cs="Times New Roman" w:eastAsia="Times New Roman" w:hAnsi="Times New Roman"/>
          <w:b/>
          <w:bCs/>
          <w:color w:val="222222"/>
          <w:sz w:val="32"/>
          <w:szCs w:val="32"/>
          <w:highlight w:val="white"/>
          <w:lang w:val="en-GB"/>
        </w:rPr>
      </w:pPr>
      <w:r>
        <w:rPr>
          <w:lang w:val="en-GB"/>
        </w:rPr>
        <w:br w:type="page"/>
      </w:r>
    </w:p>
    <w:p w14:paraId="06CFA852">
      <w:pPr>
        <w:pStyle w:val="style0"/>
        <w:spacing w:lineRule="auto" w:line="360"/>
        <w:jc w:val="center"/>
        <w:rPr>
          <w:rFonts w:ascii="Times New Roman" w:cs="Times New Roman" w:eastAsia="Times New Roman" w:hAnsi="Times New Roman"/>
          <w:b/>
          <w:bCs/>
          <w:color w:val="222222"/>
          <w:sz w:val="28"/>
          <w:szCs w:val="28"/>
          <w:highlight w:val="white"/>
          <w:lang w:val="en-GB"/>
        </w:rPr>
      </w:pPr>
      <w:r>
        <w:rPr>
          <w:rFonts w:ascii="Times New Roman" w:cs="Times New Roman" w:eastAsia="Times New Roman" w:hAnsi="Times New Roman"/>
          <w:b/>
          <w:bCs/>
          <w:color w:val="222222"/>
          <w:sz w:val="28"/>
          <w:szCs w:val="28"/>
          <w:highlight w:val="white"/>
          <w:lang w:val="en-GB"/>
        </w:rPr>
        <w:t xml:space="preserve">Table of Contents </w:t>
      </w:r>
    </w:p>
    <w:p w14:paraId="7BBC6F4B">
      <w:pPr>
        <w:pStyle w:val="style0"/>
        <w:widowControl w:val="false"/>
        <w:tabs>
          <w:tab w:val="right" w:leader="dot" w:pos="12000"/>
        </w:tabs>
        <w:spacing w:before="60" w:lineRule="auto" w:line="360"/>
        <w:jc w:val="both"/>
        <w:rPr>
          <w:rFonts w:ascii="Arial" w:cs="Arial" w:eastAsia="Arial" w:hAnsi="Arial"/>
          <w:sz w:val="22"/>
          <w:szCs w:val="22"/>
          <w:lang w:val="en-GB" w:bidi="ar-SA" w:eastAsia="en-IN"/>
        </w:rPr>
      </w:pPr>
      <w:r>
        <w:rPr>
          <w:lang w:val="en-GB"/>
        </w:rPr>
        <w:fldChar w:fldCharType="begin"/>
      </w:r>
      <w:r>
        <w:rPr>
          <w:lang w:val="en-GB"/>
        </w:rPr>
        <w:instrText xml:space="preserve"> TOC \h \u \z \t "Heading 1,1,Heading 2,2,Heading 3,3,Heading 4,4,Heading 5,5,Heading 6,6,"</w:instrText>
      </w:r>
      <w:r>
        <w:rPr>
          <w:lang w:val="en-GB"/>
        </w:rPr>
        <w:fldChar w:fldCharType="separate"/>
      </w:r>
    </w:p>
    <w:p w14:paraId="01E68979">
      <w:pPr>
        <w:pStyle w:val="style19"/>
        <w:tabs>
          <w:tab w:val="right" w:leader="dot" w:pos="9360"/>
        </w:tabs>
        <w:rPr/>
      </w:pPr>
      <w:r>
        <w:rPr>
          <w:lang w:val="en-GB"/>
        </w:rPr>
        <w:fldChar w:fldCharType="begin"/>
      </w:r>
      <w:r>
        <w:rPr>
          <w:lang w:val="en-GB"/>
        </w:rPr>
        <w:instrText xml:space="preserve"> HYPERLINK \l _Toc8292 </w:instrText>
      </w:r>
      <w:r>
        <w:rPr>
          <w:lang w:val="en-GB"/>
        </w:rPr>
        <w:fldChar w:fldCharType="separate"/>
      </w:r>
      <w:r>
        <w:rPr>
          <w:rFonts w:ascii="Times New Roman" w:cs="Times New Roman" w:eastAsia="Times New Roman" w:hAnsi="Times New Roman"/>
          <w:bCs/>
          <w:szCs w:val="28"/>
          <w:lang w:val="en-GB"/>
        </w:rPr>
        <w:t>Introduction</w:t>
      </w:r>
      <w:r>
        <w:tab/>
      </w:r>
      <w:r>
        <w:rPr/>
        <w:fldChar w:fldCharType="begin"/>
      </w:r>
      <w:r>
        <w:instrText xml:space="preserve"> PAGEREF _Toc8292 \h </w:instrText>
      </w:r>
      <w:r>
        <w:rPr/>
        <w:fldChar w:fldCharType="separate"/>
      </w:r>
      <w:r>
        <w:t>2</w:t>
      </w:r>
      <w:r>
        <w:rPr/>
        <w:fldChar w:fldCharType="end"/>
      </w:r>
      <w:r>
        <w:rPr>
          <w:lang w:val="en-GB"/>
        </w:rPr>
        <w:fldChar w:fldCharType="end"/>
      </w:r>
    </w:p>
    <w:p w14:paraId="5384D2A5">
      <w:pPr>
        <w:pStyle w:val="style19"/>
        <w:tabs>
          <w:tab w:val="right" w:leader="dot" w:pos="9360"/>
        </w:tabs>
        <w:rPr/>
      </w:pPr>
      <w:r>
        <w:rPr>
          <w:lang w:val="en-GB"/>
        </w:rPr>
        <w:fldChar w:fldCharType="begin"/>
      </w:r>
      <w:r>
        <w:rPr>
          <w:lang w:val="en-GB"/>
        </w:rPr>
        <w:instrText xml:space="preserve"> HYPERLINK \l _Toc7561 </w:instrText>
      </w:r>
      <w:r>
        <w:rPr>
          <w:lang w:val="en-GB"/>
        </w:rPr>
        <w:fldChar w:fldCharType="separate"/>
      </w:r>
      <w:r>
        <w:rPr>
          <w:rFonts w:ascii="Times New Roman" w:cs="Times New Roman" w:eastAsia="Times New Roman" w:hAnsi="Times New Roman"/>
          <w:bCs/>
          <w:szCs w:val="28"/>
          <w:lang w:val="en-GB"/>
        </w:rPr>
        <w:t>FMEA analysis</w:t>
      </w:r>
      <w:r>
        <w:tab/>
      </w:r>
      <w:r>
        <w:rPr/>
        <w:fldChar w:fldCharType="begin"/>
      </w:r>
      <w:r>
        <w:instrText xml:space="preserve"> PAGEREF _Toc7561 \h </w:instrText>
      </w:r>
      <w:r>
        <w:rPr/>
        <w:fldChar w:fldCharType="separate"/>
      </w:r>
      <w:r>
        <w:t>3</w:t>
      </w:r>
      <w:r>
        <w:rPr/>
        <w:fldChar w:fldCharType="end"/>
      </w:r>
      <w:r>
        <w:rPr>
          <w:lang w:val="en-GB"/>
        </w:rPr>
        <w:fldChar w:fldCharType="end"/>
      </w:r>
    </w:p>
    <w:p w14:paraId="09144F11">
      <w:pPr>
        <w:pStyle w:val="style19"/>
        <w:tabs>
          <w:tab w:val="right" w:leader="dot" w:pos="9360"/>
        </w:tabs>
        <w:rPr/>
      </w:pPr>
      <w:r>
        <w:rPr>
          <w:lang w:val="en-GB"/>
        </w:rPr>
        <w:fldChar w:fldCharType="begin"/>
      </w:r>
      <w:r>
        <w:rPr>
          <w:lang w:val="en-GB"/>
        </w:rPr>
        <w:instrText xml:space="preserve"> HYPERLINK \l _Toc30063 </w:instrText>
      </w:r>
      <w:r>
        <w:rPr>
          <w:lang w:val="en-GB"/>
        </w:rPr>
        <w:fldChar w:fldCharType="separate"/>
      </w:r>
      <w:r>
        <w:rPr>
          <w:rFonts w:ascii="Times New Roman" w:cs="Times New Roman" w:eastAsia="Times New Roman" w:hAnsi="Times New Roman"/>
          <w:bCs/>
          <w:szCs w:val="28"/>
          <w:lang w:val="en-GB"/>
        </w:rPr>
        <w:t>Steps to make the supply chain more resilient</w:t>
      </w:r>
      <w:r>
        <w:tab/>
      </w:r>
      <w:r>
        <w:rPr/>
        <w:fldChar w:fldCharType="begin"/>
      </w:r>
      <w:r>
        <w:instrText xml:space="preserve"> PAGEREF _Toc30063 \h </w:instrText>
      </w:r>
      <w:r>
        <w:rPr/>
        <w:fldChar w:fldCharType="separate"/>
      </w:r>
      <w:r>
        <w:t>9</w:t>
      </w:r>
      <w:r>
        <w:rPr/>
        <w:fldChar w:fldCharType="end"/>
      </w:r>
      <w:r>
        <w:rPr>
          <w:lang w:val="en-GB"/>
        </w:rPr>
        <w:fldChar w:fldCharType="end"/>
      </w:r>
    </w:p>
    <w:p w14:paraId="2ACFC208">
      <w:pPr>
        <w:pStyle w:val="style19"/>
        <w:tabs>
          <w:tab w:val="right" w:leader="dot" w:pos="9360"/>
        </w:tabs>
        <w:rPr/>
      </w:pPr>
      <w:r>
        <w:rPr>
          <w:lang w:val="en-GB"/>
        </w:rPr>
        <w:fldChar w:fldCharType="begin"/>
      </w:r>
      <w:r>
        <w:rPr>
          <w:lang w:val="en-GB"/>
        </w:rPr>
        <w:instrText xml:space="preserve"> HYPERLINK \l _Toc15729 </w:instrText>
      </w:r>
      <w:r>
        <w:rPr>
          <w:lang w:val="en-GB"/>
        </w:rPr>
        <w:fldChar w:fldCharType="separate"/>
      </w:r>
      <w:r>
        <w:rPr>
          <w:rFonts w:ascii="Times New Roman" w:cs="Times New Roman" w:eastAsia="Times New Roman" w:hAnsi="Times New Roman"/>
          <w:bCs/>
          <w:szCs w:val="28"/>
          <w:lang w:val="en-GB"/>
        </w:rPr>
        <w:t>Conclusions and suggestions for further work/research</w:t>
      </w:r>
      <w:r>
        <w:tab/>
      </w:r>
      <w:r>
        <w:rPr/>
        <w:fldChar w:fldCharType="begin"/>
      </w:r>
      <w:r>
        <w:instrText xml:space="preserve"> PAGEREF _Toc15729 \h </w:instrText>
      </w:r>
      <w:r>
        <w:rPr/>
        <w:fldChar w:fldCharType="separate"/>
      </w:r>
      <w:r>
        <w:t>11</w:t>
      </w:r>
      <w:r>
        <w:rPr/>
        <w:fldChar w:fldCharType="end"/>
      </w:r>
      <w:r>
        <w:rPr>
          <w:lang w:val="en-GB"/>
        </w:rPr>
        <w:fldChar w:fldCharType="end"/>
      </w:r>
    </w:p>
    <w:p w14:paraId="283FFFFF">
      <w:pPr>
        <w:pStyle w:val="style19"/>
        <w:tabs>
          <w:tab w:val="right" w:leader="dot" w:pos="9360"/>
        </w:tabs>
        <w:rPr/>
      </w:pPr>
      <w:r>
        <w:rPr>
          <w:lang w:val="en-GB"/>
        </w:rPr>
        <w:fldChar w:fldCharType="begin"/>
      </w:r>
      <w:r>
        <w:rPr>
          <w:lang w:val="en-GB"/>
        </w:rPr>
        <w:instrText xml:space="preserve"> HYPERLINK \l _Toc32058 </w:instrText>
      </w:r>
      <w:r>
        <w:rPr>
          <w:lang w:val="en-GB"/>
        </w:rPr>
        <w:fldChar w:fldCharType="separate"/>
      </w:r>
      <w:r>
        <w:rPr>
          <w:rFonts w:ascii="Times New Roman" w:cs="Times New Roman" w:eastAsia="Times New Roman" w:hAnsi="Times New Roman"/>
          <w:bCs/>
          <w:szCs w:val="28"/>
          <w:lang w:val="en-GB"/>
        </w:rPr>
        <w:t>References</w:t>
      </w:r>
      <w:r>
        <w:tab/>
      </w:r>
      <w:r>
        <w:rPr/>
        <w:fldChar w:fldCharType="begin"/>
      </w:r>
      <w:r>
        <w:instrText xml:space="preserve"> PAGEREF _Toc32058 \h </w:instrText>
      </w:r>
      <w:r>
        <w:rPr/>
        <w:fldChar w:fldCharType="separate"/>
      </w:r>
      <w:r>
        <w:t>13</w:t>
      </w:r>
      <w:r>
        <w:rPr/>
        <w:fldChar w:fldCharType="end"/>
      </w:r>
      <w:r>
        <w:rPr>
          <w:lang w:val="en-GB"/>
        </w:rPr>
        <w:fldChar w:fldCharType="end"/>
      </w:r>
    </w:p>
    <w:p w14:paraId="7840C6AD">
      <w:pPr>
        <w:pStyle w:val="style0"/>
        <w:widowControl w:val="false"/>
        <w:tabs>
          <w:tab w:val="right" w:leader="dot" w:pos="12000"/>
        </w:tabs>
        <w:spacing w:before="60" w:lineRule="auto" w:line="360"/>
        <w:jc w:val="both"/>
        <w:rPr>
          <w:rFonts w:ascii="Times New Roman" w:cs="Times New Roman" w:eastAsia="Times New Roman" w:hAnsi="Times New Roman"/>
          <w:color w:val="000000"/>
          <w:sz w:val="24"/>
          <w:szCs w:val="24"/>
          <w:lang w:val="en-GB"/>
        </w:rPr>
      </w:pPr>
      <w:r>
        <w:rPr>
          <w:lang w:val="en-GB"/>
        </w:rPr>
        <w:fldChar w:fldCharType="end"/>
      </w:r>
    </w:p>
    <w:p w14:paraId="6812D641">
      <w:pPr>
        <w:pStyle w:val="style0"/>
        <w:spacing w:lineRule="auto" w:line="360"/>
        <w:rPr>
          <w:rFonts w:ascii="Times New Roman" w:cs="Times New Roman" w:eastAsia="Times New Roman" w:hAnsi="Times New Roman"/>
          <w:b/>
          <w:bCs/>
          <w:color w:val="222222"/>
          <w:sz w:val="28"/>
          <w:szCs w:val="28"/>
          <w:highlight w:val="white"/>
          <w:lang w:val="en-GB"/>
        </w:rPr>
      </w:pPr>
    </w:p>
    <w:p w14:paraId="35B25BBF">
      <w:pPr>
        <w:pStyle w:val="style0"/>
        <w:spacing w:lineRule="auto" w:line="360"/>
        <w:jc w:val="center"/>
        <w:rPr>
          <w:rFonts w:ascii="Times New Roman" w:cs="Times New Roman" w:eastAsia="Times New Roman" w:hAnsi="Times New Roman"/>
          <w:b/>
          <w:bCs/>
          <w:color w:val="222222"/>
          <w:sz w:val="32"/>
          <w:szCs w:val="32"/>
          <w:highlight w:val="white"/>
          <w:lang w:val="en-GB"/>
        </w:rPr>
      </w:pPr>
      <w:r>
        <w:rPr>
          <w:lang w:val="en-GB"/>
        </w:rPr>
        <w:br w:type="page"/>
      </w:r>
    </w:p>
    <w:bookmarkStart w:id="1" w:name="_Toc8292"/>
    <w:p w14:paraId="167689F4">
      <w:pPr>
        <w:pStyle w:val="style1"/>
        <w:spacing w:lineRule="auto" w:line="360"/>
        <w:jc w:val="both"/>
        <w:rPr>
          <w:rFonts w:ascii="Times New Roman" w:cs="Times New Roman" w:eastAsia="Times New Roman" w:hAnsi="Times New Roman"/>
          <w:b/>
          <w:bCs/>
          <w:sz w:val="28"/>
          <w:szCs w:val="28"/>
          <w:lang w:val="en-GB"/>
        </w:rPr>
      </w:pPr>
      <w:r>
        <w:rPr>
          <w:rFonts w:ascii="Times New Roman" w:cs="Times New Roman" w:eastAsia="Times New Roman" w:hAnsi="Times New Roman"/>
          <w:b/>
          <w:bCs/>
          <w:sz w:val="28"/>
          <w:szCs w:val="28"/>
          <w:lang w:val="en-GB"/>
        </w:rPr>
        <w:t>Introduction</w:t>
      </w:r>
      <w:bookmarkEnd w:id="1"/>
      <w:r>
        <w:rPr>
          <w:rFonts w:ascii="Times New Roman" w:cs="Times New Roman" w:eastAsia="Times New Roman" w:hAnsi="Times New Roman"/>
          <w:b/>
          <w:bCs/>
          <w:sz w:val="28"/>
          <w:szCs w:val="28"/>
          <w:lang w:val="en-GB"/>
        </w:rPr>
        <w:t xml:space="preserve"> </w:t>
      </w:r>
    </w:p>
    <w:p w14:paraId="5C9707C4">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A chain of activities, resources, technologies and organisations that make and deliver a product or service to the end user from raw material suppliers is regarded as a supply chain process, as stated by Kanike, (2023). Ning and Yao (2023), view the supply chain as a strategic asset which contributes to competitiveness, efficiency, and innovation within an organisation. They play a crucial role in the overall success of a business by helping to reduce costs, being able to respond to market fluctuations, and providing stability in the face of disruptions, which can impact long-term profitability and customer satisfaction. In this regard, Microsoft is selected for analysis since it is a firm that is known for having a complex international supply chain from hardware (Xboxes, Surfaces) to software (Azure, Office 365) (Microsoft, 2017)). It is based on the need for a combination of physical resources that are sourced globally and the need for digital resources for which data centres must be secure, resilient and dependable. This will help to build outcomes by providing a multi-dimensional case in which risks like semiconductor shortages, geopolitical issues, and cyber risks all come together to be portrayed in the study. These issues have implications for business continuity and growth and will require a structured analysis to be carried out to determine vulnerabilities. </w:t>
      </w:r>
    </w:p>
    <w:p w14:paraId="2911D7E6">
      <w:pPr>
        <w:pStyle w:val="style0"/>
        <w:spacing w:lineRule="auto" w:line="360"/>
        <w:jc w:val="center"/>
        <w:rPr>
          <w:rFonts w:ascii="Times New Roman" w:cs="Times New Roman" w:eastAsia="Times New Roman" w:hAnsi="Times New Roman"/>
          <w:lang w:val="en-GB"/>
        </w:rPr>
      </w:pPr>
      <w:r>
        <w:rPr>
          <w:rFonts w:ascii="Times New Roman" w:cs="Times New Roman" w:eastAsia="Times New Roman" w:hAnsi="Times New Roman"/>
          <w:lang w:val="en-GB"/>
        </w:rPr>
        <w:drawing>
          <wp:inline distL="0" distT="0" distB="0" distR="0">
            <wp:extent cx="5943600" cy="2959100"/>
            <wp:effectExtent l="0" t="0" r="0" b="0"/>
            <wp:docPr id="1027" name="image1.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3" cstate="print"/>
                    <a:srcRect l="0" t="0" r="0" b="0"/>
                    <a:stretch/>
                  </pic:blipFill>
                  <pic:spPr>
                    <a:xfrm rot="0">
                      <a:off x="0" y="0"/>
                      <a:ext cx="5943600" cy="2959100"/>
                    </a:xfrm>
                    <a:prstGeom prst="rect"/>
                  </pic:spPr>
                </pic:pic>
              </a:graphicData>
            </a:graphic>
          </wp:inline>
        </w:drawing>
      </w:r>
    </w:p>
    <w:p w14:paraId="2C946966">
      <w:pPr>
        <w:pStyle w:val="style0"/>
        <w:spacing w:lineRule="auto" w:line="360"/>
        <w:jc w:val="center"/>
        <w:rPr>
          <w:rFonts w:ascii="Times New Roman" w:cs="Times New Roman" w:eastAsia="Times New Roman" w:hAnsi="Times New Roman"/>
          <w:b/>
          <w:bCs/>
          <w:sz w:val="24"/>
          <w:szCs w:val="24"/>
          <w:lang w:val="en-GB"/>
        </w:rPr>
      </w:pPr>
      <w:r>
        <w:rPr>
          <w:rFonts w:ascii="Times New Roman" w:cs="Times New Roman" w:eastAsia="Times New Roman" w:hAnsi="Times New Roman"/>
          <w:b/>
          <w:bCs/>
          <w:sz w:val="24"/>
          <w:szCs w:val="24"/>
          <w:lang w:val="en-GB"/>
        </w:rPr>
        <w:t>Figure 1: Supplier structure of Microsoft</w:t>
      </w:r>
    </w:p>
    <w:p w14:paraId="549C3589">
      <w:pPr>
        <w:pStyle w:val="style0"/>
        <w:spacing w:lineRule="auto" w:line="360"/>
        <w:jc w:val="center"/>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lang w:val="en-GB"/>
        </w:rPr>
        <w:t xml:space="preserve">(Source: </w:t>
      </w:r>
      <w:r>
        <w:rPr>
          <w:rFonts w:ascii="Times New Roman" w:cs="Times New Roman" w:eastAsia="Times New Roman" w:hAnsi="Times New Roman"/>
          <w:sz w:val="24"/>
          <w:szCs w:val="24"/>
          <w:highlight w:val="white"/>
          <w:lang w:val="en-GB"/>
        </w:rPr>
        <w:t>Henson, 2020</w:t>
      </w:r>
      <w:r>
        <w:rPr>
          <w:rFonts w:ascii="Times New Roman" w:cs="Times New Roman" w:eastAsia="Times New Roman" w:hAnsi="Times New Roman"/>
          <w:sz w:val="24"/>
          <w:szCs w:val="24"/>
          <w:lang w:val="en-GB"/>
        </w:rPr>
        <w:t>)</w:t>
      </w:r>
    </w:p>
    <w:p w14:paraId="07BEAD8D">
      <w:pPr>
        <w:pStyle w:val="style0"/>
        <w:spacing w:before="240" w:after="240"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highlight w:val="white"/>
          <w:lang w:val="en-GB"/>
        </w:rPr>
        <w:t>The assessment is important as it adds value to the stakeholders, such as managers, policymakers and consumers, through identifying resilience strategies. It will even provide opportunities for sustainability, digitalisation, and diversification of suppliers. The aim of the study is to critically analyse Microsoft's supply chain, articulate the information from a scholarly perspective by using the framework of FMEA analysis to show the challenges and opportunities in the global business landscape for growth.</w:t>
      </w:r>
    </w:p>
    <w:bookmarkStart w:id="2" w:name="_Toc7561"/>
    <w:p w14:paraId="3914B976">
      <w:pPr>
        <w:pStyle w:val="style1"/>
        <w:spacing w:lineRule="auto" w:line="360"/>
        <w:jc w:val="both"/>
        <w:rPr>
          <w:rFonts w:ascii="Times New Roman" w:cs="Times New Roman" w:eastAsia="Times New Roman" w:hAnsi="Times New Roman"/>
          <w:b/>
          <w:bCs/>
          <w:sz w:val="28"/>
          <w:szCs w:val="28"/>
          <w:lang w:val="en-GB"/>
        </w:rPr>
      </w:pPr>
      <w:r>
        <w:rPr>
          <w:rFonts w:ascii="Times New Roman" w:cs="Times New Roman" w:eastAsia="Times New Roman" w:hAnsi="Times New Roman"/>
          <w:b/>
          <w:bCs/>
          <w:sz w:val="28"/>
          <w:szCs w:val="28"/>
          <w:lang w:val="en-GB"/>
        </w:rPr>
        <w:t>FMEA analysis</w:t>
      </w:r>
      <w:bookmarkEnd w:id="2"/>
      <w:r>
        <w:rPr>
          <w:rFonts w:ascii="Times New Roman" w:cs="Times New Roman" w:eastAsia="Times New Roman" w:hAnsi="Times New Roman"/>
          <w:b/>
          <w:bCs/>
          <w:sz w:val="28"/>
          <w:szCs w:val="28"/>
          <w:lang w:val="en-GB"/>
        </w:rPr>
        <w:t xml:space="preserve">  </w:t>
      </w:r>
    </w:p>
    <w:p w14:paraId="6B1BC965">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i/>
          <w:iCs/>
          <w:sz w:val="24"/>
          <w:szCs w:val="24"/>
          <w:highlight w:val="white"/>
          <w:lang w:val="en-GB"/>
        </w:rPr>
        <w:t>Failure Modes and Effects Analysis (FMEA)</w:t>
      </w:r>
      <w:r>
        <w:rPr>
          <w:rFonts w:ascii="Times New Roman" w:cs="Times New Roman" w:eastAsia="Times New Roman" w:hAnsi="Times New Roman"/>
          <w:sz w:val="24"/>
          <w:szCs w:val="24"/>
          <w:highlight w:val="white"/>
          <w:lang w:val="en-GB"/>
        </w:rPr>
        <w:t xml:space="preserve"> is a structured approach to identify, analyse, and prioritise potential failures in a process or system based on the severity of the failure, likelihood of occurrence and the ease of detection (Atin and Lubis, 2020). In the case of complex supply chains such as Microsoft, as argued by Thomas (2025), FMEA is highly relevant, since it can be used to reflect on and recognise the potential risks that could be faced in the future. It is also systematically scored, helping to guide and inform outcome development and prioritise risk numbers for managers to target resilience strategies. The assessment of other approaches can provide more general strategic information, but does not provide as much granularity or operational focus as is desired for risk prioritisation. </w:t>
      </w:r>
    </w:p>
    <w:p w14:paraId="240A0641">
      <w:pPr>
        <w:pStyle w:val="style0"/>
        <w:spacing w:before="240" w:after="240" w:lineRule="auto" w:line="360"/>
        <w:jc w:val="center"/>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drawing>
          <wp:inline distL="0" distT="0" distB="0" distR="0">
            <wp:extent cx="2816860" cy="6281420"/>
            <wp:effectExtent l="0" t="0" r="0" b="0"/>
            <wp:docPr id="1028" name="image2.png"/>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4" cstate="print"/>
                    <a:srcRect l="0" t="0" r="0" b="0"/>
                    <a:stretch/>
                  </pic:blipFill>
                  <pic:spPr>
                    <a:xfrm rot="0">
                      <a:off x="0" y="0"/>
                      <a:ext cx="2816860" cy="6281420"/>
                    </a:xfrm>
                    <a:prstGeom prst="rect"/>
                  </pic:spPr>
                </pic:pic>
              </a:graphicData>
            </a:graphic>
          </wp:inline>
        </w:drawing>
      </w:r>
    </w:p>
    <w:p w14:paraId="2F9EA815">
      <w:pPr>
        <w:pStyle w:val="style0"/>
        <w:spacing w:before="240" w:after="240" w:lineRule="auto" w:line="360"/>
        <w:jc w:val="center"/>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Figure 2: Characteristics of FMEA analysis</w:t>
      </w:r>
    </w:p>
    <w:p w14:paraId="74A2F781">
      <w:pPr>
        <w:pStyle w:val="style0"/>
        <w:spacing w:before="240" w:after="240" w:lineRule="auto" w:line="360"/>
        <w:jc w:val="center"/>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(Source: Researchgate.net., 2026)</w:t>
      </w:r>
    </w:p>
    <w:p w14:paraId="2AFE13D0">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The concept of resilience as advocated by Nwamekwe </w:t>
      </w:r>
      <w:r>
        <w:rPr>
          <w:rFonts w:ascii="Times New Roman" w:cs="Times New Roman" w:eastAsia="Times New Roman" w:hAnsi="Times New Roman"/>
          <w:i/>
          <w:iCs/>
          <w:sz w:val="24"/>
          <w:szCs w:val="24"/>
          <w:highlight w:val="white"/>
          <w:lang w:val="en-GB"/>
        </w:rPr>
        <w:t xml:space="preserve">et al. </w:t>
      </w:r>
      <w:r>
        <w:rPr>
          <w:rFonts w:ascii="Times New Roman" w:cs="Times New Roman" w:eastAsia="Times New Roman" w:hAnsi="Times New Roman"/>
          <w:sz w:val="24"/>
          <w:szCs w:val="24"/>
          <w:highlight w:val="white"/>
          <w:lang w:val="en-GB"/>
        </w:rPr>
        <w:t>(2025), puts a detailed emphasis on scenario planning, but FMEA, in this case, can uniquely identify vulnerabilities and provide real steps to be taken to reduce them. For instance, geopolitical tensions could be identified through scenario planning, but in this regard, FMEA tends to identify the impact that these tensions have on chip supply and quantify the level of risk. Thus, it upholds value in being a link between theory and practice, for evidence-based decision-making. The framework provides scope for continuity and trust for managers, policymakers and consumers, and creates opportunities for sustainability and digital transformation. This justifies FMEA's organised process as an essential tool for assessing the international supply chain resiliency of Microsoft.</w:t>
      </w:r>
    </w:p>
    <w:p w14:paraId="704AE774">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The FMEA analysis of Microsoft can be stated as follows: </w:t>
      </w:r>
    </w:p>
    <w:tbl>
      <w:tblPr>
        <w:tblStyle w:val="style4098"/>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100" w:type="dxa"/>
          <w:left w:w="100" w:type="dxa"/>
          <w:bottom w:w="100" w:type="dxa"/>
          <w:right w:w="100" w:type="dxa"/>
        </w:tblCellMar>
      </w:tblPr>
      <w:tblGrid>
        <w:gridCol w:w="1338"/>
        <w:gridCol w:w="1337"/>
        <w:gridCol w:w="1337"/>
        <w:gridCol w:w="1337"/>
        <w:gridCol w:w="1337"/>
        <w:gridCol w:w="1337"/>
        <w:gridCol w:w="1337"/>
      </w:tblGrid>
      <w:tr w14:paraId="257C318D">
        <w:trPr/>
        <w:tc>
          <w:tcPr>
            <w:tcW w:w="1337" w:type="dxa"/>
            <w:tcBorders/>
            <w:tcMar>
              <w:top w:w="100" w:type="dxa"/>
              <w:left w:w="100" w:type="dxa"/>
              <w:bottom w:w="100" w:type="dxa"/>
              <w:right w:w="100" w:type="dxa"/>
            </w:tcMar>
          </w:tcPr>
          <w:p w14:paraId="049E45A1">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ID</w:t>
            </w:r>
          </w:p>
        </w:tc>
        <w:tc>
          <w:tcPr>
            <w:tcW w:w="1337" w:type="dxa"/>
            <w:tcBorders/>
            <w:tcMar>
              <w:top w:w="100" w:type="dxa"/>
              <w:left w:w="100" w:type="dxa"/>
              <w:bottom w:w="100" w:type="dxa"/>
              <w:right w:w="100" w:type="dxa"/>
            </w:tcMar>
          </w:tcPr>
          <w:p w14:paraId="46E1E7F6">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1</w:t>
            </w:r>
          </w:p>
        </w:tc>
        <w:tc>
          <w:tcPr>
            <w:tcW w:w="1337" w:type="dxa"/>
            <w:tcBorders/>
            <w:tcMar>
              <w:top w:w="100" w:type="dxa"/>
              <w:left w:w="100" w:type="dxa"/>
              <w:bottom w:w="100" w:type="dxa"/>
              <w:right w:w="100" w:type="dxa"/>
            </w:tcMar>
          </w:tcPr>
          <w:p w14:paraId="638CA43A">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2</w:t>
            </w:r>
          </w:p>
        </w:tc>
        <w:tc>
          <w:tcPr>
            <w:tcW w:w="1337" w:type="dxa"/>
            <w:tcBorders/>
            <w:tcMar>
              <w:top w:w="100" w:type="dxa"/>
              <w:left w:w="100" w:type="dxa"/>
              <w:bottom w:w="100" w:type="dxa"/>
              <w:right w:w="100" w:type="dxa"/>
            </w:tcMar>
          </w:tcPr>
          <w:p w14:paraId="25853970">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3</w:t>
            </w:r>
          </w:p>
        </w:tc>
        <w:tc>
          <w:tcPr>
            <w:tcW w:w="1337" w:type="dxa"/>
            <w:tcBorders/>
            <w:tcMar>
              <w:top w:w="100" w:type="dxa"/>
              <w:left w:w="100" w:type="dxa"/>
              <w:bottom w:w="100" w:type="dxa"/>
              <w:right w:w="100" w:type="dxa"/>
            </w:tcMar>
          </w:tcPr>
          <w:p w14:paraId="02F9348A">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4</w:t>
            </w:r>
          </w:p>
        </w:tc>
        <w:tc>
          <w:tcPr>
            <w:tcW w:w="1337" w:type="dxa"/>
            <w:tcBorders/>
            <w:tcMar>
              <w:top w:w="100" w:type="dxa"/>
              <w:left w:w="100" w:type="dxa"/>
              <w:bottom w:w="100" w:type="dxa"/>
              <w:right w:w="100" w:type="dxa"/>
            </w:tcMar>
          </w:tcPr>
          <w:p w14:paraId="2D61441D">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5</w:t>
            </w:r>
          </w:p>
        </w:tc>
        <w:tc>
          <w:tcPr>
            <w:tcW w:w="1337" w:type="dxa"/>
            <w:tcBorders/>
            <w:tcMar>
              <w:top w:w="100" w:type="dxa"/>
              <w:left w:w="100" w:type="dxa"/>
              <w:bottom w:w="100" w:type="dxa"/>
              <w:right w:w="100" w:type="dxa"/>
            </w:tcMar>
          </w:tcPr>
          <w:p w14:paraId="077EC5F0">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6</w:t>
            </w:r>
          </w:p>
        </w:tc>
      </w:tr>
      <w:tr w14:paraId="3CE6F586">
        <w:tblPrEx/>
        <w:trPr/>
        <w:tc>
          <w:tcPr>
            <w:tcW w:w="1337" w:type="dxa"/>
            <w:tcBorders/>
            <w:tcMar>
              <w:top w:w="100" w:type="dxa"/>
              <w:left w:w="100" w:type="dxa"/>
              <w:bottom w:w="100" w:type="dxa"/>
              <w:right w:w="100" w:type="dxa"/>
            </w:tcMar>
          </w:tcPr>
          <w:p w14:paraId="2885ABE4">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Component/Process</w:t>
            </w:r>
          </w:p>
        </w:tc>
        <w:tc>
          <w:tcPr>
            <w:tcW w:w="1337" w:type="dxa"/>
            <w:tcBorders/>
            <w:tcMar>
              <w:top w:w="100" w:type="dxa"/>
              <w:left w:w="100" w:type="dxa"/>
              <w:bottom w:w="100" w:type="dxa"/>
              <w:right w:w="100" w:type="dxa"/>
            </w:tcMar>
          </w:tcPr>
          <w:p w14:paraId="2B20101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Semiconductor sourcing</w:t>
            </w:r>
          </w:p>
        </w:tc>
        <w:tc>
          <w:tcPr>
            <w:tcW w:w="1337" w:type="dxa"/>
            <w:tcBorders/>
            <w:tcMar>
              <w:top w:w="100" w:type="dxa"/>
              <w:left w:w="100" w:type="dxa"/>
              <w:bottom w:w="100" w:type="dxa"/>
              <w:right w:w="100" w:type="dxa"/>
            </w:tcMar>
          </w:tcPr>
          <w:p w14:paraId="0816EA8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Logistics or Shipping aspect </w:t>
            </w:r>
          </w:p>
        </w:tc>
        <w:tc>
          <w:tcPr>
            <w:tcW w:w="1337" w:type="dxa"/>
            <w:tcBorders/>
            <w:tcMar>
              <w:top w:w="100" w:type="dxa"/>
              <w:left w:w="100" w:type="dxa"/>
              <w:bottom w:w="100" w:type="dxa"/>
              <w:right w:w="100" w:type="dxa"/>
            </w:tcMar>
          </w:tcPr>
          <w:p w14:paraId="7230D7A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Supply of Battery</w:t>
            </w:r>
          </w:p>
        </w:tc>
        <w:tc>
          <w:tcPr>
            <w:tcW w:w="1337" w:type="dxa"/>
            <w:tcBorders/>
            <w:tcMar>
              <w:top w:w="100" w:type="dxa"/>
              <w:left w:w="100" w:type="dxa"/>
              <w:bottom w:w="100" w:type="dxa"/>
              <w:right w:w="100" w:type="dxa"/>
            </w:tcMar>
          </w:tcPr>
          <w:p w14:paraId="56CEC10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Cloud infrastructure (such as Azure)</w:t>
            </w:r>
          </w:p>
        </w:tc>
        <w:tc>
          <w:tcPr>
            <w:tcW w:w="1337" w:type="dxa"/>
            <w:tcBorders/>
            <w:tcMar>
              <w:top w:w="100" w:type="dxa"/>
              <w:left w:w="100" w:type="dxa"/>
              <w:bottom w:w="100" w:type="dxa"/>
              <w:right w:w="100" w:type="dxa"/>
            </w:tcMar>
          </w:tcPr>
          <w:p w14:paraId="54CFA71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Regulatory compliance </w:t>
            </w:r>
          </w:p>
        </w:tc>
        <w:tc>
          <w:tcPr>
            <w:tcW w:w="1337" w:type="dxa"/>
            <w:tcBorders/>
            <w:tcMar>
              <w:top w:w="100" w:type="dxa"/>
              <w:left w:w="100" w:type="dxa"/>
              <w:bottom w:w="100" w:type="dxa"/>
              <w:right w:w="100" w:type="dxa"/>
            </w:tcMar>
          </w:tcPr>
          <w:p w14:paraId="3D49379A">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Dependency on supplier </w:t>
            </w:r>
          </w:p>
        </w:tc>
      </w:tr>
      <w:tr w14:paraId="44D9059A">
        <w:tblPrEx/>
        <w:trPr/>
        <w:tc>
          <w:tcPr>
            <w:tcW w:w="1337" w:type="dxa"/>
            <w:tcBorders/>
            <w:tcMar>
              <w:top w:w="100" w:type="dxa"/>
              <w:left w:w="100" w:type="dxa"/>
              <w:bottom w:w="100" w:type="dxa"/>
              <w:right w:w="100" w:type="dxa"/>
            </w:tcMar>
          </w:tcPr>
          <w:p w14:paraId="0365E2B6">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Potential Failure Mode</w:t>
            </w:r>
          </w:p>
        </w:tc>
        <w:tc>
          <w:tcPr>
            <w:tcW w:w="1337" w:type="dxa"/>
            <w:tcBorders/>
            <w:tcMar>
              <w:top w:w="100" w:type="dxa"/>
              <w:left w:w="100" w:type="dxa"/>
              <w:bottom w:w="100" w:type="dxa"/>
              <w:right w:w="100" w:type="dxa"/>
            </w:tcMar>
          </w:tcPr>
          <w:p w14:paraId="76B7091A">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Shortage of chips</w:t>
            </w:r>
          </w:p>
        </w:tc>
        <w:tc>
          <w:tcPr>
            <w:tcW w:w="1337" w:type="dxa"/>
            <w:tcBorders/>
            <w:tcMar>
              <w:top w:w="100" w:type="dxa"/>
              <w:left w:w="100" w:type="dxa"/>
              <w:bottom w:w="100" w:type="dxa"/>
              <w:right w:w="100" w:type="dxa"/>
            </w:tcMar>
          </w:tcPr>
          <w:p w14:paraId="66E511FF">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A traffic jam or delay in transportation</w:t>
            </w:r>
          </w:p>
        </w:tc>
        <w:tc>
          <w:tcPr>
            <w:tcW w:w="1337" w:type="dxa"/>
            <w:tcBorders/>
            <w:tcMar>
              <w:top w:w="100" w:type="dxa"/>
              <w:left w:w="100" w:type="dxa"/>
              <w:bottom w:w="100" w:type="dxa"/>
              <w:right w:w="100" w:type="dxa"/>
            </w:tcMar>
          </w:tcPr>
          <w:p w14:paraId="7CF03EAC">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Quality problems like overheating and early wearout</w:t>
            </w:r>
          </w:p>
        </w:tc>
        <w:tc>
          <w:tcPr>
            <w:tcW w:w="1337" w:type="dxa"/>
            <w:tcBorders/>
            <w:tcMar>
              <w:top w:w="100" w:type="dxa"/>
              <w:left w:w="100" w:type="dxa"/>
              <w:bottom w:w="100" w:type="dxa"/>
              <w:right w:w="100" w:type="dxa"/>
            </w:tcMar>
          </w:tcPr>
          <w:p w14:paraId="27A140E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Cybersecurity breach</w:t>
            </w:r>
          </w:p>
          <w:p w14:paraId="70448210">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0F3E81F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Unforeseen policy or trade restrictions</w:t>
            </w:r>
          </w:p>
        </w:tc>
        <w:tc>
          <w:tcPr>
            <w:tcW w:w="1337" w:type="dxa"/>
            <w:tcBorders/>
            <w:tcMar>
              <w:top w:w="100" w:type="dxa"/>
              <w:left w:w="100" w:type="dxa"/>
              <w:bottom w:w="100" w:type="dxa"/>
              <w:right w:w="100" w:type="dxa"/>
            </w:tcMar>
          </w:tcPr>
          <w:p w14:paraId="6C0CDF2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Purchase from only one region of suppliers to the extent that it is over-dependence</w:t>
            </w:r>
          </w:p>
        </w:tc>
      </w:tr>
      <w:tr w14:paraId="55B2559C">
        <w:tblPrEx/>
        <w:trPr/>
        <w:tc>
          <w:tcPr>
            <w:tcW w:w="1337" w:type="dxa"/>
            <w:tcBorders/>
            <w:tcMar>
              <w:top w:w="100" w:type="dxa"/>
              <w:left w:w="100" w:type="dxa"/>
              <w:bottom w:w="100" w:type="dxa"/>
              <w:right w:w="100" w:type="dxa"/>
            </w:tcMar>
          </w:tcPr>
          <w:p w14:paraId="54B8AE4D">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Potential Effect on Product/Service</w:t>
            </w:r>
          </w:p>
        </w:tc>
        <w:tc>
          <w:tcPr>
            <w:tcW w:w="1337" w:type="dxa"/>
            <w:tcBorders/>
            <w:tcMar>
              <w:top w:w="100" w:type="dxa"/>
              <w:left w:w="100" w:type="dxa"/>
              <w:bottom w:w="100" w:type="dxa"/>
              <w:right w:w="100" w:type="dxa"/>
            </w:tcMar>
          </w:tcPr>
          <w:p w14:paraId="4C039325">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The Xbox consoles cannot be manufactured, and that will delay their launch</w:t>
            </w:r>
          </w:p>
        </w:tc>
        <w:tc>
          <w:tcPr>
            <w:tcW w:w="1337" w:type="dxa"/>
            <w:tcBorders/>
            <w:tcMar>
              <w:top w:w="100" w:type="dxa"/>
              <w:left w:w="100" w:type="dxa"/>
              <w:bottom w:w="100" w:type="dxa"/>
              <w:right w:w="100" w:type="dxa"/>
            </w:tcMar>
          </w:tcPr>
          <w:p w14:paraId="4030BDBF">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The delay of deliveries of consoles to markets </w:t>
            </w:r>
          </w:p>
        </w:tc>
        <w:tc>
          <w:tcPr>
            <w:tcW w:w="1337" w:type="dxa"/>
            <w:tcBorders/>
            <w:tcMar>
              <w:top w:w="100" w:type="dxa"/>
              <w:left w:w="100" w:type="dxa"/>
              <w:bottom w:w="100" w:type="dxa"/>
              <w:right w:w="100" w:type="dxa"/>
            </w:tcMar>
          </w:tcPr>
          <w:p w14:paraId="28EC10E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Controllers and devices have failed or have warranty claims</w:t>
            </w:r>
          </w:p>
        </w:tc>
        <w:tc>
          <w:tcPr>
            <w:tcW w:w="1337" w:type="dxa"/>
            <w:tcBorders/>
            <w:tcMar>
              <w:top w:w="100" w:type="dxa"/>
              <w:left w:w="100" w:type="dxa"/>
              <w:bottom w:w="100" w:type="dxa"/>
              <w:right w:w="100" w:type="dxa"/>
            </w:tcMar>
          </w:tcPr>
          <w:p w14:paraId="0351DA9F">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Downtime, loss of service, loss of Xbox Live/cloud gaming</w:t>
            </w:r>
          </w:p>
        </w:tc>
        <w:tc>
          <w:tcPr>
            <w:tcW w:w="1337" w:type="dxa"/>
            <w:tcBorders/>
            <w:tcMar>
              <w:top w:w="100" w:type="dxa"/>
              <w:left w:w="100" w:type="dxa"/>
              <w:bottom w:w="100" w:type="dxa"/>
              <w:right w:w="100" w:type="dxa"/>
            </w:tcMar>
          </w:tcPr>
          <w:p w14:paraId="763CB1A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Restricted distribution, increased costs</w:t>
            </w:r>
          </w:p>
          <w:p w14:paraId="1178D7E6">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63FF56D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Disruption of supplies or stopped production</w:t>
            </w:r>
          </w:p>
        </w:tc>
      </w:tr>
      <w:tr w14:paraId="14A13194">
        <w:tblPrEx/>
        <w:trPr/>
        <w:tc>
          <w:tcPr>
            <w:tcW w:w="1337" w:type="dxa"/>
            <w:tcBorders/>
            <w:tcMar>
              <w:top w:w="100" w:type="dxa"/>
              <w:left w:w="100" w:type="dxa"/>
              <w:bottom w:w="100" w:type="dxa"/>
              <w:right w:w="100" w:type="dxa"/>
            </w:tcMar>
          </w:tcPr>
          <w:p w14:paraId="358B18AA">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Potential Effect on Business/Stakeholders</w:t>
            </w:r>
          </w:p>
        </w:tc>
        <w:tc>
          <w:tcPr>
            <w:tcW w:w="1337" w:type="dxa"/>
            <w:tcBorders/>
            <w:tcMar>
              <w:top w:w="100" w:type="dxa"/>
              <w:left w:w="100" w:type="dxa"/>
              <w:bottom w:w="100" w:type="dxa"/>
              <w:right w:w="100" w:type="dxa"/>
            </w:tcMar>
          </w:tcPr>
          <w:p w14:paraId="343E072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The losses of revenue, unmet demand, and damage to reputation</w:t>
            </w:r>
          </w:p>
        </w:tc>
        <w:tc>
          <w:tcPr>
            <w:tcW w:w="1337" w:type="dxa"/>
            <w:tcBorders/>
            <w:tcMar>
              <w:top w:w="100" w:type="dxa"/>
              <w:left w:w="100" w:type="dxa"/>
              <w:bottom w:w="100" w:type="dxa"/>
              <w:right w:w="100" w:type="dxa"/>
            </w:tcMar>
          </w:tcPr>
          <w:p w14:paraId="4AA625E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Discontentment, failure to meet seasonal sales goals, problems with retailers</w:t>
            </w:r>
          </w:p>
        </w:tc>
        <w:tc>
          <w:tcPr>
            <w:tcW w:w="1337" w:type="dxa"/>
            <w:tcBorders/>
            <w:tcMar>
              <w:top w:w="100" w:type="dxa"/>
              <w:left w:w="100" w:type="dxa"/>
              <w:bottom w:w="100" w:type="dxa"/>
              <w:right w:w="100" w:type="dxa"/>
            </w:tcMar>
          </w:tcPr>
          <w:p w14:paraId="6308357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Risk of safety issues, damage to reputation, higher expenses</w:t>
            </w:r>
          </w:p>
        </w:tc>
        <w:tc>
          <w:tcPr>
            <w:tcW w:w="1337" w:type="dxa"/>
            <w:tcBorders/>
            <w:tcMar>
              <w:top w:w="100" w:type="dxa"/>
              <w:left w:w="100" w:type="dxa"/>
              <w:bottom w:w="100" w:type="dxa"/>
              <w:right w:w="100" w:type="dxa"/>
            </w:tcMar>
          </w:tcPr>
          <w:p w14:paraId="4CF781A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Regulatory fines, loss of reputation, and loss of trust</w:t>
            </w:r>
          </w:p>
          <w:p w14:paraId="4E34B2D6">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56BDA22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Legal consequences, limited product availability and lost competitive advantage</w:t>
            </w:r>
          </w:p>
        </w:tc>
        <w:tc>
          <w:tcPr>
            <w:tcW w:w="1337" w:type="dxa"/>
            <w:tcBorders/>
            <w:tcMar>
              <w:top w:w="100" w:type="dxa"/>
              <w:left w:w="100" w:type="dxa"/>
              <w:bottom w:w="100" w:type="dxa"/>
              <w:right w:w="100" w:type="dxa"/>
            </w:tcMar>
          </w:tcPr>
          <w:p w14:paraId="44033113">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Loss of strategy, loss of revenues, damage to reputation</w:t>
            </w:r>
          </w:p>
          <w:p w14:paraId="497E7D7E">
            <w:pPr>
              <w:pStyle w:val="style0"/>
              <w:widowControl w:val="false"/>
              <w:spacing w:lineRule="auto" w:line="360"/>
              <w:jc w:val="both"/>
              <w:rPr>
                <w:rFonts w:ascii="Times New Roman" w:cs="Times New Roman" w:eastAsia="Times New Roman" w:hAnsi="Times New Roman"/>
                <w:sz w:val="24"/>
                <w:szCs w:val="24"/>
                <w:highlight w:val="white"/>
                <w:lang w:val="en-GB"/>
              </w:rPr>
            </w:pPr>
          </w:p>
        </w:tc>
      </w:tr>
      <w:tr w14:paraId="33496676">
        <w:tblPrEx/>
        <w:trPr/>
        <w:tc>
          <w:tcPr>
            <w:tcW w:w="1337" w:type="dxa"/>
            <w:tcBorders/>
            <w:tcMar>
              <w:top w:w="100" w:type="dxa"/>
              <w:left w:w="100" w:type="dxa"/>
              <w:bottom w:w="100" w:type="dxa"/>
              <w:right w:w="100" w:type="dxa"/>
            </w:tcMar>
          </w:tcPr>
          <w:p w14:paraId="06F7B656">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Potential Cause(s) of Failure</w:t>
            </w:r>
          </w:p>
        </w:tc>
        <w:tc>
          <w:tcPr>
            <w:tcW w:w="1337" w:type="dxa"/>
            <w:tcBorders/>
            <w:tcMar>
              <w:top w:w="100" w:type="dxa"/>
              <w:left w:w="100" w:type="dxa"/>
              <w:bottom w:w="100" w:type="dxa"/>
              <w:right w:w="100" w:type="dxa"/>
            </w:tcMar>
          </w:tcPr>
          <w:p w14:paraId="681AC43A">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Worldwide chip shortage problems, geopolitical issues, and not enough chip-making capacity</w:t>
            </w:r>
          </w:p>
        </w:tc>
        <w:tc>
          <w:tcPr>
            <w:tcW w:w="1337" w:type="dxa"/>
            <w:tcBorders/>
            <w:tcMar>
              <w:top w:w="100" w:type="dxa"/>
              <w:left w:w="100" w:type="dxa"/>
              <w:bottom w:w="100" w:type="dxa"/>
              <w:right w:w="100" w:type="dxa"/>
            </w:tcMar>
          </w:tcPr>
          <w:p w14:paraId="65E6CDBE">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Restrictions due to the Pandemic, strikes, and volatility of fuel prices</w:t>
            </w:r>
          </w:p>
          <w:p w14:paraId="626FE8B5">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7A3F5D2A">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Quality control of suppliers, complexity in product manufacturing, substandard materials</w:t>
            </w:r>
          </w:p>
        </w:tc>
        <w:tc>
          <w:tcPr>
            <w:tcW w:w="1337" w:type="dxa"/>
            <w:tcBorders/>
            <w:tcMar>
              <w:top w:w="100" w:type="dxa"/>
              <w:left w:w="100" w:type="dxa"/>
              <w:bottom w:w="100" w:type="dxa"/>
              <w:right w:w="100" w:type="dxa"/>
            </w:tcMar>
          </w:tcPr>
          <w:p w14:paraId="6BE6064C">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Hacking, inadequate protocols, inside threats</w:t>
            </w:r>
          </w:p>
          <w:p w14:paraId="728C7D21">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12A94E0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Trade wars, changing Digital laws, political instability</w:t>
            </w:r>
          </w:p>
        </w:tc>
        <w:tc>
          <w:tcPr>
            <w:tcW w:w="1337" w:type="dxa"/>
            <w:tcBorders/>
            <w:tcMar>
              <w:top w:w="100" w:type="dxa"/>
              <w:left w:w="100" w:type="dxa"/>
              <w:bottom w:w="100" w:type="dxa"/>
              <w:right w:w="100" w:type="dxa"/>
            </w:tcMar>
          </w:tcPr>
          <w:p w14:paraId="04224F5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Partly concentrated sourcing in Asia and cost-driven selection of the supplier</w:t>
            </w:r>
          </w:p>
        </w:tc>
      </w:tr>
      <w:tr w14:paraId="6AF8059A">
        <w:tblPrEx/>
        <w:trPr/>
        <w:tc>
          <w:tcPr>
            <w:tcW w:w="1337" w:type="dxa"/>
            <w:tcBorders/>
            <w:tcMar>
              <w:top w:w="100" w:type="dxa"/>
              <w:left w:w="100" w:type="dxa"/>
              <w:bottom w:w="100" w:type="dxa"/>
              <w:right w:w="100" w:type="dxa"/>
            </w:tcMar>
          </w:tcPr>
          <w:p w14:paraId="21EC91C3">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Detection Method</w:t>
            </w:r>
          </w:p>
        </w:tc>
        <w:tc>
          <w:tcPr>
            <w:tcW w:w="1337" w:type="dxa"/>
            <w:tcBorders/>
            <w:tcMar>
              <w:top w:w="100" w:type="dxa"/>
              <w:left w:w="100" w:type="dxa"/>
              <w:bottom w:w="100" w:type="dxa"/>
              <w:right w:w="100" w:type="dxa"/>
            </w:tcMar>
          </w:tcPr>
          <w:p w14:paraId="0BA0B7F7">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Supplier monitoring and Demand forecasting</w:t>
            </w:r>
          </w:p>
        </w:tc>
        <w:tc>
          <w:tcPr>
            <w:tcW w:w="1337" w:type="dxa"/>
            <w:tcBorders/>
            <w:tcMar>
              <w:top w:w="100" w:type="dxa"/>
              <w:left w:w="100" w:type="dxa"/>
              <w:bottom w:w="100" w:type="dxa"/>
              <w:right w:w="100" w:type="dxa"/>
            </w:tcMar>
          </w:tcPr>
          <w:p w14:paraId="2FBE353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Tracking in real-time and predictive analytics</w:t>
            </w:r>
          </w:p>
        </w:tc>
        <w:tc>
          <w:tcPr>
            <w:tcW w:w="1337" w:type="dxa"/>
            <w:tcBorders/>
            <w:tcMar>
              <w:top w:w="100" w:type="dxa"/>
              <w:left w:w="100" w:type="dxa"/>
              <w:bottom w:w="100" w:type="dxa"/>
              <w:right w:w="100" w:type="dxa"/>
            </w:tcMar>
          </w:tcPr>
          <w:p w14:paraId="2F0BE7C1">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Supplier audits and stress testing</w:t>
            </w:r>
          </w:p>
        </w:tc>
        <w:tc>
          <w:tcPr>
            <w:tcW w:w="1337" w:type="dxa"/>
            <w:tcBorders/>
            <w:tcMar>
              <w:top w:w="100" w:type="dxa"/>
              <w:left w:w="100" w:type="dxa"/>
              <w:bottom w:w="100" w:type="dxa"/>
              <w:right w:w="100" w:type="dxa"/>
            </w:tcMar>
          </w:tcPr>
          <w:p w14:paraId="76C6A51C">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Continuous monitoring, intrusion detection system</w:t>
            </w:r>
          </w:p>
        </w:tc>
        <w:tc>
          <w:tcPr>
            <w:tcW w:w="1337" w:type="dxa"/>
            <w:tcBorders/>
            <w:tcMar>
              <w:top w:w="100" w:type="dxa"/>
              <w:left w:w="100" w:type="dxa"/>
              <w:bottom w:w="100" w:type="dxa"/>
              <w:right w:w="100" w:type="dxa"/>
            </w:tcMar>
          </w:tcPr>
          <w:p w14:paraId="3DB926BF">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Monitoring through legal requirements, compliance auditing</w:t>
            </w:r>
          </w:p>
        </w:tc>
        <w:tc>
          <w:tcPr>
            <w:tcW w:w="1337" w:type="dxa"/>
            <w:tcBorders/>
            <w:tcMar>
              <w:top w:w="100" w:type="dxa"/>
              <w:left w:w="100" w:type="dxa"/>
              <w:bottom w:w="100" w:type="dxa"/>
              <w:right w:w="100" w:type="dxa"/>
            </w:tcMar>
          </w:tcPr>
          <w:p w14:paraId="031045B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Mapping the suppliers, risk analysis</w:t>
            </w:r>
          </w:p>
          <w:p w14:paraId="224FD055">
            <w:pPr>
              <w:pStyle w:val="style0"/>
              <w:widowControl w:val="false"/>
              <w:spacing w:lineRule="auto" w:line="360"/>
              <w:jc w:val="both"/>
              <w:rPr>
                <w:rFonts w:ascii="Times New Roman" w:cs="Times New Roman" w:eastAsia="Times New Roman" w:hAnsi="Times New Roman"/>
                <w:sz w:val="24"/>
                <w:szCs w:val="24"/>
                <w:highlight w:val="white"/>
                <w:lang w:val="en-GB"/>
              </w:rPr>
            </w:pPr>
          </w:p>
        </w:tc>
      </w:tr>
      <w:tr w14:paraId="413ABB0D">
        <w:tblPrEx/>
        <w:trPr/>
        <w:tc>
          <w:tcPr>
            <w:tcW w:w="1337" w:type="dxa"/>
            <w:tcBorders/>
            <w:tcMar>
              <w:top w:w="100" w:type="dxa"/>
              <w:left w:w="100" w:type="dxa"/>
              <w:bottom w:w="100" w:type="dxa"/>
              <w:right w:w="100" w:type="dxa"/>
            </w:tcMar>
          </w:tcPr>
          <w:p w14:paraId="47FBC2AE">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O (Occurrence)</w:t>
            </w:r>
          </w:p>
        </w:tc>
        <w:tc>
          <w:tcPr>
            <w:tcW w:w="1337" w:type="dxa"/>
            <w:tcBorders/>
            <w:tcMar>
              <w:top w:w="100" w:type="dxa"/>
              <w:left w:w="100" w:type="dxa"/>
              <w:bottom w:w="100" w:type="dxa"/>
              <w:right w:w="100" w:type="dxa"/>
            </w:tcMar>
          </w:tcPr>
          <w:p w14:paraId="2068700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9</w:t>
            </w:r>
          </w:p>
        </w:tc>
        <w:tc>
          <w:tcPr>
            <w:tcW w:w="1337" w:type="dxa"/>
            <w:tcBorders/>
            <w:tcMar>
              <w:top w:w="100" w:type="dxa"/>
              <w:left w:w="100" w:type="dxa"/>
              <w:bottom w:w="100" w:type="dxa"/>
              <w:right w:w="100" w:type="dxa"/>
            </w:tcMar>
          </w:tcPr>
          <w:p w14:paraId="619F1FE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7</w:t>
            </w:r>
          </w:p>
        </w:tc>
        <w:tc>
          <w:tcPr>
            <w:tcW w:w="1337" w:type="dxa"/>
            <w:tcBorders/>
            <w:tcMar>
              <w:top w:w="100" w:type="dxa"/>
              <w:left w:w="100" w:type="dxa"/>
              <w:bottom w:w="100" w:type="dxa"/>
              <w:right w:w="100" w:type="dxa"/>
            </w:tcMar>
          </w:tcPr>
          <w:p w14:paraId="3096B1F6">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5</w:t>
            </w:r>
          </w:p>
        </w:tc>
        <w:tc>
          <w:tcPr>
            <w:tcW w:w="1337" w:type="dxa"/>
            <w:tcBorders/>
            <w:tcMar>
              <w:top w:w="100" w:type="dxa"/>
              <w:left w:w="100" w:type="dxa"/>
              <w:bottom w:w="100" w:type="dxa"/>
              <w:right w:w="100" w:type="dxa"/>
            </w:tcMar>
          </w:tcPr>
          <w:p w14:paraId="2035FF3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4</w:t>
            </w:r>
          </w:p>
        </w:tc>
        <w:tc>
          <w:tcPr>
            <w:tcW w:w="1337" w:type="dxa"/>
            <w:tcBorders/>
            <w:tcMar>
              <w:top w:w="100" w:type="dxa"/>
              <w:left w:w="100" w:type="dxa"/>
              <w:bottom w:w="100" w:type="dxa"/>
              <w:right w:w="100" w:type="dxa"/>
            </w:tcMar>
          </w:tcPr>
          <w:p w14:paraId="528B9F97">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6</w:t>
            </w:r>
          </w:p>
        </w:tc>
        <w:tc>
          <w:tcPr>
            <w:tcW w:w="1337" w:type="dxa"/>
            <w:tcBorders/>
            <w:tcMar>
              <w:top w:w="100" w:type="dxa"/>
              <w:left w:w="100" w:type="dxa"/>
              <w:bottom w:w="100" w:type="dxa"/>
              <w:right w:w="100" w:type="dxa"/>
            </w:tcMar>
          </w:tcPr>
          <w:p w14:paraId="517644D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7</w:t>
            </w:r>
          </w:p>
        </w:tc>
      </w:tr>
      <w:tr w14:paraId="063305C2">
        <w:tblPrEx/>
        <w:trPr/>
        <w:tc>
          <w:tcPr>
            <w:tcW w:w="1337" w:type="dxa"/>
            <w:tcBorders/>
            <w:tcMar>
              <w:top w:w="100" w:type="dxa"/>
              <w:left w:w="100" w:type="dxa"/>
              <w:bottom w:w="100" w:type="dxa"/>
              <w:right w:w="100" w:type="dxa"/>
            </w:tcMar>
          </w:tcPr>
          <w:p w14:paraId="0526B340">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S (Severity)</w:t>
            </w:r>
          </w:p>
        </w:tc>
        <w:tc>
          <w:tcPr>
            <w:tcW w:w="1337" w:type="dxa"/>
            <w:tcBorders/>
            <w:tcMar>
              <w:top w:w="100" w:type="dxa"/>
              <w:left w:w="100" w:type="dxa"/>
              <w:bottom w:w="100" w:type="dxa"/>
              <w:right w:w="100" w:type="dxa"/>
            </w:tcMar>
          </w:tcPr>
          <w:p w14:paraId="38B74357">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9</w:t>
            </w:r>
          </w:p>
        </w:tc>
        <w:tc>
          <w:tcPr>
            <w:tcW w:w="1337" w:type="dxa"/>
            <w:tcBorders/>
            <w:tcMar>
              <w:top w:w="100" w:type="dxa"/>
              <w:left w:w="100" w:type="dxa"/>
              <w:bottom w:w="100" w:type="dxa"/>
              <w:right w:w="100" w:type="dxa"/>
            </w:tcMar>
          </w:tcPr>
          <w:p w14:paraId="699F371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8</w:t>
            </w:r>
          </w:p>
        </w:tc>
        <w:tc>
          <w:tcPr>
            <w:tcW w:w="1337" w:type="dxa"/>
            <w:tcBorders/>
            <w:tcMar>
              <w:top w:w="100" w:type="dxa"/>
              <w:left w:w="100" w:type="dxa"/>
              <w:bottom w:w="100" w:type="dxa"/>
              <w:right w:w="100" w:type="dxa"/>
            </w:tcMar>
          </w:tcPr>
          <w:p w14:paraId="1C109EE8">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9</w:t>
            </w:r>
          </w:p>
        </w:tc>
        <w:tc>
          <w:tcPr>
            <w:tcW w:w="1337" w:type="dxa"/>
            <w:tcBorders/>
            <w:tcMar>
              <w:top w:w="100" w:type="dxa"/>
              <w:left w:w="100" w:type="dxa"/>
              <w:bottom w:w="100" w:type="dxa"/>
              <w:right w:w="100" w:type="dxa"/>
            </w:tcMar>
          </w:tcPr>
          <w:p w14:paraId="44ACFD4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10</w:t>
            </w:r>
          </w:p>
        </w:tc>
        <w:tc>
          <w:tcPr>
            <w:tcW w:w="1337" w:type="dxa"/>
            <w:tcBorders/>
            <w:tcMar>
              <w:top w:w="100" w:type="dxa"/>
              <w:left w:w="100" w:type="dxa"/>
              <w:bottom w:w="100" w:type="dxa"/>
              <w:right w:w="100" w:type="dxa"/>
            </w:tcMar>
          </w:tcPr>
          <w:p w14:paraId="3B7E56B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7</w:t>
            </w:r>
          </w:p>
        </w:tc>
        <w:tc>
          <w:tcPr>
            <w:tcW w:w="1337" w:type="dxa"/>
            <w:tcBorders/>
            <w:tcMar>
              <w:top w:w="100" w:type="dxa"/>
              <w:left w:w="100" w:type="dxa"/>
              <w:bottom w:w="100" w:type="dxa"/>
              <w:right w:w="100" w:type="dxa"/>
            </w:tcMar>
          </w:tcPr>
          <w:p w14:paraId="78D1082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8</w:t>
            </w:r>
          </w:p>
        </w:tc>
      </w:tr>
      <w:tr w14:paraId="7D50F574">
        <w:tblPrEx/>
        <w:trPr/>
        <w:tc>
          <w:tcPr>
            <w:tcW w:w="1337" w:type="dxa"/>
            <w:tcBorders/>
            <w:tcMar>
              <w:top w:w="100" w:type="dxa"/>
              <w:left w:w="100" w:type="dxa"/>
              <w:bottom w:w="100" w:type="dxa"/>
              <w:right w:w="100" w:type="dxa"/>
            </w:tcMar>
          </w:tcPr>
          <w:p w14:paraId="6E709680">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D (Detection)</w:t>
            </w:r>
          </w:p>
        </w:tc>
        <w:tc>
          <w:tcPr>
            <w:tcW w:w="1337" w:type="dxa"/>
            <w:tcBorders/>
            <w:tcMar>
              <w:top w:w="100" w:type="dxa"/>
              <w:left w:w="100" w:type="dxa"/>
              <w:bottom w:w="100" w:type="dxa"/>
              <w:right w:w="100" w:type="dxa"/>
            </w:tcMar>
          </w:tcPr>
          <w:p w14:paraId="704AA116">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6</w:t>
            </w:r>
          </w:p>
        </w:tc>
        <w:tc>
          <w:tcPr>
            <w:tcW w:w="1337" w:type="dxa"/>
            <w:tcBorders/>
            <w:tcMar>
              <w:top w:w="100" w:type="dxa"/>
              <w:left w:w="100" w:type="dxa"/>
              <w:bottom w:w="100" w:type="dxa"/>
              <w:right w:w="100" w:type="dxa"/>
            </w:tcMar>
          </w:tcPr>
          <w:p w14:paraId="7A12BB1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5</w:t>
            </w:r>
          </w:p>
        </w:tc>
        <w:tc>
          <w:tcPr>
            <w:tcW w:w="1337" w:type="dxa"/>
            <w:tcBorders/>
            <w:tcMar>
              <w:top w:w="100" w:type="dxa"/>
              <w:left w:w="100" w:type="dxa"/>
              <w:bottom w:w="100" w:type="dxa"/>
              <w:right w:w="100" w:type="dxa"/>
            </w:tcMar>
          </w:tcPr>
          <w:p w14:paraId="3BA0ED3A">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7</w:t>
            </w:r>
          </w:p>
        </w:tc>
        <w:tc>
          <w:tcPr>
            <w:tcW w:w="1337" w:type="dxa"/>
            <w:tcBorders/>
            <w:tcMar>
              <w:top w:w="100" w:type="dxa"/>
              <w:left w:w="100" w:type="dxa"/>
              <w:bottom w:w="100" w:type="dxa"/>
              <w:right w:w="100" w:type="dxa"/>
            </w:tcMar>
          </w:tcPr>
          <w:p w14:paraId="27B98BA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6</w:t>
            </w:r>
          </w:p>
        </w:tc>
        <w:tc>
          <w:tcPr>
            <w:tcW w:w="1337" w:type="dxa"/>
            <w:tcBorders/>
            <w:tcMar>
              <w:top w:w="100" w:type="dxa"/>
              <w:left w:w="100" w:type="dxa"/>
              <w:bottom w:w="100" w:type="dxa"/>
              <w:right w:w="100" w:type="dxa"/>
            </w:tcMar>
          </w:tcPr>
          <w:p w14:paraId="142E9D3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5</w:t>
            </w:r>
          </w:p>
        </w:tc>
        <w:tc>
          <w:tcPr>
            <w:tcW w:w="1337" w:type="dxa"/>
            <w:tcBorders/>
            <w:tcMar>
              <w:top w:w="100" w:type="dxa"/>
              <w:left w:w="100" w:type="dxa"/>
              <w:bottom w:w="100" w:type="dxa"/>
              <w:right w:w="100" w:type="dxa"/>
            </w:tcMar>
          </w:tcPr>
          <w:p w14:paraId="5B523F3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6</w:t>
            </w:r>
          </w:p>
        </w:tc>
      </w:tr>
      <w:tr w14:paraId="2E326497">
        <w:tblPrEx/>
        <w:trPr/>
        <w:tc>
          <w:tcPr>
            <w:tcW w:w="1337" w:type="dxa"/>
            <w:tcBorders/>
            <w:tcMar>
              <w:top w:w="100" w:type="dxa"/>
              <w:left w:w="100" w:type="dxa"/>
              <w:bottom w:w="100" w:type="dxa"/>
              <w:right w:w="100" w:type="dxa"/>
            </w:tcMar>
          </w:tcPr>
          <w:p w14:paraId="25E54B5E">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RPN (O×S×D)</w:t>
            </w:r>
          </w:p>
        </w:tc>
        <w:tc>
          <w:tcPr>
            <w:tcW w:w="1337" w:type="dxa"/>
            <w:tcBorders/>
            <w:tcMar>
              <w:top w:w="100" w:type="dxa"/>
              <w:left w:w="100" w:type="dxa"/>
              <w:bottom w:w="100" w:type="dxa"/>
              <w:right w:w="100" w:type="dxa"/>
            </w:tcMar>
          </w:tcPr>
          <w:p w14:paraId="6889221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432</w:t>
            </w:r>
          </w:p>
        </w:tc>
        <w:tc>
          <w:tcPr>
            <w:tcW w:w="1337" w:type="dxa"/>
            <w:tcBorders/>
            <w:tcMar>
              <w:top w:w="100" w:type="dxa"/>
              <w:left w:w="100" w:type="dxa"/>
              <w:bottom w:w="100" w:type="dxa"/>
              <w:right w:w="100" w:type="dxa"/>
            </w:tcMar>
          </w:tcPr>
          <w:p w14:paraId="6FEE07D3">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280</w:t>
            </w:r>
          </w:p>
        </w:tc>
        <w:tc>
          <w:tcPr>
            <w:tcW w:w="1337" w:type="dxa"/>
            <w:tcBorders/>
            <w:tcMar>
              <w:top w:w="100" w:type="dxa"/>
              <w:left w:w="100" w:type="dxa"/>
              <w:bottom w:w="100" w:type="dxa"/>
              <w:right w:w="100" w:type="dxa"/>
            </w:tcMar>
          </w:tcPr>
          <w:p w14:paraId="19AF155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315</w:t>
            </w:r>
          </w:p>
        </w:tc>
        <w:tc>
          <w:tcPr>
            <w:tcW w:w="1337" w:type="dxa"/>
            <w:tcBorders/>
            <w:tcMar>
              <w:top w:w="100" w:type="dxa"/>
              <w:left w:w="100" w:type="dxa"/>
              <w:bottom w:w="100" w:type="dxa"/>
              <w:right w:w="100" w:type="dxa"/>
            </w:tcMar>
          </w:tcPr>
          <w:p w14:paraId="6CD1EBBD">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240</w:t>
            </w:r>
          </w:p>
        </w:tc>
        <w:tc>
          <w:tcPr>
            <w:tcW w:w="1337" w:type="dxa"/>
            <w:tcBorders/>
            <w:tcMar>
              <w:top w:w="100" w:type="dxa"/>
              <w:left w:w="100" w:type="dxa"/>
              <w:bottom w:w="100" w:type="dxa"/>
              <w:right w:w="100" w:type="dxa"/>
            </w:tcMar>
          </w:tcPr>
          <w:p w14:paraId="4C4DA2A7">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210</w:t>
            </w:r>
          </w:p>
        </w:tc>
        <w:tc>
          <w:tcPr>
            <w:tcW w:w="1337" w:type="dxa"/>
            <w:tcBorders/>
            <w:tcMar>
              <w:top w:w="100" w:type="dxa"/>
              <w:left w:w="100" w:type="dxa"/>
              <w:bottom w:w="100" w:type="dxa"/>
              <w:right w:w="100" w:type="dxa"/>
            </w:tcMar>
          </w:tcPr>
          <w:p w14:paraId="5965B735">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336</w:t>
            </w:r>
          </w:p>
        </w:tc>
      </w:tr>
      <w:tr w14:paraId="05C2E3E4">
        <w:tblPrEx/>
        <w:trPr/>
        <w:tc>
          <w:tcPr>
            <w:tcW w:w="1337" w:type="dxa"/>
            <w:tcBorders/>
            <w:tcMar>
              <w:top w:w="100" w:type="dxa"/>
              <w:left w:w="100" w:type="dxa"/>
              <w:bottom w:w="100" w:type="dxa"/>
              <w:right w:w="100" w:type="dxa"/>
            </w:tcMar>
          </w:tcPr>
          <w:p w14:paraId="5E49C3C1">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Recommended Actions</w:t>
            </w:r>
          </w:p>
        </w:tc>
        <w:tc>
          <w:tcPr>
            <w:tcW w:w="1337" w:type="dxa"/>
            <w:tcBorders/>
            <w:tcMar>
              <w:top w:w="100" w:type="dxa"/>
              <w:left w:w="100" w:type="dxa"/>
              <w:bottom w:w="100" w:type="dxa"/>
              <w:right w:w="100" w:type="dxa"/>
            </w:tcMar>
          </w:tcPr>
          <w:p w14:paraId="4EE7A738">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Ensure diversity of suppliers, long-term contracts and R&amp;D partnerships</w:t>
            </w:r>
          </w:p>
        </w:tc>
        <w:tc>
          <w:tcPr>
            <w:tcW w:w="1337" w:type="dxa"/>
            <w:tcBorders/>
            <w:tcMar>
              <w:top w:w="100" w:type="dxa"/>
              <w:left w:w="100" w:type="dxa"/>
              <w:bottom w:w="100" w:type="dxa"/>
              <w:right w:w="100" w:type="dxa"/>
            </w:tcMar>
          </w:tcPr>
          <w:p w14:paraId="2806DC9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Employ several logistics providers, create logistics hubs in the region, flexible contracts</w:t>
            </w:r>
          </w:p>
        </w:tc>
        <w:tc>
          <w:tcPr>
            <w:tcW w:w="1337" w:type="dxa"/>
            <w:tcBorders/>
            <w:tcMar>
              <w:top w:w="100" w:type="dxa"/>
              <w:left w:w="100" w:type="dxa"/>
              <w:bottom w:w="100" w:type="dxa"/>
              <w:right w:w="100" w:type="dxa"/>
            </w:tcMar>
          </w:tcPr>
          <w:p w14:paraId="2A499779">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Improve QA procedures, invest in more secure designs and use more variety of batteries</w:t>
            </w:r>
          </w:p>
        </w:tc>
        <w:tc>
          <w:tcPr>
            <w:tcW w:w="1337" w:type="dxa"/>
            <w:tcBorders/>
            <w:tcMar>
              <w:top w:w="100" w:type="dxa"/>
              <w:left w:w="100" w:type="dxa"/>
              <w:bottom w:w="100" w:type="dxa"/>
              <w:right w:w="100" w:type="dxa"/>
            </w:tcMar>
          </w:tcPr>
          <w:p w14:paraId="6444D825">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Improve the security of cyber systems, redundancy systems, penetration testing</w:t>
            </w:r>
          </w:p>
        </w:tc>
        <w:tc>
          <w:tcPr>
            <w:tcW w:w="1337" w:type="dxa"/>
            <w:tcBorders/>
            <w:tcMar>
              <w:top w:w="100" w:type="dxa"/>
              <w:left w:w="100" w:type="dxa"/>
              <w:bottom w:w="100" w:type="dxa"/>
              <w:right w:w="100" w:type="dxa"/>
            </w:tcMar>
          </w:tcPr>
          <w:p w14:paraId="4024DF74">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Lobbying, adapting compliance and planning</w:t>
            </w:r>
          </w:p>
          <w:p w14:paraId="619D4113">
            <w:pPr>
              <w:pStyle w:val="style0"/>
              <w:widowControl w:val="false"/>
              <w:spacing w:lineRule="auto" w:line="360"/>
              <w:jc w:val="both"/>
              <w:rPr>
                <w:rFonts w:ascii="Times New Roman" w:cs="Times New Roman" w:eastAsia="Times New Roman" w:hAnsi="Times New Roman"/>
                <w:sz w:val="24"/>
                <w:szCs w:val="24"/>
                <w:highlight w:val="white"/>
                <w:lang w:val="en-GB"/>
              </w:rPr>
            </w:pPr>
          </w:p>
        </w:tc>
        <w:tc>
          <w:tcPr>
            <w:tcW w:w="1337" w:type="dxa"/>
            <w:tcBorders/>
            <w:tcMar>
              <w:top w:w="100" w:type="dxa"/>
              <w:left w:w="100" w:type="dxa"/>
              <w:bottom w:w="100" w:type="dxa"/>
              <w:right w:w="100" w:type="dxa"/>
            </w:tcMar>
          </w:tcPr>
          <w:p w14:paraId="68D6713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The multi-region sourcing, nearshoring and partnering with suppliers in Europe or North America</w:t>
            </w:r>
          </w:p>
        </w:tc>
      </w:tr>
      <w:tr w14:paraId="44901D1C">
        <w:tblPrEx/>
        <w:trPr/>
        <w:tc>
          <w:tcPr>
            <w:tcW w:w="1337" w:type="dxa"/>
            <w:tcBorders/>
            <w:tcMar>
              <w:top w:w="100" w:type="dxa"/>
              <w:left w:w="100" w:type="dxa"/>
              <w:bottom w:w="100" w:type="dxa"/>
              <w:right w:w="100" w:type="dxa"/>
            </w:tcMar>
          </w:tcPr>
          <w:p w14:paraId="20AD542F">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Ranking</w:t>
            </w:r>
          </w:p>
        </w:tc>
        <w:tc>
          <w:tcPr>
            <w:tcW w:w="1337" w:type="dxa"/>
            <w:tcBorders/>
            <w:tcMar>
              <w:top w:w="100" w:type="dxa"/>
              <w:left w:w="100" w:type="dxa"/>
              <w:bottom w:w="100" w:type="dxa"/>
              <w:right w:w="100" w:type="dxa"/>
            </w:tcMar>
          </w:tcPr>
          <w:p w14:paraId="348344F3">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1</w:t>
            </w:r>
          </w:p>
        </w:tc>
        <w:tc>
          <w:tcPr>
            <w:tcW w:w="1337" w:type="dxa"/>
            <w:tcBorders/>
            <w:tcMar>
              <w:top w:w="100" w:type="dxa"/>
              <w:left w:w="100" w:type="dxa"/>
              <w:bottom w:w="100" w:type="dxa"/>
              <w:right w:w="100" w:type="dxa"/>
            </w:tcMar>
          </w:tcPr>
          <w:p w14:paraId="2AF8E8C2">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2</w:t>
            </w:r>
          </w:p>
        </w:tc>
        <w:tc>
          <w:tcPr>
            <w:tcW w:w="1337" w:type="dxa"/>
            <w:tcBorders/>
            <w:tcMar>
              <w:top w:w="100" w:type="dxa"/>
              <w:left w:w="100" w:type="dxa"/>
              <w:bottom w:w="100" w:type="dxa"/>
              <w:right w:w="100" w:type="dxa"/>
            </w:tcMar>
          </w:tcPr>
          <w:p w14:paraId="2A062315">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3</w:t>
            </w:r>
          </w:p>
        </w:tc>
        <w:tc>
          <w:tcPr>
            <w:tcW w:w="1337" w:type="dxa"/>
            <w:tcBorders/>
            <w:tcMar>
              <w:top w:w="100" w:type="dxa"/>
              <w:left w:w="100" w:type="dxa"/>
              <w:bottom w:w="100" w:type="dxa"/>
              <w:right w:w="100" w:type="dxa"/>
            </w:tcMar>
          </w:tcPr>
          <w:p w14:paraId="487CB6D8">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4</w:t>
            </w:r>
          </w:p>
        </w:tc>
        <w:tc>
          <w:tcPr>
            <w:tcW w:w="1337" w:type="dxa"/>
            <w:tcBorders/>
            <w:tcMar>
              <w:top w:w="100" w:type="dxa"/>
              <w:left w:w="100" w:type="dxa"/>
              <w:bottom w:w="100" w:type="dxa"/>
              <w:right w:w="100" w:type="dxa"/>
            </w:tcMar>
          </w:tcPr>
          <w:p w14:paraId="737F4A9E">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5</w:t>
            </w:r>
          </w:p>
        </w:tc>
        <w:tc>
          <w:tcPr>
            <w:tcW w:w="1337" w:type="dxa"/>
            <w:tcBorders/>
            <w:tcMar>
              <w:top w:w="100" w:type="dxa"/>
              <w:left w:w="100" w:type="dxa"/>
              <w:bottom w:w="100" w:type="dxa"/>
              <w:right w:w="100" w:type="dxa"/>
            </w:tcMar>
          </w:tcPr>
          <w:p w14:paraId="755E7A8B">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6</w:t>
            </w:r>
          </w:p>
        </w:tc>
      </w:tr>
      <w:tr w14:paraId="6B31E9DF">
        <w:tblPrEx/>
        <w:trPr/>
        <w:tc>
          <w:tcPr>
            <w:tcW w:w="1337" w:type="dxa"/>
            <w:tcBorders/>
            <w:tcMar>
              <w:top w:w="100" w:type="dxa"/>
              <w:left w:w="100" w:type="dxa"/>
              <w:bottom w:w="100" w:type="dxa"/>
              <w:right w:w="100" w:type="dxa"/>
            </w:tcMar>
          </w:tcPr>
          <w:p w14:paraId="67B98353">
            <w:pPr>
              <w:pStyle w:val="style0"/>
              <w:widowControl w:val="false"/>
              <w:spacing w:lineRule="auto" w:line="360"/>
              <w:jc w:val="both"/>
              <w:rPr>
                <w:rFonts w:ascii="Times New Roman" w:cs="Times New Roman" w:eastAsia="Times New Roman" w:hAnsi="Times New Roman"/>
                <w:b/>
                <w:bCs/>
                <w:sz w:val="24"/>
                <w:szCs w:val="24"/>
                <w:highlight w:val="white"/>
                <w:lang w:val="en-GB"/>
              </w:rPr>
            </w:pPr>
            <w:r>
              <w:rPr>
                <w:rFonts w:ascii="Times New Roman" w:cs="Times New Roman" w:eastAsia="Times New Roman" w:hAnsi="Times New Roman"/>
                <w:b/>
                <w:bCs/>
                <w:sz w:val="24"/>
                <w:szCs w:val="24"/>
                <w:highlight w:val="white"/>
                <w:lang w:val="en-GB"/>
              </w:rPr>
              <w:t>Impact</w:t>
            </w:r>
          </w:p>
        </w:tc>
        <w:tc>
          <w:tcPr>
            <w:tcW w:w="1337" w:type="dxa"/>
            <w:tcBorders/>
            <w:tcMar>
              <w:top w:w="100" w:type="dxa"/>
              <w:left w:w="100" w:type="dxa"/>
              <w:bottom w:w="100" w:type="dxa"/>
              <w:right w:w="100" w:type="dxa"/>
            </w:tcMar>
          </w:tcPr>
          <w:p w14:paraId="52F00448">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This risk is widespread, as if semiconductors are not created, then production will come to a halt. It emphasises the vulnerabilities of global electronics supply chains and calls for proactive measures to increase resilience.</w:t>
            </w:r>
          </w:p>
        </w:tc>
        <w:tc>
          <w:tcPr>
            <w:tcW w:w="1337" w:type="dxa"/>
            <w:tcBorders/>
            <w:tcMar>
              <w:top w:w="100" w:type="dxa"/>
              <w:left w:w="100" w:type="dxa"/>
              <w:bottom w:w="100" w:type="dxa"/>
              <w:right w:w="100" w:type="dxa"/>
            </w:tcMar>
          </w:tcPr>
          <w:p w14:paraId="5CE12508">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Logistics Resilience is critical to Responsiveness, as this is a risk for Microsoft when they sell across the globe, particularly during busy seasons in the year, as it disrupts their sales cycle.</w:t>
            </w:r>
          </w:p>
        </w:tc>
        <w:tc>
          <w:tcPr>
            <w:tcW w:w="1337" w:type="dxa"/>
            <w:tcBorders/>
            <w:tcMar>
              <w:top w:w="100" w:type="dxa"/>
              <w:left w:w="100" w:type="dxa"/>
              <w:bottom w:w="100" w:type="dxa"/>
              <w:right w:w="100" w:type="dxa"/>
            </w:tcMar>
          </w:tcPr>
          <w:p w14:paraId="44568CCE">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Battery failures can present technical and safety issues. They can get into the legal arena and tarnish consumer trust, implying that quality assurance is important to Microsoft's credibility in the hardware segment.</w:t>
            </w:r>
          </w:p>
        </w:tc>
        <w:tc>
          <w:tcPr>
            <w:tcW w:w="1337" w:type="dxa"/>
            <w:tcBorders/>
            <w:tcMar>
              <w:top w:w="100" w:type="dxa"/>
              <w:left w:w="100" w:type="dxa"/>
              <w:bottom w:w="100" w:type="dxa"/>
              <w:right w:w="100" w:type="dxa"/>
            </w:tcMar>
          </w:tcPr>
          <w:p w14:paraId="4764A010">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When breaches do happen, they are devastating and not very common. The mode of resilience is critical while compromising the integrity of Microsoft's digital ecosystem and brand, as millions of users rely on Azure.</w:t>
            </w:r>
          </w:p>
        </w:tc>
        <w:tc>
          <w:tcPr>
            <w:tcW w:w="1337" w:type="dxa"/>
            <w:tcBorders/>
            <w:tcMar>
              <w:top w:w="100" w:type="dxa"/>
              <w:left w:w="100" w:type="dxa"/>
              <w:bottom w:w="100" w:type="dxa"/>
              <w:right w:w="100" w:type="dxa"/>
            </w:tcMar>
          </w:tcPr>
          <w:p w14:paraId="7A5D6EDC">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The regulatory risks impact long-term strategy. For Microsoft to stay in the competitive market, it needs to be agile, or risk compromising profitability and the company's ability to be competitive on a global scale due to compliance failures.</w:t>
            </w:r>
          </w:p>
        </w:tc>
        <w:tc>
          <w:tcPr>
            <w:tcW w:w="1337" w:type="dxa"/>
            <w:tcBorders/>
            <w:tcMar>
              <w:top w:w="100" w:type="dxa"/>
              <w:left w:w="100" w:type="dxa"/>
              <w:bottom w:w="100" w:type="dxa"/>
              <w:right w:w="100" w:type="dxa"/>
            </w:tcMar>
          </w:tcPr>
          <w:p w14:paraId="6D72E116">
            <w:pPr>
              <w:pStyle w:val="style0"/>
              <w:widowControl w:val="false"/>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The dependency exacerbates other risks such as shortages and logistics issues. Further, diversifying away from a single region is a key pillar of resilience and will help to prevent Microsoft from being impacted by shocks globally.</w:t>
            </w:r>
          </w:p>
        </w:tc>
      </w:tr>
    </w:tbl>
    <w:p w14:paraId="74E60AF7">
      <w:pPr>
        <w:pStyle w:val="style0"/>
        <w:spacing w:before="240" w:after="240" w:lineRule="auto" w:line="360"/>
        <w:jc w:val="center"/>
        <w:rPr>
          <w:rFonts w:ascii="Times New Roman" w:cs="Times New Roman" w:eastAsia="Times New Roman" w:hAnsi="Times New Roman"/>
          <w:b/>
          <w:bCs/>
          <w:sz w:val="24"/>
          <w:szCs w:val="24"/>
          <w:lang w:val="en-GB"/>
        </w:rPr>
      </w:pPr>
      <w:r>
        <w:rPr>
          <w:rFonts w:ascii="Times New Roman" w:cs="Times New Roman" w:eastAsia="Times New Roman" w:hAnsi="Times New Roman"/>
          <w:b/>
          <w:bCs/>
          <w:sz w:val="24"/>
          <w:szCs w:val="24"/>
          <w:lang w:val="en-GB"/>
        </w:rPr>
        <w:t xml:space="preserve">Table 1: FMEA Analysis </w:t>
      </w:r>
    </w:p>
    <w:p w14:paraId="383FA8C8">
      <w:pPr>
        <w:pStyle w:val="style0"/>
        <w:spacing w:before="240" w:after="240" w:lineRule="auto" w:line="360"/>
        <w:jc w:val="center"/>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(Source: Self-developed)</w:t>
      </w:r>
    </w:p>
    <w:p w14:paraId="7D3ACEA7">
      <w:pPr>
        <w:pStyle w:val="style0"/>
        <w:spacing w:before="240" w:after="240" w:lineRule="auto" w:line="360"/>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Evaluation</w:t>
      </w:r>
    </w:p>
    <w:p w14:paraId="5416E03E">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From Table 1, it can identify the key risks, including semiconductor shortages, logistics delays, battery defects, cybersecurity issues, regulatory changes and reliance on suppliers. The semiconductor shortages have the effect of production halts, which Ochonogor </w:t>
      </w:r>
      <w:r>
        <w:rPr>
          <w:rFonts w:ascii="Times New Roman" w:cs="Times New Roman" w:eastAsia="Times New Roman" w:hAnsi="Times New Roman"/>
          <w:i/>
          <w:iCs/>
          <w:sz w:val="24"/>
          <w:szCs w:val="24"/>
          <w:highlight w:val="white"/>
          <w:lang w:val="en-GB"/>
        </w:rPr>
        <w:t xml:space="preserve">et al. </w:t>
      </w:r>
      <w:r>
        <w:rPr>
          <w:rFonts w:ascii="Times New Roman" w:cs="Times New Roman" w:eastAsia="Times New Roman" w:hAnsi="Times New Roman"/>
          <w:sz w:val="24"/>
          <w:szCs w:val="24"/>
          <w:highlight w:val="white"/>
          <w:lang w:val="en-GB"/>
        </w:rPr>
        <w:t xml:space="preserve">(2023) say are a systemic vulnerability in globalised supply chains with few nodes. The logistics delays as Elliott and Golub (2022) explained, reveal fragility in distribution networks, especially in crises, and have a negative impact on customer satisfaction and seasonal income. Further, battery defects pose a safety issue since Heeß </w:t>
      </w:r>
      <w:r>
        <w:rPr>
          <w:rFonts w:ascii="Times New Roman" w:cs="Times New Roman" w:eastAsia="Times New Roman" w:hAnsi="Times New Roman"/>
          <w:i/>
          <w:iCs/>
          <w:sz w:val="24"/>
          <w:szCs w:val="24"/>
          <w:highlight w:val="white"/>
          <w:lang w:val="en-GB"/>
        </w:rPr>
        <w:t xml:space="preserve">et al. </w:t>
      </w:r>
      <w:r>
        <w:rPr>
          <w:rFonts w:ascii="Times New Roman" w:cs="Times New Roman" w:eastAsia="Times New Roman" w:hAnsi="Times New Roman"/>
          <w:sz w:val="24"/>
          <w:szCs w:val="24"/>
          <w:highlight w:val="white"/>
          <w:lang w:val="en-GB"/>
        </w:rPr>
        <w:t xml:space="preserve">(2024) argue that quality failures have an impact on cost and trust. The risks in the Azure supply chain are very well illustrated by the cybersecurity breaches, as the cyber dimension of supply chain risk is congruent with what Padovano and Ivanov (2025), have pointed out. The resilience needs to be extended beyond the physical flow of the supply chain to the information systems. This highlights the fact that supplier dependency combines these risks, as it allows them to be greater when there is a concentration in sourcing. These problems are rooted in the complexity of globalisation, and interdependencies exacerbate disruptions. It is critical to communicate with them to ensure continuity, reputation and growth. </w:t>
      </w:r>
    </w:p>
    <w:p w14:paraId="0CA582DE">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In this case, Microsoft has addressed these challenges by diversifying supply chains, digital monitoring, and sustainability efforts, and is looking at opportunities such as near-shoring, predictive analytics using AI and multi-region sourcing. Thus, FMEA is able to quantify the risks of an operation and prioritise them in a meaningful way for taking action. Therefore, the relevance of the study is to connect the academic theory with the practical approach and to make the challenges a means to be resilient and take advantage of them to make the supply chains sustainable, agile and flexible.</w:t>
      </w:r>
    </w:p>
    <w:bookmarkStart w:id="3" w:name="_Toc30063"/>
    <w:p w14:paraId="449A380B">
      <w:pPr>
        <w:pStyle w:val="style1"/>
        <w:spacing w:lineRule="auto" w:line="360"/>
        <w:jc w:val="both"/>
        <w:rPr>
          <w:rFonts w:ascii="Times New Roman" w:cs="Times New Roman" w:eastAsia="Times New Roman" w:hAnsi="Times New Roman"/>
          <w:b/>
          <w:bCs/>
          <w:sz w:val="28"/>
          <w:szCs w:val="28"/>
          <w:lang w:val="en-GB"/>
        </w:rPr>
      </w:pPr>
      <w:r>
        <w:rPr>
          <w:rFonts w:ascii="Times New Roman" w:cs="Times New Roman" w:eastAsia="Times New Roman" w:hAnsi="Times New Roman"/>
          <w:b/>
          <w:bCs/>
          <w:sz w:val="28"/>
          <w:szCs w:val="28"/>
          <w:lang w:val="en-GB"/>
        </w:rPr>
        <w:t>Steps to make the supply chain more resilient</w:t>
      </w:r>
      <w:bookmarkEnd w:id="3"/>
      <w:r>
        <w:rPr>
          <w:rFonts w:ascii="Times New Roman" w:cs="Times New Roman" w:eastAsia="Times New Roman" w:hAnsi="Times New Roman"/>
          <w:b/>
          <w:bCs/>
          <w:sz w:val="28"/>
          <w:szCs w:val="28"/>
          <w:lang w:val="en-GB"/>
        </w:rPr>
        <w:t xml:space="preserve"> </w:t>
      </w:r>
    </w:p>
    <w:p w14:paraId="6B64DD14">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Supplier diversification</w:t>
      </w:r>
    </w:p>
    <w:p w14:paraId="1782355D">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 xml:space="preserve">The multiple suppliers in different regions decrease reliance on Asia and mitigate semiconductor risk. In this regard, diversified networks are important to maintain agility and responsiveness, as emphasised by Patrucco </w:t>
      </w:r>
      <w:r>
        <w:rPr>
          <w:rFonts w:ascii="Times New Roman" w:cs="Times New Roman" w:eastAsia="Times New Roman" w:hAnsi="Times New Roman"/>
          <w:i/>
          <w:iCs/>
          <w:sz w:val="24"/>
          <w:szCs w:val="24"/>
          <w:highlight w:val="white"/>
          <w:lang w:val="en-GB"/>
        </w:rPr>
        <w:t xml:space="preserve">et al. </w:t>
      </w:r>
      <w:r>
        <w:rPr>
          <w:rFonts w:ascii="Times New Roman" w:cs="Times New Roman" w:eastAsia="Times New Roman" w:hAnsi="Times New Roman"/>
          <w:sz w:val="24"/>
          <w:szCs w:val="24"/>
          <w:highlight w:val="white"/>
          <w:lang w:val="en-GB"/>
        </w:rPr>
        <w:t>(2025). This is required to keep systemic exposure down, especially in the event of a crisis. For instance, the 2020 chip shortage is one such example, as Apple has spread its supply chain across different chip manufacturers in order to become more resilient (Zhu, 2023). In general, it provides a levelling measure of Microsoft's production and decreases the extent to which it is susceptible to political conflicts.</w:t>
      </w:r>
    </w:p>
    <w:p w14:paraId="7945F63E">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Nearshoring and regional hubs</w:t>
      </w:r>
    </w:p>
    <w:p w14:paraId="0C0490FA">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The process of nearshoring and establishment of regional hubs can suppress these logistics issues, bringing them closer to the markets of demand. Platas-López and Cruz-Mejía (2025) suggest that the shorter the distance, the faster the lead time and the more responsive the system. When it comes to transport choke points and prompt deliveries, it comes with benefits for customers. As an example, the Gigafactory in Europe, developed by Tesla, shows the benefits of nearshoring in reducing the risk of shipping. This has a wider impact of increased market responsiveness and less dependence on overcrowded world shipping lanes.</w:t>
      </w:r>
    </w:p>
    <w:p w14:paraId="263A8264">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 xml:space="preserve">Digital visibility and AI monitoring </w:t>
      </w:r>
    </w:p>
    <w:p w14:paraId="2DA8F951">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The real-time tracking with IoT and AI helps to mitigate logistics and supplier risk. However, digital resilience is one of the main elements that Padovano and Ivanov (2025), emphasise as being essential for current supply chains. It is necessary to eliminate uncertainty, helping managers to take proactive action. During COVID, for instance, DHL uses AI in its logistics monitoring to minimise delays. Thus, it will provide a greater degree of transparency, predictive analytics and control over Microsoft's global supply chain.</w:t>
      </w:r>
    </w:p>
    <w:p w14:paraId="46715ABD">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Strong quality assurance</w:t>
      </w:r>
    </w:p>
    <w:p w14:paraId="05B2D4FD">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 xml:space="preserve">The defects in battery defects are included in enhancing supplier audits and stress testing. Heeß </w:t>
      </w:r>
      <w:r>
        <w:rPr>
          <w:rFonts w:ascii="Times New Roman" w:cs="Times New Roman" w:eastAsia="Times New Roman" w:hAnsi="Times New Roman"/>
          <w:i/>
          <w:iCs/>
          <w:sz w:val="24"/>
          <w:szCs w:val="24"/>
          <w:highlight w:val="white"/>
          <w:lang w:val="en-GB"/>
        </w:rPr>
        <w:t xml:space="preserve">et al. </w:t>
      </w:r>
      <w:r>
        <w:rPr>
          <w:rFonts w:ascii="Times New Roman" w:cs="Times New Roman" w:eastAsia="Times New Roman" w:hAnsi="Times New Roman"/>
          <w:sz w:val="24"/>
          <w:szCs w:val="24"/>
          <w:highlight w:val="white"/>
          <w:lang w:val="en-GB"/>
        </w:rPr>
        <w:t>(2024) draw attention to the fact that trust is lost and costs increase due to quality failures. It helps consumers by minimising reliability issues and is good for safety when it comes to risk management. For instance, Weak QA can have repercussions, as in the case of Samsung's battery crisis of 2016. This implies that legal liability and reputational harm faced by Microsoft's hardware business can be transformed to benefit through fostering quality enhancement.</w:t>
      </w:r>
    </w:p>
    <w:p w14:paraId="38A19699">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Reinforcement of cybersecurity</w:t>
      </w:r>
    </w:p>
    <w:p w14:paraId="2A1B3743">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The implementation of intrusion detection and redundancy systems is a solution to Azure breaches. Kopanaki (2022), suggests that there needs to be resilience of digital infrastructures. Through suppression of cyber risks, it benefits stakeholders by safeguarding trust and compliance. For example, IBM's layered approach to cyber security shows resilience in assessing cyber security. This provides continuity for Xbox Live and Xbox cloud gaming, and helps to build Microsoft's digital reputation.</w:t>
      </w:r>
    </w:p>
    <w:p w14:paraId="7123CA59">
      <w:pPr>
        <w:pStyle w:val="style0"/>
        <w:numPr>
          <w:ilvl w:val="0"/>
          <w:numId w:val="1"/>
        </w:numPr>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b/>
          <w:bCs/>
          <w:i/>
          <w:iCs/>
          <w:sz w:val="24"/>
          <w:szCs w:val="24"/>
          <w:lang w:val="en-GB"/>
        </w:rPr>
        <w:t xml:space="preserve">Adaptive compliance framework </w:t>
      </w:r>
    </w:p>
    <w:p w14:paraId="05169D57">
      <w:pPr>
        <w:pStyle w:val="style0"/>
        <w:spacing w:lineRule="auto" w:line="360"/>
        <w:jc w:val="both"/>
        <w:rPr>
          <w:rFonts w:ascii="Times New Roman" w:cs="Times New Roman" w:eastAsia="Times New Roman" w:hAnsi="Times New Roman"/>
          <w:b/>
          <w:bCs/>
          <w:i/>
          <w:iCs/>
          <w:sz w:val="24"/>
          <w:szCs w:val="24"/>
          <w:lang w:val="en-GB"/>
        </w:rPr>
      </w:pPr>
      <w:r>
        <w:rPr>
          <w:rFonts w:ascii="Times New Roman" w:cs="Times New Roman" w:eastAsia="Times New Roman" w:hAnsi="Times New Roman"/>
          <w:sz w:val="24"/>
          <w:szCs w:val="24"/>
          <w:highlight w:val="white"/>
          <w:lang w:val="en-GB"/>
        </w:rPr>
        <w:t>The regulatory changes are dealt with by proactively lobbying and planning scenarios. The analysis of external shocks serves as a means of reshaping access in fostering legal adherence. It helps to reduce legal risks, along with helping policymakers and managers to ensure compliance. Overall, it ensures access to the market and long-term profitability in volatile markets.</w:t>
      </w:r>
    </w:p>
    <w:bookmarkStart w:id="4" w:name="_Toc15729"/>
    <w:p w14:paraId="4F9EC063">
      <w:pPr>
        <w:pStyle w:val="style1"/>
        <w:spacing w:lineRule="auto" w:line="360"/>
        <w:jc w:val="both"/>
        <w:rPr>
          <w:rFonts w:ascii="Times New Roman" w:cs="Times New Roman" w:eastAsia="Times New Roman" w:hAnsi="Times New Roman"/>
          <w:b/>
          <w:bCs/>
          <w:sz w:val="28"/>
          <w:szCs w:val="28"/>
          <w:lang w:val="en-GB"/>
        </w:rPr>
      </w:pPr>
      <w:r>
        <w:rPr>
          <w:rFonts w:ascii="Times New Roman" w:cs="Times New Roman" w:eastAsia="Times New Roman" w:hAnsi="Times New Roman"/>
          <w:b/>
          <w:bCs/>
          <w:sz w:val="28"/>
          <w:szCs w:val="28"/>
          <w:lang w:val="en-GB"/>
        </w:rPr>
        <w:t>Conclusions and suggestions for further work/research</w:t>
      </w:r>
      <w:bookmarkEnd w:id="4"/>
      <w:r>
        <w:rPr>
          <w:rFonts w:ascii="Times New Roman" w:cs="Times New Roman" w:eastAsia="Times New Roman" w:hAnsi="Times New Roman"/>
          <w:b/>
          <w:bCs/>
          <w:sz w:val="28"/>
          <w:szCs w:val="28"/>
          <w:lang w:val="en-GB"/>
        </w:rPr>
        <w:t xml:space="preserve"> </w:t>
      </w:r>
    </w:p>
    <w:p w14:paraId="18476F22">
      <w:pPr>
        <w:pStyle w:val="style0"/>
        <w:rPr>
          <w:rFonts w:ascii="Times New Roman" w:cs="Times New Roman" w:eastAsia="Times New Roman" w:hAnsi="Times New Roman"/>
          <w:b/>
          <w:bCs/>
          <w:sz w:val="24"/>
          <w:szCs w:val="24"/>
          <w:lang w:val="en-GB"/>
        </w:rPr>
      </w:pPr>
      <w:r>
        <w:rPr>
          <w:rFonts w:ascii="Times New Roman" w:cs="Times New Roman" w:eastAsia="Times New Roman" w:hAnsi="Times New Roman"/>
          <w:b/>
          <w:bCs/>
          <w:sz w:val="24"/>
          <w:szCs w:val="24"/>
          <w:lang w:val="en-GB"/>
        </w:rPr>
        <w:t>Conclusion</w:t>
      </w:r>
    </w:p>
    <w:p w14:paraId="077F24AD">
      <w:pPr>
        <w:pStyle w:val="style0"/>
        <w:rPr>
          <w:rFonts w:ascii="Times New Roman" w:cs="Times New Roman" w:eastAsia="Times New Roman" w:hAnsi="Times New Roman"/>
          <w:sz w:val="24"/>
          <w:szCs w:val="24"/>
          <w:lang w:val="en-GB"/>
        </w:rPr>
      </w:pPr>
    </w:p>
    <w:p w14:paraId="33AEB29A">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 xml:space="preserve">The FMEA analysis shows that the global supply chain of Microsoft is vulnerable not just to procurement issues but also to other issues related to operations, technology and geopolitics. The greatest risks are semiconductor shortages and supplier concentration, as they directly impact production continuity and exacerbate disruptions in the logistics, manufacturing, and product availability chain. Similarly, the security flaws in the Azure supply chain expose the parallels between digital assets and the physical supply chain. Moreover, it imposes challenges to cyber resilience strategies that must incorporate cyber governance with supply chain management. However, it can be stated that Microsoft has chosen to invest in supplier diversity and achieve visibility and sustainable sourcing through artificial intelligence, but the assessment suggests that resilience is not simply about minimising costs. </w:t>
      </w:r>
    </w:p>
    <w:p w14:paraId="500688CC">
      <w:pPr>
        <w:pStyle w:val="style0"/>
        <w:spacing w:lineRule="auto" w:line="360"/>
        <w:jc w:val="both"/>
        <w:rPr>
          <w:rFonts w:ascii="Times New Roman" w:cs="Times New Roman" w:eastAsia="Times New Roman" w:hAnsi="Times New Roman"/>
          <w:sz w:val="24"/>
          <w:szCs w:val="24"/>
          <w:lang w:val="en-GB"/>
        </w:rPr>
      </w:pPr>
      <w:r>
        <w:rPr>
          <w:rFonts w:ascii="Times New Roman" w:cs="Times New Roman" w:eastAsia="Times New Roman" w:hAnsi="Times New Roman"/>
          <w:sz w:val="24"/>
          <w:szCs w:val="24"/>
          <w:lang w:val="en-GB"/>
        </w:rPr>
        <w:t>The recommended measures, such as multi-regional sourcing, quality assurance, regional production hubs, digital monitoring, cyber security and adaptive regulatory compliance, have the potential to enhance the continuity of supplies. These strategies can further add agility to the organisations and stakeholder trust. Their use also helps to meet larger sustainability goals by minimising disruption-related waste, optimizing the use of resources, and providing long-term operational flexibility. Therefore, Microsoft needs to implement a comprehensive resilience approach incorporating digital technologies, proactive risk identification, and collaborative supplier partnerships to improve its competitive edge in the ever-changing global market. This can allow the organisation to adapt more quickly to any disruptions and can also turn uncertainty into an innovative opportunity, contributing to operational excellence and sustainable growth.</w:t>
      </w:r>
    </w:p>
    <w:p w14:paraId="25BAE58F">
      <w:pPr>
        <w:pStyle w:val="style0"/>
        <w:rPr>
          <w:rFonts w:ascii="Times New Roman" w:cs="Times New Roman" w:eastAsia="Times New Roman" w:hAnsi="Times New Roman"/>
          <w:sz w:val="24"/>
          <w:szCs w:val="24"/>
          <w:lang w:val="en-GB"/>
        </w:rPr>
      </w:pPr>
    </w:p>
    <w:p w14:paraId="0E056490">
      <w:pPr>
        <w:pStyle w:val="style0"/>
        <w:rPr>
          <w:rFonts w:ascii="Times New Roman" w:cs="Times New Roman" w:eastAsia="Times New Roman" w:hAnsi="Times New Roman"/>
          <w:b/>
          <w:bCs/>
          <w:sz w:val="24"/>
          <w:szCs w:val="24"/>
          <w:lang w:val="en-GB"/>
        </w:rPr>
      </w:pPr>
      <w:r>
        <w:rPr>
          <w:rFonts w:ascii="Times New Roman" w:cs="Times New Roman" w:eastAsia="Times New Roman" w:hAnsi="Times New Roman"/>
          <w:b/>
          <w:bCs/>
          <w:sz w:val="24"/>
          <w:szCs w:val="24"/>
          <w:lang w:val="en-GB"/>
        </w:rPr>
        <w:t>Suggestions for Future scope of research</w:t>
      </w:r>
    </w:p>
    <w:bookmarkStart w:id="5" w:name="_jxj8kqdv8i6u" w:colFirst="0" w:colLast="0"/>
    <w:bookmarkEnd w:id="5"/>
    <w:p w14:paraId="7FEF91F8">
      <w:pPr>
        <w:pStyle w:val="style0"/>
        <w:spacing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 xml:space="preserve">Further research can be done with the scope to expand the current study by including quantitative simulation models of the supply chain in conjunction with FMEA. It can help to assess interaction effects of multiple risks across diverse disruption scenarios. An FMEA application in conjunction with techniques like Monte Carlo simulation or digital twin technology could give an accurate prediction of cascading failures and enhance strategic decision-making. Moreover, further study can be focused on how resilient Microsoft is compared to other technology companies around the world, such as Apple, Amazon and Samsung, to find out the best practices and compare the level of resilience of the companies according to the different procurement models. In addition, the environmental and social aspects of resilience need to be included more strongly, such as supplier decarbonisation, ethical sourcing of critical minerals, and circular economy programs' effects on the sustainability of the supply chain over the long term. </w:t>
      </w:r>
    </w:p>
    <w:bookmarkStart w:id="6" w:name="_yaduitpsl3f4" w:colFirst="0" w:colLast="0"/>
    <w:bookmarkEnd w:id="6"/>
    <w:p w14:paraId="24BFD700">
      <w:pPr>
        <w:pStyle w:val="style0"/>
        <w:spacing w:lineRule="auto" w:line="360"/>
        <w:jc w:val="both"/>
        <w:rPr>
          <w:rFonts w:ascii="Times New Roman" w:cs="Times New Roman" w:hAnsi="Times New Roman"/>
          <w:sz w:val="24"/>
          <w:szCs w:val="24"/>
          <w:lang w:val="en-GB"/>
        </w:rPr>
      </w:pPr>
      <w:r>
        <w:rPr>
          <w:rFonts w:ascii="Times New Roman" w:cs="Times New Roman" w:hAnsi="Times New Roman"/>
          <w:sz w:val="24"/>
          <w:szCs w:val="24"/>
          <w:lang w:val="en-GB"/>
        </w:rPr>
        <w:t>Future work can be conducted to explore the impact of automated procurement systems, AI-based predictive analytics, and blockchain transparency on supplier management, while also evaluating the future of AI integration in procurement and logistics. In addition, empirical research with logistics providers, procurement managers, and strategic suppliers would give practical insights into the organizational challenges of implementing resilience strategies in complex international supply networks. The following research directions would provide a more holistic piece of evidence to develop resilient, sustainable, and digitally enabled supply chains to fulfill Microsoft's long-term strategic goals in a volatile and uncertain global business landscape.</w:t>
      </w:r>
    </w:p>
    <w:p w14:paraId="6EA7D0DF">
      <w:pPr>
        <w:pStyle w:val="style0"/>
        <w:rPr>
          <w:lang w:val="en-GB"/>
        </w:rPr>
      </w:pPr>
    </w:p>
    <w:bookmarkStart w:id="7" w:name="_iczk1uwrdubx" w:colFirst="0" w:colLast="0"/>
    <w:bookmarkEnd w:id="7"/>
    <w:p w14:paraId="3704EBDB">
      <w:pPr>
        <w:pStyle w:val="style1"/>
        <w:spacing w:lineRule="auto" w:line="360"/>
        <w:jc w:val="both"/>
        <w:rPr>
          <w:rFonts w:ascii="Times New Roman" w:cs="Times New Roman" w:eastAsia="Times New Roman" w:hAnsi="Times New Roman"/>
          <w:b/>
          <w:bCs/>
          <w:sz w:val="28"/>
          <w:szCs w:val="28"/>
          <w:lang w:val="en-GB"/>
        </w:rPr>
      </w:pPr>
      <w:r>
        <w:rPr>
          <w:lang w:val="en-GB"/>
        </w:rPr>
        <w:br w:type="page"/>
      </w:r>
    </w:p>
    <w:bookmarkStart w:id="8" w:name="_Toc32058"/>
    <w:p w14:paraId="52D8F950">
      <w:pPr>
        <w:pStyle w:val="style1"/>
        <w:spacing w:lineRule="auto" w:line="360"/>
        <w:jc w:val="both"/>
        <w:rPr>
          <w:rFonts w:ascii="Times New Roman" w:cs="Times New Roman" w:eastAsia="Times New Roman" w:hAnsi="Times New Roman"/>
          <w:b/>
          <w:bCs/>
          <w:sz w:val="28"/>
          <w:szCs w:val="28"/>
          <w:lang w:val="en-GB"/>
        </w:rPr>
      </w:pPr>
      <w:r>
        <w:rPr>
          <w:rFonts w:ascii="Times New Roman" w:cs="Times New Roman" w:eastAsia="Times New Roman" w:hAnsi="Times New Roman"/>
          <w:b/>
          <w:bCs/>
          <w:sz w:val="28"/>
          <w:szCs w:val="28"/>
          <w:lang w:val="en-GB"/>
        </w:rPr>
        <w:t>References</w:t>
      </w:r>
      <w:bookmarkEnd w:id="8"/>
    </w:p>
    <w:p w14:paraId="68E15A36">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Kanike, U.K., 2023. Factors disrupting supply chain management in manufacturing industries. Journal of Supply Chain Management Science, 4(1-2), pp.1-24. Available at: </w:t>
      </w:r>
      <w:r>
        <w:rPr/>
        <w:fldChar w:fldCharType="begin"/>
      </w:r>
      <w:r>
        <w:instrText xml:space="preserve"> HYPERLINK "https://journals.open.tudelft.nl/jscms/article/view/6986" \h </w:instrText>
      </w:r>
      <w:r>
        <w:rPr/>
        <w:fldChar w:fldCharType="separate"/>
      </w:r>
      <w:r>
        <w:rPr>
          <w:rFonts w:ascii="Times New Roman" w:cs="Times New Roman" w:eastAsia="Times New Roman" w:hAnsi="Times New Roman"/>
          <w:color w:val="1155cc"/>
          <w:sz w:val="24"/>
          <w:szCs w:val="24"/>
          <w:highlight w:val="white"/>
          <w:u w:val="single"/>
          <w:lang w:val="en-GB"/>
        </w:rPr>
        <w:t>https://journals.open.tudelft.nl/jscms/article/view/6986</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284EB5E4">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Henson, C. (2020). Enhance your supply chain with Microsoft blockchain | The Microsoft Cloud Blog. [online] The Microsoft Cloud Blog. Available at: </w:t>
      </w:r>
      <w:r>
        <w:rPr/>
        <w:fldChar w:fldCharType="begin"/>
      </w:r>
      <w:r>
        <w:instrText xml:space="preserve"> HYPERLINK "https://www.microsoft.com/en-us/microsoft-cloud/blog/manufacturing/2020/12/17/improve-supply-chain-resiliency-traceability-and-predictability-with-blockchain/" \h </w:instrText>
      </w:r>
      <w:r>
        <w:rPr/>
        <w:fldChar w:fldCharType="separate"/>
      </w:r>
      <w:r>
        <w:rPr>
          <w:rFonts w:ascii="Times New Roman" w:cs="Times New Roman" w:eastAsia="Times New Roman" w:hAnsi="Times New Roman"/>
          <w:color w:val="1155cc"/>
          <w:sz w:val="24"/>
          <w:szCs w:val="24"/>
          <w:highlight w:val="white"/>
          <w:u w:val="single"/>
          <w:lang w:val="en-GB"/>
        </w:rPr>
        <w:t>https://www.microsoft.com/en-us/microsoft-cloud/manufacturing/2020/12/17/improve-supply-chain-resiliency-traceability-and-predictability-with-blockchain/</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[Accessed 24 July 2026].</w:t>
      </w:r>
    </w:p>
    <w:p w14:paraId="6EA4B15C">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Ning, L. and Yao, D., 2023. The impact of digital transformation on supply chain capabilities and supply chain competitive performance. Sustainability, 15(13), p.10107. Available at: </w:t>
      </w:r>
      <w:r>
        <w:rPr/>
        <w:fldChar w:fldCharType="begin"/>
      </w:r>
      <w:r>
        <w:instrText xml:space="preserve"> HYPERLINK "https://www.mdpi.com/2071-1050/15/13/10107" \h </w:instrText>
      </w:r>
      <w:r>
        <w:rPr/>
        <w:fldChar w:fldCharType="separate"/>
      </w:r>
      <w:r>
        <w:rPr>
          <w:rFonts w:ascii="Times New Roman" w:cs="Times New Roman" w:eastAsia="Times New Roman" w:hAnsi="Times New Roman"/>
          <w:color w:val="1155cc"/>
          <w:sz w:val="24"/>
          <w:szCs w:val="24"/>
          <w:highlight w:val="white"/>
          <w:u w:val="single"/>
          <w:lang w:val="en-GB"/>
        </w:rPr>
        <w:t>https://www.mdpi.com/2071-1050/15/13/10107</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3F3505D7">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Microsoft (2017). Microsoft 2017 Annual Report. [online] Microsoft.com. Available at: </w:t>
      </w:r>
      <w:r>
        <w:rPr/>
        <w:fldChar w:fldCharType="begin"/>
      </w:r>
      <w:r>
        <w:instrText xml:space="preserve"> HYPERLINK "https://www.microsoft.com/investor/reports/ar17/index.html" \h </w:instrText>
      </w:r>
      <w:r>
        <w:rPr/>
        <w:fldChar w:fldCharType="separate"/>
      </w:r>
      <w:r>
        <w:rPr>
          <w:rFonts w:ascii="Times New Roman" w:cs="Times New Roman" w:eastAsia="Times New Roman" w:hAnsi="Times New Roman"/>
          <w:color w:val="1155cc"/>
          <w:sz w:val="24"/>
          <w:szCs w:val="24"/>
          <w:highlight w:val="white"/>
          <w:u w:val="single"/>
          <w:lang w:val="en-GB"/>
        </w:rPr>
        <w:t>https://www.microsoft.com/investor/reports/ar17/index.html</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[Accessed 24 July 2026].</w:t>
      </w:r>
    </w:p>
    <w:p w14:paraId="702DE6D7">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Atin, S and Lubis, Rehansyah. 2020. Implementation of the Failure Mode and Effects Analysis (FMEA) Method to Determine Project Risk Priority. IOP Conference Series: Materials Science and Engineering. 879. 012026. 10.1088/1757-899X/879/1/012026.</w:t>
      </w:r>
    </w:p>
    <w:p w14:paraId="2BFDA8DD">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Thomas, D., 2025. Rethinking FMEA for today’s manufacturing landscape considering innovation in risk analysis. Journal of Failure Analysis and Prevention, 25(1), pp.1-3. Available at: </w:t>
      </w:r>
      <w:r>
        <w:rPr/>
        <w:fldChar w:fldCharType="begin"/>
      </w:r>
      <w:r>
        <w:instrText xml:space="preserve"> HYPERLINK "https://link.springer.com/article/10.1007/s11668-025-02092-z" \h </w:instrText>
      </w:r>
      <w:r>
        <w:rPr/>
        <w:fldChar w:fldCharType="separate"/>
      </w:r>
      <w:r>
        <w:rPr>
          <w:rFonts w:ascii="Times New Roman" w:cs="Times New Roman" w:eastAsia="Times New Roman" w:hAnsi="Times New Roman"/>
          <w:color w:val="1155cc"/>
          <w:sz w:val="24"/>
          <w:szCs w:val="24"/>
          <w:highlight w:val="white"/>
          <w:u w:val="single"/>
          <w:lang w:val="en-GB"/>
        </w:rPr>
        <w:t>https://link.springer.com/article/10.1007/s11668-025-02092-z</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3D43E959">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Nwamekwe, C.O., Chidiebube, I.N., Godfrey, O.C., Celestine, N.E. and Sunday, A.P., 2025. Resilience and Risk Management in Social Robot Systems: An Industrial Engineering Perspective. Culture education and technology research (Cetera), 2(2), pp.1-12. Available at: </w:t>
      </w:r>
      <w:r>
        <w:rPr/>
        <w:fldChar w:fldCharType="begin"/>
      </w:r>
      <w:r>
        <w:instrText xml:space="preserve"> HYPERLINK "https://cetera.web.id/index.php/ctr/article/view/154" \h </w:instrText>
      </w:r>
      <w:r>
        <w:rPr/>
        <w:fldChar w:fldCharType="separate"/>
      </w:r>
      <w:r>
        <w:rPr>
          <w:rFonts w:ascii="Times New Roman" w:cs="Times New Roman" w:eastAsia="Times New Roman" w:hAnsi="Times New Roman"/>
          <w:color w:val="1155cc"/>
          <w:sz w:val="24"/>
          <w:szCs w:val="24"/>
          <w:highlight w:val="white"/>
          <w:u w:val="single"/>
          <w:lang w:val="en-GB"/>
        </w:rPr>
        <w:t>https://cetera.web.id/index.php/ctr/article/view/154</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715BC49C">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Researchgate.net. (2026). [Online] Available at: </w:t>
      </w:r>
      <w:r>
        <w:rPr/>
        <w:fldChar w:fldCharType="begin"/>
      </w:r>
      <w:r>
        <w:instrText xml:space="preserve"> HYPERLINK "https://www.researchgate.net/figure/The-Failure-Mode-and-Effect-Analysis-FMEA-methodology_fig2_259645540" \h </w:instrText>
      </w:r>
      <w:r>
        <w:rPr/>
        <w:fldChar w:fldCharType="separate"/>
      </w:r>
      <w:r>
        <w:rPr>
          <w:rFonts w:ascii="Times New Roman" w:cs="Times New Roman" w:eastAsia="Times New Roman" w:hAnsi="Times New Roman"/>
          <w:color w:val="1155cc"/>
          <w:sz w:val="24"/>
          <w:szCs w:val="24"/>
          <w:highlight w:val="white"/>
          <w:u w:val="single"/>
          <w:lang w:val="en-GB"/>
        </w:rPr>
        <w:t>https://www.researchgate.net/figure/The-Failure-Mode-and-Effect-Analysis-FMEA-methodology_fig2_259645540</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[Accessed 24 July 2026].</w:t>
      </w:r>
    </w:p>
    <w:p w14:paraId="6892873C">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Ochonogor, K.N., Osho, G.S., Anoka, C.O. and Ojumu, O., 2023. The COVID-19 pandemic and supply chain disruption: an analysis of the semiconductor industry’s resilience. Int. J. Tech. Sci. Res. Eng, 6(1), pp.7-18. Available at: </w:t>
      </w:r>
      <w:r>
        <w:rPr/>
        <w:fldChar w:fldCharType="begin"/>
      </w:r>
      <w:r>
        <w:instrText xml:space="preserve"> HYPERLINK "https://www.ijtsre.org/papers/2023/ev6c1/IJT-44712257.pdf" \h </w:instrText>
      </w:r>
      <w:r>
        <w:rPr/>
        <w:fldChar w:fldCharType="separate"/>
      </w:r>
      <w:r>
        <w:rPr>
          <w:rFonts w:ascii="Times New Roman" w:cs="Times New Roman" w:eastAsia="Times New Roman" w:hAnsi="Times New Roman"/>
          <w:color w:val="1155cc"/>
          <w:sz w:val="24"/>
          <w:szCs w:val="24"/>
          <w:highlight w:val="white"/>
          <w:u w:val="single"/>
          <w:lang w:val="en-GB"/>
        </w:rPr>
        <w:t>https://www.ijtsre.org/papers/2023/ev6c1/IJT-44712257.pdf</w:t>
      </w:r>
      <w:r>
        <w:rPr>
          <w:rFonts w:ascii="Times New Roman" w:cs="Times New Roman" w:eastAsia="Times New Roman" w:hAnsi="Times New Roman"/>
          <w:color w:val="1155cc"/>
          <w:sz w:val="24"/>
          <w:szCs w:val="24"/>
          <w:highlight w:val="white"/>
          <w:u w:val="single"/>
          <w:lang w:val="en-GB"/>
        </w:rPr>
        <w:fldChar w:fldCharType="end"/>
      </w:r>
    </w:p>
    <w:p w14:paraId="585AFEA8">
      <w:pPr>
        <w:pStyle w:val="style0"/>
        <w:spacing w:before="240" w:after="240"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Elliott, M. and Golub, B., 2022. Networks and economic fragility. Annual Review of Economics, 14(1), pp.665-696. Available at: </w:t>
      </w:r>
      <w:r>
        <w:rPr/>
        <w:fldChar w:fldCharType="begin"/>
      </w:r>
      <w:r>
        <w:instrText xml:space="preserve"> HYPERLINK "https://www.annualreviews.org/docserver/fulltext/economics/14/1/annurev-economics-051520-021647.pdf?expires=1784898514&amp;id=id&amp;accname=guest&amp;checksum=528171B3C4ADE6A9A2E4D920C909AFFE" \h </w:instrText>
      </w:r>
      <w:r>
        <w:rPr/>
        <w:fldChar w:fldCharType="separate"/>
      </w:r>
      <w:r>
        <w:rPr>
          <w:rFonts w:ascii="Times New Roman" w:cs="Times New Roman" w:eastAsia="Times New Roman" w:hAnsi="Times New Roman"/>
          <w:color w:val="1155cc"/>
          <w:sz w:val="24"/>
          <w:szCs w:val="24"/>
          <w:highlight w:val="white"/>
          <w:u w:val="single"/>
          <w:lang w:val="en-GB"/>
        </w:rPr>
        <w:t>https://www.annualreviews.org/docserver/fulltext/economics/14/1/annurev-economics-051520-021647.pdf?expires=1784898514&amp;id=id&amp;accname=guest&amp;checksum=528171B3C4ADE6A9A2E4D920C909AFFE</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35E86885">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Patrucco, A.S., Picanço Rodrigues, V., Fransoo, J.C. and Mejia‐Argueta, C., 2025. Resilient supply chains amid uncertainty: do agility, adaptability, and alignment mitigate the effects of major disruptions?. Journal of Business Logistics, 46(4), p.e70037. Available at: </w:t>
      </w:r>
      <w:r>
        <w:rPr/>
        <w:fldChar w:fldCharType="begin"/>
      </w:r>
      <w:r>
        <w:instrText xml:space="preserve"> HYPERLINK "https://onlinelibrary.wiley.com/doi/full/10.1111/jbl.70037" \h </w:instrText>
      </w:r>
      <w:r>
        <w:rPr/>
        <w:fldChar w:fldCharType="separate"/>
      </w:r>
      <w:r>
        <w:rPr>
          <w:rFonts w:ascii="Times New Roman" w:cs="Times New Roman" w:eastAsia="Times New Roman" w:hAnsi="Times New Roman"/>
          <w:color w:val="1155cc"/>
          <w:sz w:val="24"/>
          <w:szCs w:val="24"/>
          <w:highlight w:val="white"/>
          <w:u w:val="single"/>
          <w:lang w:val="en-GB"/>
        </w:rPr>
        <w:t>https://onlinelibrary.wiley.com/doi/full/10.1111/jbl.70037</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2FFE88F7">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Zhu, Haiyan. 2023. Apple Inc's Massive Demand for Chips and Semiconductors under COVID-19 and its Response Strategies. Advances in Economics, Management and Political Sciences. 9. 376-382. 10.54254/2754-1169/9/20230361. </w:t>
      </w:r>
    </w:p>
    <w:p w14:paraId="52D92C9E">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Platas-López, A. and Cruz-Mejía, O., 2025. The Nearshoring Loop: A Review of Triggers, Location Choice, and Captured Outcomes. Logistics, 10(1), p.1. Available at: </w:t>
      </w:r>
      <w:r>
        <w:rPr/>
        <w:fldChar w:fldCharType="begin"/>
      </w:r>
      <w:r>
        <w:instrText xml:space="preserve"> HYPERLINK "https://www.mdpi.com/2305-6290/10/1/1" \h </w:instrText>
      </w:r>
      <w:r>
        <w:rPr/>
        <w:fldChar w:fldCharType="separate"/>
      </w:r>
      <w:r>
        <w:rPr>
          <w:rFonts w:ascii="Times New Roman" w:cs="Times New Roman" w:eastAsia="Times New Roman" w:hAnsi="Times New Roman"/>
          <w:color w:val="1155cc"/>
          <w:sz w:val="24"/>
          <w:szCs w:val="24"/>
          <w:highlight w:val="white"/>
          <w:u w:val="single"/>
          <w:lang w:val="en-GB"/>
        </w:rPr>
        <w:t>https://www.mdpi.com/2305-6290/10/1/1</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70918EC6">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Padovano, A. and Ivanov, D., 2025. Towards resilient and viable supply chains: a multidimensional model and empirical analysis. International Journal of Production Research, 63(17), pp.6252-6290. Available at: </w:t>
      </w:r>
      <w:r>
        <w:rPr/>
        <w:fldChar w:fldCharType="begin"/>
      </w:r>
      <w:r>
        <w:instrText xml:space="preserve"> HYPERLINK "https://www.tandfonline.com/doi/full/10.1080/00207543.2025.2470350" \h </w:instrText>
      </w:r>
      <w:r>
        <w:rPr/>
        <w:fldChar w:fldCharType="separate"/>
      </w:r>
      <w:r>
        <w:rPr>
          <w:rFonts w:ascii="Times New Roman" w:cs="Times New Roman" w:eastAsia="Times New Roman" w:hAnsi="Times New Roman"/>
          <w:color w:val="1155cc"/>
          <w:sz w:val="24"/>
          <w:szCs w:val="24"/>
          <w:highlight w:val="white"/>
          <w:u w:val="single"/>
          <w:lang w:val="en-GB"/>
        </w:rPr>
        <w:t>https://www.tandfonline.com/doi/full/10.1080/00207543.2025.2470350</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1B1F38EB">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Heeß, P., Rockstuhl, J., Körner, M.F. and Strüker, J., 2024. Enhancing trust in global supply chains: Conceptualizing Digital Product Passports for a low-carbon hydrogen market. Electronic Markets, 34(1), p.10. Available at: </w:t>
      </w:r>
      <w:r>
        <w:rPr/>
        <w:fldChar w:fldCharType="begin"/>
      </w:r>
      <w:r>
        <w:instrText xml:space="preserve"> HYPERLINK "https://link.springer.com/article/10.1007/s12525-024-00690-7" \h </w:instrText>
      </w:r>
      <w:r>
        <w:rPr/>
        <w:fldChar w:fldCharType="separate"/>
      </w:r>
      <w:r>
        <w:rPr>
          <w:rFonts w:ascii="Times New Roman" w:cs="Times New Roman" w:eastAsia="Times New Roman" w:hAnsi="Times New Roman"/>
          <w:color w:val="1155cc"/>
          <w:sz w:val="24"/>
          <w:szCs w:val="24"/>
          <w:highlight w:val="white"/>
          <w:u w:val="single"/>
          <w:lang w:val="en-GB"/>
        </w:rPr>
        <w:t>https://link.springer.com/article/10.1007/s12525-024-00690-7</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17D753EF">
      <w:pPr>
        <w:pStyle w:val="style0"/>
        <w:spacing w:lineRule="auto" w:line="360"/>
        <w:jc w:val="both"/>
        <w:rPr>
          <w:rFonts w:ascii="Times New Roman" w:cs="Times New Roman" w:eastAsia="Times New Roman" w:hAnsi="Times New Roman"/>
          <w:sz w:val="24"/>
          <w:szCs w:val="24"/>
          <w:highlight w:val="white"/>
          <w:lang w:val="en-GB"/>
        </w:rPr>
      </w:pPr>
      <w:r>
        <w:rPr>
          <w:rFonts w:ascii="Times New Roman" w:cs="Times New Roman" w:eastAsia="Times New Roman" w:hAnsi="Times New Roman"/>
          <w:sz w:val="24"/>
          <w:szCs w:val="24"/>
          <w:highlight w:val="white"/>
          <w:lang w:val="en-GB"/>
        </w:rPr>
        <w:t xml:space="preserve">Kopanaki, E., 2022. Conceptualizing supply chain resilience: The role of complex IT infrastructures. Systems, 10(2), p.35. Available at: </w:t>
      </w:r>
      <w:r>
        <w:rPr/>
        <w:fldChar w:fldCharType="begin"/>
      </w:r>
      <w:r>
        <w:instrText xml:space="preserve"> HYPERLINK "https://www.mdpi.com/2079-8954/10/2/35" \h </w:instrText>
      </w:r>
      <w:r>
        <w:rPr/>
        <w:fldChar w:fldCharType="separate"/>
      </w:r>
      <w:r>
        <w:rPr>
          <w:rFonts w:ascii="Times New Roman" w:cs="Times New Roman" w:eastAsia="Times New Roman" w:hAnsi="Times New Roman"/>
          <w:color w:val="1155cc"/>
          <w:sz w:val="24"/>
          <w:szCs w:val="24"/>
          <w:highlight w:val="white"/>
          <w:u w:val="single"/>
          <w:lang w:val="en-GB"/>
        </w:rPr>
        <w:t>https://www.mdpi.com/2079-8954/10/2/35</w:t>
      </w:r>
      <w:r>
        <w:rPr>
          <w:rFonts w:ascii="Times New Roman" w:cs="Times New Roman" w:eastAsia="Times New Roman" w:hAnsi="Times New Roman"/>
          <w:color w:val="1155cc"/>
          <w:sz w:val="24"/>
          <w:szCs w:val="24"/>
          <w:highlight w:val="white"/>
          <w:u w:val="single"/>
          <w:lang w:val="en-GB"/>
        </w:rPr>
        <w:fldChar w:fldCharType="end"/>
      </w:r>
      <w:r>
        <w:rPr>
          <w:rFonts w:ascii="Times New Roman" w:cs="Times New Roman" w:eastAsia="Times New Roman" w:hAnsi="Times New Roman"/>
          <w:sz w:val="24"/>
          <w:szCs w:val="24"/>
          <w:highlight w:val="white"/>
          <w:lang w:val="en-GB"/>
        </w:rPr>
        <w:t xml:space="preserve"> </w:t>
      </w:r>
    </w:p>
    <w:p w14:paraId="3ABBB305">
      <w:pPr>
        <w:pStyle w:val="style0"/>
        <w:spacing w:lineRule="auto" w:line="360"/>
        <w:rPr>
          <w:rFonts w:ascii="Times New Roman" w:cs="Times New Roman" w:eastAsia="Times New Roman" w:hAnsi="Times New Roman"/>
          <w:lang w:val="en-GB"/>
        </w:rPr>
      </w:pPr>
    </w:p>
    <w:p w14:paraId="4DCF8D53">
      <w:pPr>
        <w:pStyle w:val="style0"/>
        <w:spacing w:lineRule="auto" w:line="360"/>
        <w:rPr>
          <w:rFonts w:ascii="Times New Roman" w:cs="Times New Roman" w:eastAsia="Times New Roman" w:hAnsi="Times New Roman"/>
          <w:b/>
          <w:bCs/>
          <w:color w:val="222222"/>
          <w:sz w:val="32"/>
          <w:szCs w:val="32"/>
          <w:highlight w:val="white"/>
          <w:lang w:val="en-GB"/>
        </w:rPr>
      </w:pPr>
    </w:p>
    <w:sectPr>
      <w:footerReference w:type="default" r:id="rId5"/>
      <w:pgSz w:w="12240" w:h="15840" w:orient="portrait"/>
      <w:pgMar w:top="1440" w:right="1440" w:bottom="1440" w:left="1440" w:header="720" w:footer="720" w:gutter="0"/>
      <w:pgBorders w:zOrder="front" w:display="allPages" w:offsetFrom="page">
        <w:top w:val="none" w:sz="0" w:space="0" w:color="auto"/>
        <w:left w:val="none" w:sz="0" w:space="0" w:color="auto"/>
        <w:bottom w:val="none" w:sz="0" w:space="0" w:color="auto"/>
        <w:right w:val="none" w:sz="0" w:space="0" w:color="auto"/>
      </w:pgBorders>
      <w:pgNumType w:start="0"/>
      <w:cols w:space="720" w:num="1"/>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86"/>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Arial Unicode MS">
    <w:altName w:val="Arial Unicode MS"/>
    <w:panose1 w:val="020b0604020002020204"/>
    <w:charset w:val="86"/>
    <w:family w:val="auto"/>
    <w:pitch w:val="default"/>
    <w:sig w:usb0="FFFFFFFF" w:usb1="E9FFFFFF" w:usb2="0000003F" w:usb3="00000000" w:csb0="603F01FF" w:csb1="FFFF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3A4605F9">
    <w:pPr>
      <w:pStyle w:val="style32"/>
      <w:jc w:val="right"/>
      <w:rPr>
        <w:rFonts w:ascii="Times New Roman" w:cs="Times New Roman" w:hAnsi="Times New Roman"/>
      </w:rPr>
    </w:pPr>
    <w:r>
      <w:rPr>
        <w:rFonts w:ascii="Times New Roman" w:cs="Times New Roman" w:hAnsi="Times New Roman"/>
      </w:rPr>
      <w:t xml:space="preserve">Page </w:t>
    </w:r>
    <w:r>
      <w:rPr>
        <w:rFonts w:ascii="Times New Roman" w:cs="Times New Roman" w:hAnsi="Times New Roman"/>
        <w:b/>
        <w:bCs/>
        <w:sz w:val="24"/>
        <w:szCs w:val="24"/>
      </w:rPr>
      <w:fldChar w:fldCharType="begin"/>
    </w:r>
    <w:r>
      <w:rPr>
        <w:rFonts w:ascii="Times New Roman" w:cs="Times New Roman" w:hAnsi="Times New Roman"/>
        <w:b/>
        <w:bCs/>
      </w:rPr>
      <w:instrText xml:space="preserve"> PAGE </w:instrText>
    </w:r>
    <w:r>
      <w:rPr>
        <w:rFonts w:ascii="Times New Roman" w:cs="Times New Roman" w:hAnsi="Times New Roman"/>
        <w:b/>
        <w:bCs/>
        <w:sz w:val="24"/>
        <w:szCs w:val="24"/>
      </w:rPr>
      <w:fldChar w:fldCharType="separate"/>
    </w:r>
    <w:r>
      <w:rPr>
        <w:rFonts w:ascii="Times New Roman" w:cs="Times New Roman" w:hAnsi="Times New Roman"/>
        <w:b/>
        <w:bCs/>
      </w:rPr>
      <w:t>2</w:t>
    </w:r>
    <w:r>
      <w:rPr>
        <w:rFonts w:ascii="Times New Roman" w:cs="Times New Roman" w:hAnsi="Times New Roman"/>
        <w:b/>
        <w:bCs/>
        <w:sz w:val="24"/>
        <w:szCs w:val="24"/>
      </w:rPr>
      <w:fldChar w:fldCharType="end"/>
    </w:r>
    <w:r>
      <w:rPr>
        <w:rFonts w:ascii="Times New Roman" w:cs="Times New Roman" w:hAnsi="Times New Roman"/>
      </w:rPr>
      <w:t xml:space="preserve"> of </w:t>
    </w:r>
    <w:r>
      <w:rPr>
        <w:rFonts w:ascii="Times New Roman" w:cs="Times New Roman" w:hAnsi="Times New Roman"/>
        <w:b/>
        <w:bCs/>
        <w:sz w:val="24"/>
        <w:szCs w:val="24"/>
      </w:rPr>
      <w:fldChar w:fldCharType="begin"/>
    </w:r>
    <w:r>
      <w:rPr>
        <w:rFonts w:ascii="Times New Roman" w:cs="Times New Roman" w:hAnsi="Times New Roman"/>
        <w:b/>
        <w:bCs/>
      </w:rPr>
      <w:instrText xml:space="preserve"> NUMPAGES  </w:instrText>
    </w:r>
    <w:r>
      <w:rPr>
        <w:rFonts w:ascii="Times New Roman" w:cs="Times New Roman" w:hAnsi="Times New Roman"/>
        <w:b/>
        <w:bCs/>
        <w:sz w:val="24"/>
        <w:szCs w:val="24"/>
      </w:rPr>
      <w:fldChar w:fldCharType="separate"/>
    </w:r>
    <w:r>
      <w:rPr>
        <w:rFonts w:ascii="Times New Roman" w:cs="Times New Roman" w:hAnsi="Times New Roman"/>
        <w:b/>
        <w:bCs/>
      </w:rPr>
      <w:t>2</w:t>
    </w:r>
    <w:r>
      <w:rPr>
        <w:rFonts w:ascii="Times New Roman" w:cs="Times New Roman" w:hAnsi="Times New Roman"/>
        <w:b/>
        <w:bCs/>
        <w:sz w:val="24"/>
        <w:szCs w:val="24"/>
      </w:rPr>
      <w:fldChar w:fldCharType="end"/>
    </w:r>
  </w:p>
  <w:p w14:paraId="2B5FF5E7">
    <w:pPr>
      <w:pStyle w:val="style0"/>
      <w:jc w:val="right"/>
      <w:rPr>
        <w:rFonts w:ascii="Times New Roman" w:cs="Times New Roman" w:eastAsia="Times New Roman" w:hAnsi="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708579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80"/>
  <w:embedTrueType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Arial" w:cs="Arial" w:eastAsia="Arial" w:hAnsi="Arial"/>
      </w:rPr>
    </w:rPrDefault>
    <w:pPrDefault>
      <w:pPr/>
    </w:pPrDefault>
  </w:docDefaults>
  <w:style w:type="paragraph" w:default="1" w:styleId="style0">
    <w:name w:val="Normal"/>
    <w:next w:val="style0"/>
    <w:qFormat/>
    <w:uiPriority w:val="0"/>
    <w:pPr>
      <w:spacing w:lineRule="auto" w:line="276"/>
    </w:pPr>
    <w:rPr>
      <w:rFonts w:ascii="Arial" w:cs="Arial" w:eastAsia="Arial" w:hAnsi="Arial"/>
      <w:sz w:val="22"/>
      <w:szCs w:val="22"/>
      <w:lang w:bidi="ar-SA" w:eastAsia="en-IN"/>
    </w:rPr>
  </w:style>
  <w:style w:type="paragraph" w:styleId="style1">
    <w:name w:val="heading 1"/>
    <w:basedOn w:val="style0"/>
    <w:next w:val="style0"/>
    <w:qFormat/>
    <w:uiPriority w:val="9"/>
    <w:pPr>
      <w:keepNext/>
      <w:keepLines/>
      <w:spacing w:before="400" w:after="120"/>
      <w:outlineLvl w:val="0"/>
    </w:pPr>
    <w:rPr>
      <w:sz w:val="40"/>
      <w:szCs w:val="40"/>
    </w:rPr>
  </w:style>
  <w:style w:type="paragraph" w:styleId="style2">
    <w:name w:val="heading 2"/>
    <w:basedOn w:val="style0"/>
    <w:next w:val="style0"/>
    <w:qFormat/>
    <w:uiPriority w:val="9"/>
    <w:pPr>
      <w:keepNext/>
      <w:keepLines/>
      <w:spacing w:before="360" w:after="120"/>
      <w:outlineLvl w:val="1"/>
    </w:pPr>
    <w:rPr>
      <w:sz w:val="32"/>
      <w:szCs w:val="32"/>
    </w:rPr>
  </w:style>
  <w:style w:type="paragraph" w:styleId="style3">
    <w:name w:val="heading 3"/>
    <w:basedOn w:val="style0"/>
    <w:next w:val="style0"/>
    <w:qFormat/>
    <w:uiPriority w:val="9"/>
    <w:pPr>
      <w:keepNext/>
      <w:keepLines/>
      <w:spacing w:before="320" w:after="80"/>
      <w:outlineLvl w:val="2"/>
    </w:pPr>
    <w:rPr>
      <w:color w:val="434343"/>
      <w:sz w:val="28"/>
      <w:szCs w:val="28"/>
    </w:rPr>
  </w:style>
  <w:style w:type="paragraph" w:styleId="style4">
    <w:name w:val="heading 4"/>
    <w:basedOn w:val="style0"/>
    <w:next w:val="style0"/>
    <w:qFormat/>
    <w:uiPriority w:val="9"/>
    <w:pPr>
      <w:keepNext/>
      <w:keepLines/>
      <w:spacing w:before="280" w:after="80"/>
      <w:outlineLvl w:val="3"/>
    </w:pPr>
    <w:rPr>
      <w:color w:val="666666"/>
      <w:sz w:val="24"/>
      <w:szCs w:val="24"/>
    </w:rPr>
  </w:style>
  <w:style w:type="paragraph" w:styleId="style5">
    <w:name w:val="heading 5"/>
    <w:basedOn w:val="style0"/>
    <w:next w:val="style0"/>
    <w:qFormat/>
    <w:uiPriority w:val="9"/>
    <w:pPr>
      <w:keepNext/>
      <w:keepLines/>
      <w:spacing w:before="240" w:after="80"/>
      <w:outlineLvl w:val="4"/>
    </w:pPr>
    <w:rPr>
      <w:color w:val="666666"/>
    </w:rPr>
  </w:style>
  <w:style w:type="paragraph" w:styleId="style6">
    <w:name w:val="heading 6"/>
    <w:basedOn w:val="style0"/>
    <w:next w:val="style0"/>
    <w:qFormat/>
    <w:uiPriority w:val="9"/>
    <w:pPr>
      <w:keepNext/>
      <w:keepLines/>
      <w:spacing w:before="240" w:after="80"/>
      <w:outlineLvl w:val="5"/>
    </w:pPr>
    <w:rPr>
      <w:i/>
      <w:iCs/>
      <w:color w:val="666666"/>
    </w:rPr>
  </w:style>
  <w:style w:type="character" w:default="1" w:styleId="style65">
    <w:name w:val="Default Paragraph Font"/>
    <w:next w:val="style65"/>
    <w:qFormat/>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32">
    <w:name w:val="footer"/>
    <w:basedOn w:val="style0"/>
    <w:next w:val="style32"/>
    <w:link w:val="style4100"/>
    <w:qFormat/>
    <w:uiPriority w:val="99"/>
    <w:pPr>
      <w:tabs>
        <w:tab w:val="center" w:leader="none" w:pos="4513"/>
        <w:tab w:val="right" w:leader="none" w:pos="9026"/>
      </w:tabs>
      <w:spacing w:lineRule="auto" w:line="240"/>
    </w:pPr>
    <w:rPr/>
  </w:style>
  <w:style w:type="paragraph" w:styleId="style31">
    <w:name w:val="header"/>
    <w:basedOn w:val="style0"/>
    <w:next w:val="style31"/>
    <w:link w:val="style4099"/>
    <w:qFormat/>
    <w:uiPriority w:val="99"/>
    <w:pPr>
      <w:tabs>
        <w:tab w:val="center" w:leader="none" w:pos="4513"/>
        <w:tab w:val="right" w:leader="none" w:pos="9026"/>
      </w:tabs>
      <w:spacing w:lineRule="auto" w:line="240"/>
    </w:pPr>
    <w:rPr/>
  </w:style>
  <w:style w:type="paragraph" w:styleId="style74">
    <w:name w:val="Subtitle"/>
    <w:basedOn w:val="style0"/>
    <w:next w:val="style0"/>
    <w:qFormat/>
    <w:uiPriority w:val="11"/>
    <w:pPr>
      <w:keepNext/>
      <w:keepLines/>
      <w:spacing w:after="320"/>
    </w:pPr>
    <w:rPr>
      <w:color w:val="666666"/>
      <w:sz w:val="30"/>
      <w:szCs w:val="30"/>
    </w:rPr>
  </w:style>
  <w:style w:type="paragraph" w:styleId="style62">
    <w:name w:val="Title"/>
    <w:basedOn w:val="style0"/>
    <w:next w:val="style0"/>
    <w:qFormat/>
    <w:uiPriority w:val="10"/>
    <w:pPr>
      <w:keepNext/>
      <w:keepLines/>
      <w:spacing w:after="60"/>
    </w:pPr>
    <w:rPr>
      <w:sz w:val="52"/>
      <w:szCs w:val="52"/>
    </w:rPr>
  </w:style>
  <w:style w:type="paragraph" w:styleId="style19">
    <w:name w:val="toc 1"/>
    <w:basedOn w:val="style0"/>
    <w:next w:val="style0"/>
    <w:uiPriority w:val="39"/>
    <w:pPr/>
  </w:style>
  <w:style w:type="table" w:customStyle="1" w:styleId="style4097">
    <w:name w:val="TableNormal"/>
    <w:next w:val="style4097"/>
    <w:qFormat/>
    <w:uiPriority w:val="0"/>
    <w:pPr/>
    <w:rPr/>
    <w:tblPr>
      <w:tblCellMar>
        <w:top w:w="100" w:type="dxa"/>
        <w:left w:w="100" w:type="dxa"/>
        <w:bottom w:w="100" w:type="dxa"/>
        <w:right w:w="100" w:type="dxa"/>
      </w:tblCellMar>
    </w:tblPr>
    <w:tcPr>
      <w:tcBorders/>
    </w:tcPr>
  </w:style>
  <w:style w:type="table" w:customStyle="1" w:styleId="style4098">
    <w:name w:val="a"/>
    <w:basedOn w:val="style4097"/>
    <w:next w:val="style4098"/>
    <w:qFormat/>
    <w:uiPriority w:val="0"/>
    <w:pPr/>
    <w:tcPr>
      <w:tcBorders/>
    </w:tcPr>
  </w:style>
  <w:style w:type="character" w:customStyle="1" w:styleId="style4099">
    <w:name w:val="Header Char_bcf4030e-c991-45fb-a1ca-965afe5ffbaf"/>
    <w:basedOn w:val="style65"/>
    <w:next w:val="style4099"/>
    <w:link w:val="style31"/>
    <w:qFormat/>
    <w:uiPriority w:val="99"/>
  </w:style>
  <w:style w:type="character" w:customStyle="1" w:styleId="style4100">
    <w:name w:val="Footer Char_4fcc3ed0-8ede-4c59-a345-6e740c9af8f6"/>
    <w:basedOn w:val="style65"/>
    <w:next w:val="style4100"/>
    <w:link w:val="style32"/>
    <w:qFormat/>
    <w:uiPriority w:val="99"/>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9" Type="http://schemas.openxmlformats.org/officeDocument/2006/relationships/theme" Target="theme/theme1.xml"/><Relationship Id="rId5" Type="http://schemas.openxmlformats.org/officeDocument/2006/relationships/footer" Target="footer1.xml"/><Relationship Id="rId6" Type="http://schemas.openxmlformats.org/officeDocument/2006/relationships/styles" Target="styles.xml"/><Relationship Id="rId7" Type="http://schemas.openxmlformats.org/officeDocument/2006/relationships/fontTable" Target="fontTable.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2956</Words>
  <Pages>15</Pages>
  <Characters>18373</Characters>
  <Application>WPS Office</Application>
  <DocSecurity>0</DocSecurity>
  <Paragraphs>206</Paragraphs>
  <ScaleCrop>false</ScaleCrop>
  <LinksUpToDate>false</LinksUpToDate>
  <CharactersWithSpaces>21201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2026-07-24T13:27:00Z</dcterms:created>
  <dc:creator>WPS Office</dc:creator>
  <lastModifiedBy>CPH2753</lastModifiedBy>
  <dcterms:modified xsi:type="dcterms:W3CDTF">2026-07-24T18:50:32Z</dcterms:modified>
  <revision>18</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eyJoZGlkIjoiNjQ0OGQzYTY3NWZjMzBmY2Y5NmQzNWM2ZjMyZWExNmEiLCJ1c2VySWQiOiI1Njc2NDE0NjA1NjUifQ==</vt:lpwstr>
  </property>
  <property fmtid="{D5CDD505-2E9C-101B-9397-08002B2CF9AE}" pid="3" name="KSOProductBuildVer">
    <vt:lpwstr>1033-12.1.0.27458</vt:lpwstr>
  </property>
  <property fmtid="{D5CDD505-2E9C-101B-9397-08002B2CF9AE}" pid="4" name="ICV">
    <vt:lpwstr>d8eb6cfdf46745b89da8018d74fc3a54_23</vt:lpwstr>
  </property>
</Properties>
</file>