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9"/>
        <w:spacing w:before="0" w:beforeAutospacing="0" w:after="0" w:afterAutospacing="0"/>
        <w:ind w:left="-180" w:right="-334"/>
        <w:rPr>
          <w:rFonts w:asciiTheme="majorHAnsi" w:hAnsiTheme="majorHAnsi" w:cstheme="majorHAnsi"/>
          <w:sz w:val="32"/>
          <w:lang w:val="cy-GB"/>
        </w:rPr>
      </w:pPr>
      <w:r>
        <w:drawing>
          <wp:inline distT="0" distB="0" distL="0" distR="0">
            <wp:extent cx="2881630" cy="1052830"/>
            <wp:effectExtent l="19050" t="19050" r="20320" b="20320"/>
            <wp:docPr id="7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81630" cy="105283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9"/>
        <w:spacing w:before="0" w:beforeAutospacing="0" w:after="0" w:afterAutospacing="0"/>
        <w:ind w:left="-180" w:right="-334"/>
        <w:rPr>
          <w:rFonts w:hint="eastAsia" w:ascii="標楷" w:hAnsi="標楷" w:eastAsia="標楷" w:cs="標楷"/>
          <w:sz w:val="32"/>
          <w:lang w:val="cy-GB"/>
        </w:rPr>
      </w:pPr>
    </w:p>
    <w:p>
      <w:pPr>
        <w:pStyle w:val="9"/>
        <w:spacing w:before="0" w:beforeAutospacing="0" w:after="0" w:afterAutospacing="0"/>
        <w:ind w:left="-180" w:right="-334"/>
        <w:jc w:val="center"/>
        <w:rPr>
          <w:rFonts w:ascii="Trebuchet MS" w:hAnsi="Trebuchet MS" w:cs="Tahoma"/>
          <w:color w:val="2E75B6" w:themeColor="accent1" w:themeShade="BF"/>
          <w:sz w:val="24"/>
          <w:szCs w:val="24"/>
        </w:rPr>
      </w:pPr>
      <w:r>
        <w:rPr>
          <w:rFonts w:asciiTheme="majorHAnsi" w:hAnsiTheme="majorHAnsi" w:cstheme="majorHAnsi"/>
          <w:color w:val="2E75B6" w:themeColor="accent1" w:themeShade="BF"/>
          <w:sz w:val="32"/>
          <w:lang w:val="cy-GB"/>
        </w:rPr>
        <w:t>Undergraduate assignment feedback form</w:t>
      </w:r>
    </w:p>
    <w:p>
      <w:pPr>
        <w:spacing w:line="240" w:lineRule="auto"/>
        <w:jc w:val="center"/>
        <w:rPr>
          <w:rFonts w:ascii="Arial" w:hAnsi="Arial" w:cs="Arial"/>
          <w:b/>
          <w:sz w:val="24"/>
          <w:lang w:val="cy-GB"/>
        </w:rPr>
      </w:pPr>
      <w:r>
        <w:rPr>
          <w:rFonts w:ascii="Arial" w:hAnsi="Arial" w:cs="Arial"/>
          <w:b/>
          <w:sz w:val="24"/>
          <w:lang w:val="cy-GB"/>
        </w:rPr>
        <w:t>(to be completed by marker)</w:t>
      </w:r>
    </w:p>
    <w:p>
      <w:pPr>
        <w:pStyle w:val="4"/>
        <w:rPr>
          <w:rFonts w:ascii="Trebuchet MS" w:hAnsi="Trebuchet MS"/>
        </w:rPr>
      </w:pPr>
    </w:p>
    <w:tbl>
      <w:tblPr>
        <w:tblStyle w:val="10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660"/>
        <w:gridCol w:w="1911"/>
        <w:gridCol w:w="1951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8" w:hRule="atLeast"/>
        </w:trPr>
        <w:tc>
          <w:tcPr>
            <w:tcW w:w="8755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vAlign w:val="center"/>
          </w:tcPr>
          <w:p>
            <w:pPr>
              <w:pStyle w:val="9"/>
              <w:spacing w:before="0" w:beforeAutospacing="0" w:after="0" w:afterAutospacing="0"/>
              <w:ind w:right="34"/>
              <w:rPr>
                <w:rFonts w:hint="default" w:ascii="Times New Roman" w:hAnsi="Times New Roman" w:eastAsia="宋体" w:cs="Times New Roman"/>
                <w:i/>
                <w:sz w:val="24"/>
                <w:szCs w:val="24"/>
                <w:lang w:val="en-US" w:eastAsia="zh-CN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Student Name:</w:t>
            </w:r>
            <w:r>
              <w:rPr>
                <w:rFonts w:ascii="Calibri" w:hAnsi="Calibri" w:cs="Tahoma"/>
                <w:i w:val="0"/>
                <w:iCs/>
                <w:sz w:val="24"/>
                <w:szCs w:val="24"/>
              </w:rPr>
              <w:t xml:space="preserve"> </w:t>
            </w:r>
            <w:r>
              <w:rPr>
                <w:rFonts w:hint="default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>Siyao Zeng</w:t>
            </w:r>
            <w:r>
              <w:rPr>
                <w:rFonts w:hint="eastAsia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 xml:space="preserve"> （曾思瑤）</w:t>
            </w:r>
          </w:p>
          <w:p>
            <w:pPr>
              <w:pStyle w:val="9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849" w:hRule="atLeast"/>
        </w:trPr>
        <w:tc>
          <w:tcPr>
            <w:tcW w:w="478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vAlign w:val="center"/>
          </w:tcPr>
          <w:p>
            <w:pPr>
              <w:pStyle w:val="9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Code:  </w:t>
            </w:r>
            <w:r>
              <w:rPr>
                <w:rFonts w:hint="default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>SICH</w:t>
            </w:r>
            <w:r>
              <w:rPr>
                <w:rFonts w:hint="eastAsia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>4005</w:t>
            </w:r>
          </w:p>
          <w:p>
            <w:pPr>
              <w:spacing w:beforeAutospacing="1" w:after="0" w:afterAutospacing="1" w:line="240" w:lineRule="auto"/>
              <w:rPr>
                <w:rFonts w:hint="default" w:ascii="Times New Roman" w:hAnsi="Times New Roman" w:eastAsia="宋体" w:cs="Times New Roman"/>
                <w:i w:val="0"/>
                <w:iCs/>
                <w:color w:val="000000"/>
                <w:kern w:val="2"/>
                <w:sz w:val="24"/>
                <w:szCs w:val="24"/>
                <w:lang w:val="en-US" w:eastAsia="zh-CN" w:bidi="ar-SA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Module title:</w:t>
            </w:r>
            <w:r>
              <w:rPr>
                <w:rFonts w:hint="eastAsia" w:ascii="Calibri" w:hAnsi="Calibri" w:cs="Tahoma"/>
                <w:i/>
                <w:sz w:val="24"/>
                <w:szCs w:val="24"/>
                <w:lang w:val="en-US" w:eastAsia="zh-CN"/>
              </w:rPr>
              <w:t xml:space="preserve"> </w:t>
            </w:r>
            <w:r>
              <w:rPr>
                <w:rFonts w:hint="default" w:ascii="Times New Roman" w:hAnsi="Times New Roman" w:eastAsia="宋体" w:cs="Times New Roman"/>
                <w:i w:val="0"/>
                <w:iCs/>
                <w:color w:val="000000"/>
                <w:kern w:val="2"/>
                <w:sz w:val="24"/>
                <w:szCs w:val="24"/>
                <w:lang w:val="en-US" w:eastAsia="zh-CN" w:bidi="ar-SA"/>
              </w:rPr>
              <w:t xml:space="preserve"> Philology</w:t>
            </w:r>
          </w:p>
          <w:p>
            <w:pPr>
              <w:pStyle w:val="9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>
            <w:pPr>
              <w:pStyle w:val="9"/>
              <w:spacing w:before="0" w:beforeAutospacing="0" w:after="0" w:afterAutospacing="0"/>
              <w:ind w:right="34"/>
              <w:rPr>
                <w:rFonts w:hint="default" w:ascii="Calibri" w:hAnsi="Calibri" w:eastAsia="宋体" w:cs="Tahoma"/>
                <w:i/>
                <w:sz w:val="24"/>
                <w:szCs w:val="24"/>
                <w:lang w:val="en-US" w:eastAsia="zh-CN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number:  </w:t>
            </w:r>
            <w:r>
              <w:rPr>
                <w:rFonts w:hint="default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>1</w:t>
            </w:r>
            <w:r>
              <w:rPr>
                <w:rFonts w:hint="eastAsia" w:ascii="Times New Roman" w:hAnsi="Times New Roman" w:cs="Times New Roman"/>
                <w:i w:val="0"/>
                <w:iCs/>
                <w:sz w:val="24"/>
                <w:szCs w:val="24"/>
                <w:lang w:val="en-US" w:eastAsia="zh-CN"/>
              </w:rPr>
              <w:t>804385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972" w:hRule="atLeast"/>
        </w:trPr>
        <w:tc>
          <w:tcPr>
            <w:tcW w:w="8755" w:type="dxa"/>
            <w:gridSpan w:val="3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>
            <w:pPr>
              <w:pStyle w:val="9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  <w:p>
            <w:pPr>
              <w:pStyle w:val="9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92" w:hRule="atLeast"/>
        </w:trPr>
        <w:tc>
          <w:tcPr>
            <w:tcW w:w="6768" w:type="dxa"/>
            <w:gridSpan w:val="2"/>
            <w:tcBorders>
              <w:top w:val="single" w:color="auto" w:sz="4" w:space="0"/>
            </w:tcBorders>
            <w:vAlign w:val="center"/>
          </w:tcPr>
          <w:p>
            <w:pPr>
              <w:pStyle w:val="9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Marker’s signature:</w:t>
            </w:r>
          </w:p>
        </w:tc>
        <w:tc>
          <w:tcPr>
            <w:tcW w:w="1987" w:type="dxa"/>
            <w:tcBorders>
              <w:top w:val="single" w:color="auto" w:sz="4" w:space="0"/>
            </w:tcBorders>
            <w:vAlign w:val="center"/>
          </w:tcPr>
          <w:p>
            <w:pPr>
              <w:pStyle w:val="9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755" w:type="dxa"/>
            <w:gridSpan w:val="3"/>
            <w:vAlign w:val="center"/>
          </w:tcPr>
          <w:p>
            <w:pPr>
              <w:pStyle w:val="9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>
            <w:pPr>
              <w:pStyle w:val="9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NB.  All marks are provisional until confirmed by the final examination board. </w:t>
            </w:r>
          </w:p>
        </w:tc>
      </w:tr>
    </w:tbl>
    <w:p>
      <w:pPr>
        <w:tabs>
          <w:tab w:val="left" w:pos="4035"/>
        </w:tabs>
        <w:rPr>
          <w:rFonts w:hint="eastAsia" w:eastAsia="宋体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ascii="DFKai-SB" w:hAnsi="DFKai-SB" w:eastAsia="DFKai-SB"/>
          <w:sz w:val="40"/>
        </w:rPr>
        <w:tab/>
      </w:r>
    </w:p>
    <w:p>
      <w:pPr>
        <w:pStyle w:val="2"/>
        <w:autoSpaceDE w:val="0"/>
        <w:autoSpaceDN w:val="0"/>
        <w:spacing w:before="8" w:after="0" w:line="240" w:lineRule="auto"/>
        <w:ind w:left="0" w:leftChars="0" w:right="106" w:rightChars="0" w:firstLine="0" w:firstLineChars="0"/>
        <w:jc w:val="center"/>
        <w:rPr>
          <w:rFonts w:hint="eastAsia" w:eastAsia="宋体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  <w:t xml:space="preserve"> </w:t>
      </w:r>
    </w:p>
    <w:p>
      <w:pPr>
        <w:pStyle w:val="2"/>
        <w:autoSpaceDE w:val="0"/>
        <w:autoSpaceDN w:val="0"/>
        <w:spacing w:before="8" w:after="0" w:line="240" w:lineRule="auto"/>
        <w:ind w:left="0" w:leftChars="0" w:right="106" w:rightChars="0" w:firstLine="0" w:firstLineChars="0"/>
        <w:jc w:val="center"/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b/>
          <w:bCs/>
          <w:color w:val="000000" w:themeColor="text1"/>
          <w:kern w:val="0"/>
          <w:highlight w:val="none"/>
          <w:lang w:val="zh-TW" w:eastAsia="zh-TW"/>
          <w14:textFill>
            <w14:solidFill>
              <w14:schemeClr w14:val="tx1"/>
            </w14:solidFill>
          </w14:textFill>
        </w:rPr>
        <w:t>《</w:t>
      </w:r>
      <w:r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  <w:t>孟子</w:t>
      </w:r>
      <w:r>
        <w:rPr>
          <w:b/>
          <w:bCs/>
          <w:color w:val="000000" w:themeColor="text1"/>
          <w:kern w:val="0"/>
          <w:highlight w:val="none"/>
          <w:lang w:val="zh-TW" w:eastAsia="zh-TW"/>
          <w14:textFill>
            <w14:solidFill>
              <w14:schemeClr w14:val="tx1"/>
            </w14:solidFill>
          </w14:textFill>
        </w:rPr>
        <w:t>·</w:t>
      </w:r>
      <w:r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  <w:t>求其放心</w:t>
      </w:r>
      <w:r>
        <w:rPr>
          <w:b/>
          <w:bCs/>
          <w:color w:val="000000" w:themeColor="text1"/>
          <w:kern w:val="0"/>
          <w:highlight w:val="none"/>
          <w:lang w:val="zh-TW" w:eastAsia="zh-TW"/>
          <w14:textFill>
            <w14:solidFill>
              <w14:schemeClr w14:val="tx1"/>
            </w14:solidFill>
          </w14:textFill>
        </w:rPr>
        <w:t>》章之</w:t>
      </w:r>
      <w:r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  <w:t>「放」</w:t>
      </w:r>
      <w:r>
        <w:rPr>
          <w:b/>
          <w:bCs/>
          <w:color w:val="000000" w:themeColor="text1"/>
          <w:kern w:val="0"/>
          <w:highlight w:val="none"/>
          <w:lang w:val="zh-TW" w:eastAsia="zh-TW"/>
          <w14:textFill>
            <w14:solidFill>
              <w14:schemeClr w14:val="tx1"/>
            </w14:solidFill>
          </w14:textFill>
        </w:rPr>
        <w:t>字</w:t>
      </w:r>
      <w:r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  <w:t>淺探</w:t>
      </w:r>
    </w:p>
    <w:p>
      <w:pPr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spacing w:before="1"/>
        <w:ind w:left="1622" w:right="1740" w:firstLine="0"/>
        <w:jc w:val="center"/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DFKai-SB" w:eastAsia="DFKai-SB"/>
          <w:b/>
          <w:color w:val="000000" w:themeColor="text1"/>
          <w:sz w:val="36"/>
          <w:highlight w:val="none"/>
          <w14:textFill>
            <w14:solidFill>
              <w14:schemeClr w14:val="tx1"/>
            </w14:solidFill>
          </w14:textFill>
        </w:rPr>
        <w:t>一、前言</w:t>
      </w:r>
    </w:p>
    <w:p>
      <w:pPr>
        <w:rPr>
          <w:rFonts w:hint="eastAsia"/>
          <w:b/>
          <w:bCs/>
          <w:color w:val="000000" w:themeColor="text1"/>
          <w:kern w:val="0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 xml:space="preserve">《孟子·告子章句上》第十一章載孟子言：「 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人有雞犬放，則知求之；有放心，而不知求。學問之道無他，求其放心而已矣。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0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其中「放」字的解釋十分關鍵，值得品讀，故就「放」字本義與引申義，查索歷代注疏，探討本章「放」字的義涵，以助於更好地理解孟子本章大義。</w:t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</w:p>
    <w:p>
      <w:pPr>
        <w:numPr>
          <w:ilvl w:val="0"/>
          <w:numId w:val="0"/>
        </w:numPr>
        <w:spacing w:before="1"/>
        <w:ind w:left="1622" w:leftChars="0" w:right="1740" w:rightChars="0"/>
        <w:jc w:val="center"/>
        <w:rPr>
          <w:rFonts w:hint="eastAsia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  <w:t>二、各家注解</w:t>
      </w:r>
    </w:p>
    <w:p>
      <w:p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本章中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「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」字之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歷代各家注疏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，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主要有「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」和「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」兩種表達，然其意差別細微，且列幾家之注如下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：</w:t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趙岐曰：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「人知求鸡狗，莫知求其心者，惑也。学问所以求之。」</w:t>
      </w:r>
      <w:r>
        <w:rPr>
          <w:rStyle w:val="12"/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趙岐沒有直言「放逸」或「放失」，然其說在「求」，則說明所求之物已是放之失之，故需要求，所以趙岐歲並未明言，其意應是不分「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」或「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」。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朱熹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《四書章句集注》曰：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 w:val="0"/>
        <w:spacing w:before="313" w:beforeLines="100" w:after="313" w:afterLines="100" w:line="276" w:lineRule="auto"/>
        <w:ind w:left="263" w:leftChars="125" w:firstLine="0" w:firstLineChars="0"/>
        <w:jc w:val="both"/>
        <w:textAlignment w:val="auto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「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學問之事，固非一端，然其道則在於求其放心而已。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……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不然則昏昧放逸，雖曰從事於學，而終不能有所發明矣。故程子曰：『聖賢千言萬語，只是欲人將已放之心約之，使反復入身來，自能尋向上去，下學而上達也。』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2"/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朱熹在此訓「放」為放逸。孫奭之解亦同，疏曰：「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放散其心而不知求之者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，可哀憫哉……有心放離之而不追求復。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3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明朝學者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張居正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在《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直解孟子》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中言：「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放，是放逸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」，然同時又言「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徇欲忘理者，將仁良之心放失而不知求……吾惟收斂放逸之心，使常在腔子裡面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大抵人心，易於放失。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4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可見張居正是將「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」與「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」統而言之的。清朝學者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焦循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疏曰：「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盖所以放之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失之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舍之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丧之者，由于不能操之，所以不能求之也。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5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這裡將孟子前章「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求則得之，舍則失之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」的要義區分來說，因此焦循表達的也是「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」之意。</w:t>
      </w:r>
      <w:r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楊伯峻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《孟子譯注》將「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雞犬放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」之「放」譯為「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走失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」；「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放心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」之「放」譯為「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喪失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6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故楊伯峻偏向於「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」之說。</w:t>
      </w:r>
    </w:p>
    <w:p>
      <w:p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綜上所言，趙岐、朱熹、孫奭、焦循都主「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」之意，而楊伯峻言「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喪失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」，似有所突兀。考究「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」之「失」，許慎言「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縱也。從手，乙聲。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」段注曰：「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縱者，緩也。一曰捨也。在手而逸去爲失。兔部曰：逸，失也。古多假爲逸去之逸，亦叚爲淫泆之泆。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7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又《中華大字典》言：「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失，喪也；放也。又通『逸』。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8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可見古人「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」一詞或讀為「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」。綜上所言，「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放逸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」和「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」乃同意而相通，因「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」有「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喪失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」意，故楊伯峻譯為喪失，亦合此章文意。</w:t>
      </w:r>
    </w:p>
    <w:p>
      <w:pPr>
        <w:spacing w:before="1"/>
        <w:ind w:right="1740"/>
        <w:jc w:val="both"/>
        <w:rPr>
          <w:rFonts w:hint="eastAsia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spacing w:before="1"/>
        <w:ind w:left="1622" w:right="1740" w:firstLine="0"/>
        <w:jc w:val="center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  <w:t>三、字義淺析</w:t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《說文》：「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放，逐也。从攴，方声。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9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《玉篇》：「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甫望切，棄也，逐也，去也，散也。甫往切，比也，效也。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0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考諸早期文字，金文作「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268605" cy="283210"/>
            <wp:effectExtent l="0" t="0" r="10795" b="8890"/>
            <wp:docPr id="2" name="图片 2" descr="金文-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金文-放"/>
                    <pic:cNvPicPr>
                      <a:picLocks noChangeAspect="1"/>
                    </pic:cNvPicPr>
                  </pic:nvPicPr>
                  <pic:blipFill>
                    <a:blip r:embed="rId7">
                      <a:grayscl/>
                      <a:lum contrast="12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05" cy="28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」，小篆作「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246380" cy="271780"/>
            <wp:effectExtent l="0" t="0" r="7620" b="7620"/>
            <wp:docPr id="3" name="图片 3" descr="篆書-說文-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篆書-說文-放"/>
                    <pic:cNvPicPr>
                      <a:picLocks noChangeAspect="1"/>
                    </pic:cNvPicPr>
                  </pic:nvPicPr>
                  <pic:blipFill>
                    <a:blip r:embed="rId8">
                      <a:grayscl/>
                      <a:lum contrast="12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380" cy="27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」。</w:t>
      </w:r>
    </w:p>
    <w:p>
      <w:p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從其部首究之，《說文》言：「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攴，小擊也，從又，卜聲，凡攴之屬皆從攴。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1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然徐灝言：「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從攴之字多非擊義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」，「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疑本象手有執持之形，故凡舉手作事之義皆從之。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2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《王力古漢語字典》言徐灝「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此說近是，如『救』、『收』等字符皆此例。然此說亦未能概括一切，只好存疑。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3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然筆者查閱《國語活用辭典》攴部所收錄之字共51個，考證於《說文解字詁林》，皆有「舉手做事」之意，或與「以手做事」之意有間接關聯，由此來看，徐灝對於從「攴」之字的意見可從，「放」字從「攴」，故小擊引申為驅逐之意。</w:t>
      </w:r>
    </w:p>
    <w:p>
      <w:pPr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方字之本意有兩說。《說文》言：「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方，併船也，象兩舟省總頭形。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4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段注曰：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 w:val="0"/>
        <w:spacing w:before="313" w:beforeLines="100" w:after="313" w:afterLines="100" w:line="276" w:lineRule="auto"/>
        <w:ind w:left="263" w:leftChars="125" w:firstLine="0" w:firstLineChars="0"/>
        <w:jc w:val="both"/>
        <w:textAlignment w:val="auto"/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「《釋言》及《毛傳》皆曰：『方，泭也』……倂船者，並兩船爲一。……泭者，編木以爲渡，與倂船異事，何以毛公釋方不曰倂船而曰泭也？曰倂船、編木其用略同，故俱得名方。《詩》所言不必大夫，則釋以泭可矣，若許說字，則見下从舟省而上有竝頭之象。故知倂船爲本義，編木爲引伸之義。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5"/>
      </w:r>
    </w:p>
    <w:p>
      <w:pPr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bookmarkStart w:id="0" w:name="_GoBack"/>
      <w:bookmarkEnd w:id="0"/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此是一意。《國語活用辭典》言：「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甲文作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226060" cy="307340"/>
            <wp:effectExtent l="0" t="0" r="2540" b="10160"/>
            <wp:docPr id="4" name="图片 4" descr="方 甲文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方 甲文"/>
                    <pic:cNvPicPr>
                      <a:picLocks noChangeAspect="1"/>
                    </pic:cNvPicPr>
                  </pic:nvPicPr>
                  <pic:blipFill>
                    <a:blip r:embed="rId9">
                      <a:lum contrast="18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060" cy="307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，象人肩上扛著矩形，本意為方正的意思，假借作『方國』之方。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6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此又一說也。</w:t>
      </w:r>
    </w:p>
    <w:p>
      <w:p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綜上，據《國語活用辭典》對「放」字之解釋：「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方為邦國，攴為小擊，斥逐境外為放。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7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與《說文》「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放，逐也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」之意相合，因此，追擊出於境外乃「放」的基本釋義。</w:t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至於「放」字，徐箋云：「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《廣雅》言：『放，效也。』又曰：『放，依也。』此放之本義，謂依放其事物而效為之，故從攴，攴治之也……放有相從之義，引申之為逐、為至、為縱。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8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然考諸眾家之言，除段玉裁外，鈕樹玉、徐鍇、龔自珍、桂馥、王筠、錢砧篆，皆是直言「逐」之意。</w:t>
      </w:r>
    </w:p>
    <w:p>
      <w:p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《說文解字詁林》炯案：「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其意為逐，故形得從攴，其音取蕩，故聲又從方。蓋蕩者飄蕩之名，逐者去棄之意，聲義本相合也，且方之聲由旁生，以其事溥而可外也，猶舟之聲本由浮起，以其物小而可遊也。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19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段注言：「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假借為旁。丄部曰：旁，溥也。凡今文尙書作旁者，古文尙書作方，爲大也。《生民》：『實方實苞。』毛曰：『方，極畝也。』極畝，大之意也。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20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可見饒炯之言與段注相合，饒炯此說較為折中，大概得「放」字之大體也。</w:t>
      </w:r>
    </w:p>
    <w:p>
      <w:pPr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5274310" cy="2633980"/>
            <wp:effectExtent l="0" t="0" r="8890" b="7620"/>
            <wp:docPr id="6" name="图片 6" descr="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放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63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</w:p>
    <w:p>
      <w:pPr>
        <w:pStyle w:val="3"/>
        <w:spacing w:before="177"/>
        <w:ind w:left="100"/>
        <w:jc w:val="center"/>
        <w:rPr>
          <w:rFonts w:hint="default"/>
          <w:color w:val="000000" w:themeColor="text1"/>
          <w:highlight w:val="none"/>
          <w:lang w:val="en-US"/>
          <w14:textFill>
            <w14:solidFill>
              <w14:schemeClr w14:val="tx1"/>
            </w14:solidFill>
          </w14:textFill>
        </w:rPr>
      </w:pPr>
      <w:r>
        <w:rPr>
          <w:rFonts w:hint="eastAsia" w:ascii="DFKai-SB" w:eastAsia="DFKai-SB" w:hAnsiTheme="minorHAnsi" w:cstheme="minorBidi"/>
          <w:b/>
          <w:bCs w:val="0"/>
          <w:color w:val="000000" w:themeColor="text1"/>
          <w:kern w:val="2"/>
          <w:sz w:val="36"/>
          <w:szCs w:val="24"/>
          <w:highlight w:val="none"/>
          <w:lang w:val="en-US" w:eastAsia="zh-CN" w:bidi="ar-SA"/>
          <w14:textFill>
            <w14:solidFill>
              <w14:schemeClr w14:val="tx1"/>
            </w14:solidFill>
          </w14:textFill>
        </w:rPr>
        <w:t>四、「放」在《孟子》的其他篇章</w:t>
      </w:r>
    </w:p>
    <w:p>
      <w:pPr>
        <w:bidi w:val="0"/>
        <w:rPr>
          <w:rFonts w:hint="default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tbl>
      <w:tblPr>
        <w:tblStyle w:val="10"/>
        <w:tblpPr w:leftFromText="180" w:rightFromText="180" w:vertAnchor="text" w:horzAnchor="page" w:tblpX="1574" w:tblpY="190"/>
        <w:tblOverlap w:val="never"/>
        <w:tblW w:w="8935" w:type="dxa"/>
        <w:tblInd w:w="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398"/>
        <w:gridCol w:w="5109"/>
        <w:gridCol w:w="1428"/>
      </w:tblGrid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15" w:hRule="atLeast"/>
        </w:trPr>
        <w:tc>
          <w:tcPr>
            <w:tcW w:w="2398" w:type="dxa"/>
          </w:tcPr>
          <w:p>
            <w:pPr>
              <w:pStyle w:val="13"/>
              <w:spacing w:before="143"/>
              <w:ind w:left="0" w:leftChars="0" w:right="35" w:firstLine="961" w:firstLineChars="400"/>
              <w:jc w:val="both"/>
              <w:rPr>
                <w:b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篇名</w:t>
            </w:r>
          </w:p>
          <w:p>
            <w:pPr>
              <w:pStyle w:val="13"/>
              <w:spacing w:before="143"/>
              <w:ind w:left="0" w:leftChars="0" w:right="35" w:firstLine="0" w:firstLineChars="0"/>
              <w:jc w:val="center"/>
              <w:rPr>
                <w:b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</w:p>
        </w:tc>
        <w:tc>
          <w:tcPr>
            <w:tcW w:w="5109" w:type="dxa"/>
          </w:tcPr>
          <w:p>
            <w:pPr>
              <w:pStyle w:val="13"/>
              <w:spacing w:before="143"/>
              <w:ind w:left="-2100" w:leftChars="0" w:right="35" w:firstLine="0" w:firstLineChars="0"/>
              <w:jc w:val="center"/>
              <w:rPr>
                <w:rFonts w:hint="default"/>
                <w:b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 xml:space="preserve">                  原文</w:t>
            </w:r>
          </w:p>
        </w:tc>
        <w:tc>
          <w:tcPr>
            <w:tcW w:w="1428" w:type="dxa"/>
          </w:tcPr>
          <w:p>
            <w:pPr>
              <w:pStyle w:val="13"/>
              <w:spacing w:before="143"/>
              <w:ind w:left="147" w:right="139"/>
              <w:rPr>
                <w:b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b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釋義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12" w:hRule="atLeast"/>
        </w:trPr>
        <w:tc>
          <w:tcPr>
            <w:tcW w:w="2398" w:type="dxa"/>
          </w:tcPr>
          <w:p>
            <w:pPr>
              <w:pStyle w:val="13"/>
              <w:ind w:left="86" w:right="34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梁惠王章句上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b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苟無恆心，</w:t>
            </w:r>
            <w:r>
              <w:rPr>
                <w:rFonts w:hint="eastAsia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辟，邪侈，無不為已。</w:t>
            </w:r>
            <w:r>
              <w:rPr>
                <w:rStyle w:val="12"/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1"/>
            </w:r>
          </w:p>
        </w:tc>
        <w:tc>
          <w:tcPr>
            <w:tcW w:w="1428" w:type="dxa"/>
          </w:tcPr>
          <w:p>
            <w:pPr>
              <w:pStyle w:val="13"/>
              <w:ind w:left="8"/>
              <w:rPr>
                <w:rFonts w:hint="default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放浪、放蕩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</w:tcPr>
          <w:p>
            <w:pPr>
              <w:pStyle w:val="13"/>
              <w:spacing w:before="142"/>
              <w:ind w:left="86" w:right="34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梁惠王章句下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2"/>
              <w:jc w:val="left"/>
              <w:rPr>
                <w:color w:val="000000" w:themeColor="text1"/>
                <w:sz w:val="12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遵海而南，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于琅邪。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2"/>
            </w:r>
          </w:p>
        </w:tc>
        <w:tc>
          <w:tcPr>
            <w:tcW w:w="1428" w:type="dxa"/>
          </w:tcPr>
          <w:p>
            <w:pPr>
              <w:pStyle w:val="13"/>
              <w:spacing w:before="142"/>
              <w:ind w:left="8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至、到達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12" w:hRule="atLeast"/>
        </w:trPr>
        <w:tc>
          <w:tcPr>
            <w:tcW w:w="2398" w:type="dxa"/>
          </w:tcPr>
          <w:p>
            <w:pPr>
              <w:pStyle w:val="13"/>
              <w:ind w:left="86" w:right="34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梁惠王章句下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齊宣王問曰：「湯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桀，武王伐紂，有諸？」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3"/>
            </w:r>
          </w:p>
        </w:tc>
        <w:tc>
          <w:tcPr>
            <w:tcW w:w="1428" w:type="dxa"/>
          </w:tcPr>
          <w:p>
            <w:pPr>
              <w:pStyle w:val="13"/>
              <w:ind w:left="147" w:right="139"/>
              <w:rPr>
                <w:color w:val="000000" w:themeColor="text1"/>
                <w:sz w:val="12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斥逐、驅逐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</w:tcPr>
          <w:p>
            <w:pPr>
              <w:pStyle w:val="13"/>
              <w:spacing w:before="143"/>
              <w:ind w:left="86" w:right="34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滕文公章句下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湯居亳，與葛為鄰，葛伯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而不祀。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4"/>
            </w:r>
          </w:p>
        </w:tc>
        <w:tc>
          <w:tcPr>
            <w:tcW w:w="1428" w:type="dxa"/>
          </w:tcPr>
          <w:p>
            <w:pPr>
              <w:pStyle w:val="13"/>
              <w:spacing w:before="143"/>
              <w:ind w:left="147" w:right="139"/>
              <w:rPr>
                <w:rFonts w:hint="default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放縱、放逸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6" w:hRule="atLeast"/>
        </w:trPr>
        <w:tc>
          <w:tcPr>
            <w:tcW w:w="2398" w:type="dxa"/>
          </w:tcPr>
          <w:p>
            <w:pPr>
              <w:pStyle w:val="13"/>
              <w:ind w:left="86" w:right="34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滕文公章句下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禹掘地而注之海，驅蛇龍而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之菹。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5"/>
            </w:r>
          </w:p>
        </w:tc>
        <w:tc>
          <w:tcPr>
            <w:tcW w:w="1428" w:type="dxa"/>
          </w:tcPr>
          <w:p>
            <w:pPr>
              <w:pStyle w:val="13"/>
              <w:ind w:left="147" w:right="139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斥逐、驅逐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0" w:hRule="atLeast"/>
        </w:trPr>
        <w:tc>
          <w:tcPr>
            <w:tcW w:w="2398" w:type="dxa"/>
          </w:tcPr>
          <w:p>
            <w:pPr>
              <w:pStyle w:val="13"/>
              <w:spacing w:before="143"/>
              <w:ind w:left="86" w:right="35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滕文公章句下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聖王不作，諸侯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恣</w:t>
            </w: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t>。</w:t>
            </w:r>
            <w:r>
              <w:rPr>
                <w:rStyle w:val="12"/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footnoteReference w:id="26"/>
            </w:r>
          </w:p>
        </w:tc>
        <w:tc>
          <w:tcPr>
            <w:tcW w:w="1428" w:type="dxa"/>
          </w:tcPr>
          <w:p>
            <w:pPr>
              <w:pStyle w:val="13"/>
              <w:spacing w:before="0"/>
              <w:ind w:left="147" w:right="139"/>
              <w:jc w:val="center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放逸、放失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</w:tcPr>
          <w:p>
            <w:pPr>
              <w:pStyle w:val="13"/>
              <w:ind w:left="86" w:right="35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滕文公章句下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</w:tcPr>
          <w:p>
            <w:pPr>
              <w:pStyle w:val="13"/>
              <w:spacing w:before="143"/>
              <w:ind w:left="39" w:right="35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距楊墨，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淫辭</w:t>
            </w: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t>。</w:t>
            </w:r>
            <w:r>
              <w:rPr>
                <w:rStyle w:val="12"/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footnoteReference w:id="27"/>
            </w:r>
          </w:p>
        </w:tc>
        <w:tc>
          <w:tcPr>
            <w:tcW w:w="1428" w:type="dxa"/>
          </w:tcPr>
          <w:p>
            <w:pPr>
              <w:pStyle w:val="13"/>
              <w:ind w:left="147" w:right="139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斥逐、驅逐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  <w:vAlign w:val="top"/>
          </w:tcPr>
          <w:p>
            <w:pPr>
              <w:pStyle w:val="13"/>
              <w:ind w:left="86" w:leftChars="0" w:right="35" w:rightChars="0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離婁章句下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  <w:vAlign w:val="top"/>
          </w:tcPr>
          <w:p>
            <w:pPr>
              <w:pStyle w:val="13"/>
              <w:spacing w:before="143"/>
              <w:ind w:left="39" w:leftChars="0" w:right="35" w:rightChars="0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盈科而後進，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乎四海，有本者如是，是之取爾。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28"/>
            </w:r>
          </w:p>
        </w:tc>
        <w:tc>
          <w:tcPr>
            <w:tcW w:w="1428" w:type="dxa"/>
            <w:vAlign w:val="top"/>
          </w:tcPr>
          <w:p>
            <w:pPr>
              <w:pStyle w:val="13"/>
              <w:ind w:left="147" w:leftChars="0" w:right="139" w:rightChars="0"/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至、到達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  <w:vAlign w:val="top"/>
          </w:tcPr>
          <w:p>
            <w:pPr>
              <w:pStyle w:val="13"/>
              <w:ind w:left="86" w:leftChars="0" w:right="35" w:rightChars="0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萬章章句上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  <w:vAlign w:val="top"/>
          </w:tcPr>
          <w:p>
            <w:pPr>
              <w:pStyle w:val="13"/>
              <w:spacing w:before="143"/>
              <w:ind w:left="39" w:leftChars="0" w:right="35" w:rightChars="0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驩兜于崇山</w:t>
            </w: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t>。</w:t>
            </w:r>
            <w:r>
              <w:rPr>
                <w:rStyle w:val="12"/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footnoteReference w:id="29"/>
            </w:r>
          </w:p>
        </w:tc>
        <w:tc>
          <w:tcPr>
            <w:tcW w:w="1428" w:type="dxa"/>
            <w:vAlign w:val="top"/>
          </w:tcPr>
          <w:p>
            <w:pPr>
              <w:pStyle w:val="13"/>
              <w:ind w:left="147" w:leftChars="0" w:right="139" w:rightChars="0"/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斥逐、驅逐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  <w:vAlign w:val="top"/>
          </w:tcPr>
          <w:p>
            <w:pPr>
              <w:pStyle w:val="13"/>
              <w:ind w:left="86" w:leftChars="0" w:right="35" w:rightChars="0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萬章章句上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  <w:vAlign w:val="top"/>
          </w:tcPr>
          <w:p>
            <w:pPr>
              <w:pStyle w:val="13"/>
              <w:spacing w:before="143"/>
              <w:ind w:left="39" w:leftChars="0" w:right="35" w:rightChars="0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太甲顛覆湯之典刑，伊尹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之於桐。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30"/>
            </w:r>
          </w:p>
        </w:tc>
        <w:tc>
          <w:tcPr>
            <w:tcW w:w="1428" w:type="dxa"/>
            <w:vAlign w:val="top"/>
          </w:tcPr>
          <w:p>
            <w:pPr>
              <w:pStyle w:val="13"/>
              <w:ind w:left="147" w:leftChars="0" w:right="139" w:rightChars="0"/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斥逐、驅逐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  <w:vAlign w:val="top"/>
          </w:tcPr>
          <w:p>
            <w:pPr>
              <w:pStyle w:val="13"/>
              <w:ind w:left="86" w:leftChars="0" w:right="35" w:rightChars="0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告子章句上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  <w:vAlign w:val="top"/>
          </w:tcPr>
          <w:p>
            <w:pPr>
              <w:pStyle w:val="13"/>
              <w:spacing w:before="143"/>
              <w:ind w:left="39" w:leftChars="0" w:right="35" w:rightChars="0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其所以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其良心者，亦猶斧斤之於木也</w:t>
            </w: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t>。</w:t>
            </w:r>
            <w:r>
              <w:rPr>
                <w:rStyle w:val="12"/>
                <w:rFonts w:hint="eastAsia"/>
                <w:b w:val="0"/>
                <w:bCs/>
                <w:color w:val="000000" w:themeColor="text1"/>
                <w:sz w:val="24"/>
                <w:highlight w:val="none"/>
                <w:lang w:eastAsia="zh-CN"/>
                <w14:textFill>
                  <w14:solidFill>
                    <w14:schemeClr w14:val="tx1"/>
                  </w14:solidFill>
                </w14:textFill>
              </w:rPr>
              <w:footnoteReference w:id="31"/>
            </w:r>
          </w:p>
        </w:tc>
        <w:tc>
          <w:tcPr>
            <w:tcW w:w="1428" w:type="dxa"/>
            <w:vAlign w:val="top"/>
          </w:tcPr>
          <w:p>
            <w:pPr>
              <w:pStyle w:val="13"/>
              <w:ind w:left="147" w:leftChars="0" w:right="139" w:rightChars="0"/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放逸、放失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21" w:hRule="atLeast"/>
        </w:trPr>
        <w:tc>
          <w:tcPr>
            <w:tcW w:w="2398" w:type="dxa"/>
            <w:vAlign w:val="top"/>
          </w:tcPr>
          <w:p>
            <w:pPr>
              <w:pStyle w:val="13"/>
              <w:ind w:left="86" w:leftChars="0" w:right="35" w:rightChars="0"/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〈</w:t>
            </w: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盡心章句上</w:t>
            </w:r>
            <w:r>
              <w:rPr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〉</w:t>
            </w:r>
          </w:p>
        </w:tc>
        <w:tc>
          <w:tcPr>
            <w:tcW w:w="5109" w:type="dxa"/>
            <w:vAlign w:val="top"/>
          </w:tcPr>
          <w:p>
            <w:pPr>
              <w:pStyle w:val="13"/>
              <w:spacing w:before="143"/>
              <w:ind w:left="39" w:leftChars="0" w:right="35" w:rightChars="0"/>
              <w:jc w:val="left"/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墨子兼愛，摩頂</w:t>
            </w:r>
            <w:r>
              <w:rPr>
                <w:rFonts w:hint="default"/>
                <w:b w:val="0"/>
                <w:bCs/>
                <w:color w:val="FF0000"/>
                <w:sz w:val="24"/>
                <w:highlight w:val="none"/>
              </w:rPr>
              <w:t>放</w:t>
            </w:r>
            <w:r>
              <w:rPr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t>踵利天下，為之。</w:t>
            </w:r>
            <w:r>
              <w:rPr>
                <w:rStyle w:val="12"/>
                <w:rFonts w:hint="default"/>
                <w:b w:val="0"/>
                <w:bCs/>
                <w:color w:val="000000" w:themeColor="text1"/>
                <w:sz w:val="24"/>
                <w:highlight w:val="none"/>
                <w14:textFill>
                  <w14:solidFill>
                    <w14:schemeClr w14:val="tx1"/>
                  </w14:solidFill>
                </w14:textFill>
              </w:rPr>
              <w:footnoteReference w:id="32"/>
            </w:r>
          </w:p>
        </w:tc>
        <w:tc>
          <w:tcPr>
            <w:tcW w:w="1428" w:type="dxa"/>
            <w:vAlign w:val="top"/>
          </w:tcPr>
          <w:p>
            <w:pPr>
              <w:pStyle w:val="13"/>
              <w:ind w:left="147" w:leftChars="0" w:right="139" w:rightChars="0"/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</w:pPr>
            <w:r>
              <w:rPr>
                <w:rFonts w:hint="eastAsia" w:eastAsia="宋体"/>
                <w:color w:val="000000" w:themeColor="text1"/>
                <w:sz w:val="24"/>
                <w:highlight w:val="none"/>
                <w:lang w:val="en-US" w:eastAsia="zh-CN"/>
                <w14:textFill>
                  <w14:solidFill>
                    <w14:schemeClr w14:val="tx1"/>
                  </w14:solidFill>
                </w14:textFill>
              </w:rPr>
              <w:t>至、到達</w:t>
            </w:r>
          </w:p>
        </w:tc>
      </w:tr>
    </w:tbl>
    <w:p>
      <w:pPr>
        <w:bidi w:val="0"/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bidi w:val="0"/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由上表可知，除「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求其放心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」外，「放」字在《孟子》其他章節中共出現 12 次。其中，「放逸」之意有4處，「流放、驅逐」之意有5處，「至，到達」之意有3處。綜上可見，「放逸」、「驅逐」和「至、到」是被應用較廣泛的字義。</w:t>
      </w:r>
    </w:p>
    <w:p>
      <w:pPr>
        <w:widowControl w:val="0"/>
        <w:numPr>
          <w:ilvl w:val="0"/>
          <w:numId w:val="0"/>
        </w:numPr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</w:p>
    <w:p>
      <w:pPr>
        <w:spacing w:before="1"/>
        <w:ind w:left="1622" w:right="1740" w:firstLine="0"/>
        <w:jc w:val="center"/>
        <w:rPr>
          <w:rFonts w:hint="default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  <w:t>五、結論</w:t>
      </w:r>
    </w:p>
    <w:p>
      <w:pPr>
        <w:widowControl w:val="0"/>
        <w:numPr>
          <w:ilvl w:val="0"/>
          <w:numId w:val="0"/>
        </w:numPr>
        <w:ind w:firstLine="432" w:firstLineChars="200"/>
        <w:jc w:val="both"/>
        <w:rPr>
          <w:rFonts w:hint="default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焦循言：「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『放其良心』，『失其本心』，『操則存，舍則亡』，『賢者能勿喪』，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盖所以放之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失之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舍之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、</w:t>
      </w:r>
      <w:r>
        <w:rPr>
          <w:rFonts w:hint="default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丧之者，由于不能操之，所以不能求之也。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何以操之？惟在學問而已。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33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趙岐言：「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人知求雞狗，莫知求其心者，惑也。學問所以求之。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」顧炎武言：「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孟子之意，蓋曰能求放心，然後可以學問。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34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從這些注解可以看出，求放心和做學問二者相輔相成，缺一不可。假設把此二者關聯起來比喻，則求放心可喻為做學問的目的，做學問可喻為求放心的手段。吾人為學，切不可將手段目的化，否則便成了《弟子規》中說的「</w:t>
      </w:r>
      <w:r>
        <w:rPr>
          <w:rFonts w:hint="eastAsia" w:ascii="DFKai-SB" w:hAnsi="DFKai-SB" w:eastAsia="DFKai-SB" w:cs="DFKai-SB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漲浮華，成何人。</w:t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」</w:t>
      </w:r>
      <w:r>
        <w:rPr>
          <w:rStyle w:val="12"/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footnoteReference w:id="35"/>
      </w:r>
      <w:r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  <w:t>得不到學問的真諦；而又不能通過不恰當的、不值得大眾效仿的手段去求學問，一來不能為天下表率，二來又容易進入固陋之誤區，因此，必要通過「求學問」這一 方法，來循序漸進，去達到「求放心」的目的。</w:t>
      </w:r>
    </w:p>
    <w:p>
      <w:pPr>
        <w:widowControl w:val="0"/>
        <w:numPr>
          <w:ilvl w:val="0"/>
          <w:numId w:val="0"/>
        </w:numPr>
        <w:jc w:val="both"/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widowControl w:val="0"/>
        <w:numPr>
          <w:ilvl w:val="0"/>
          <w:numId w:val="0"/>
        </w:numPr>
        <w:jc w:val="both"/>
        <w:rPr>
          <w:rFonts w:hint="eastAsia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widowControl w:val="0"/>
        <w:numPr>
          <w:ilvl w:val="0"/>
          <w:numId w:val="0"/>
        </w:numPr>
        <w:jc w:val="both"/>
        <w:rPr>
          <w:rFonts w:hint="default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widowControl w:val="0"/>
        <w:numPr>
          <w:ilvl w:val="0"/>
          <w:numId w:val="0"/>
        </w:numPr>
        <w:jc w:val="both"/>
        <w:rPr>
          <w:rFonts w:hint="default"/>
          <w:color w:val="000000" w:themeColor="text1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ind w:firstLine="432" w:firstLineChars="200"/>
        <w:jc w:val="both"/>
        <w:rPr>
          <w:rFonts w:hint="eastAsia" w:ascii="PMingLiU" w:hAnsi="PMingLiU" w:eastAsia="PMingLiU" w:cs="PMingLiU"/>
          <w:color w:val="000000" w:themeColor="text1"/>
          <w:spacing w:val="-12"/>
          <w:kern w:val="0"/>
          <w:sz w:val="24"/>
          <w:szCs w:val="24"/>
          <w:highlight w:val="none"/>
          <w:lang w:val="en-US" w:eastAsia="zh-CN" w:bidi="zh-TW"/>
          <w14:textFill>
            <w14:solidFill>
              <w14:schemeClr w14:val="tx1"/>
            </w14:solidFill>
          </w14:textFill>
        </w:rPr>
      </w:pPr>
    </w:p>
    <w:p>
      <w:pPr>
        <w:numPr>
          <w:ilvl w:val="0"/>
          <w:numId w:val="0"/>
        </w:numPr>
        <w:ind w:leftChars="0"/>
        <w:jc w:val="both"/>
        <w:rPr>
          <w:rFonts w:hint="default" w:ascii="DFKai-SB" w:eastAsia="DFKai-SB"/>
          <w:b/>
          <w:color w:val="000000" w:themeColor="text1"/>
          <w:sz w:val="36"/>
          <w:highlight w:val="none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pStyle w:val="3"/>
        <w:spacing w:before="35"/>
        <w:ind w:left="0" w:leftChars="0" w:firstLine="0" w:firstLineChars="0"/>
        <w:jc w:val="both"/>
        <w:rPr>
          <w:rFonts w:hint="eastAsia" w:ascii="DFKai-SB" w:eastAsia="DFKai-SB"/>
          <w:sz w:val="32"/>
          <w:szCs w:val="32"/>
        </w:rPr>
      </w:pPr>
    </w:p>
    <w:p>
      <w:pPr>
        <w:pStyle w:val="3"/>
        <w:spacing w:before="35"/>
        <w:ind w:left="0" w:leftChars="0" w:firstLine="0" w:firstLineChars="0"/>
        <w:jc w:val="center"/>
        <w:rPr>
          <w:rFonts w:hint="eastAsia" w:ascii="DFKai-SB" w:eastAsia="DFKai-SB"/>
          <w:sz w:val="32"/>
          <w:szCs w:val="32"/>
        </w:rPr>
      </w:pPr>
      <w:r>
        <w:rPr>
          <w:rFonts w:hint="eastAsia" w:ascii="DFKai-SB" w:eastAsia="DFKai-SB"/>
          <w:sz w:val="32"/>
          <w:szCs w:val="32"/>
        </w:rPr>
        <w:t>參考書目</w:t>
      </w:r>
    </w:p>
    <w:p>
      <w:pPr>
        <w:numPr>
          <w:ilvl w:val="0"/>
          <w:numId w:val="1"/>
        </w:numPr>
        <w:ind w:leftChars="0"/>
        <w:jc w:val="both"/>
        <w:rPr>
          <w:rFonts w:hint="eastAsia" w:ascii="DFKai-SB" w:hAnsi="DFKai-SB" w:eastAsia="DFKai-SB" w:cs="DFKai-SB"/>
          <w:b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/>
          <w:sz w:val="28"/>
          <w:szCs w:val="28"/>
          <w:lang w:eastAsia="zh-TW"/>
        </w:rPr>
        <w:t>古籍專書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CN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﹝漢﹞許慎撰，﹝清﹞段玉裁注：《說文解字注》</w:t>
      </w:r>
      <w:r>
        <w:rPr>
          <w:rFonts w:hint="eastAsia" w:ascii="MingLiU" w:hAnsi="MingLiU" w:eastAsia="MingLiU"/>
          <w:sz w:val="24"/>
          <w:szCs w:val="36"/>
          <w:lang w:eastAsia="zh-CN"/>
        </w:rPr>
        <w:t>，</w:t>
      </w:r>
      <w:r>
        <w:rPr>
          <w:rFonts w:hint="eastAsia" w:ascii="MingLiU" w:hAnsi="MingLiU" w:eastAsia="MingLiU"/>
          <w:sz w:val="24"/>
          <w:szCs w:val="36"/>
          <w:lang w:eastAsia="zh-TW"/>
        </w:rPr>
        <w:t>臺北：洪葉文化出版社，</w:t>
      </w:r>
      <w:r>
        <w:rPr>
          <w:rFonts w:hint="eastAsia" w:ascii="DFKai-SB" w:hAnsi="DFKai-SB" w:eastAsia="DFKai-SB" w:cs="DFKai-SB"/>
          <w:sz w:val="24"/>
          <w:szCs w:val="36"/>
          <w:lang w:eastAsia="zh-TW"/>
        </w:rPr>
        <w:t>2016</w:t>
      </w:r>
      <w:r>
        <w:rPr>
          <w:rFonts w:hint="eastAsia" w:ascii="MingLiU" w:hAnsi="MingLiU" w:eastAsia="MingLiU"/>
          <w:sz w:val="24"/>
          <w:szCs w:val="36"/>
          <w:lang w:eastAsia="zh-TW"/>
        </w:rPr>
        <w:t>年</w:t>
      </w:r>
      <w:r>
        <w:rPr>
          <w:rFonts w:hint="eastAsia" w:ascii="MingLiU" w:hAnsi="MingLiU" w:eastAsia="MingLiU"/>
          <w:sz w:val="24"/>
          <w:szCs w:val="36"/>
          <w:lang w:eastAsia="zh-CN"/>
        </w:rPr>
        <w:t>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梁</w:t>
      </w:r>
      <w:r>
        <w:rPr>
          <w:rFonts w:hint="eastAsia" w:ascii="MingLiU" w:hAnsi="MingLiU" w:eastAsia="MingLiU"/>
          <w:sz w:val="24"/>
          <w:szCs w:val="36"/>
          <w:lang w:eastAsia="zh-TW"/>
        </w:rPr>
        <w:t>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顧野王編：</w:t>
      </w:r>
      <w:r>
        <w:rPr>
          <w:rFonts w:hint="eastAsia" w:ascii="MingLiU" w:hAnsi="MingLiU" w:eastAsia="MingLiU"/>
          <w:sz w:val="24"/>
          <w:szCs w:val="36"/>
          <w:lang w:eastAsia="zh-CN"/>
        </w:rPr>
        <w:t>《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宋本玉篇</w:t>
      </w:r>
      <w:r>
        <w:rPr>
          <w:rFonts w:hint="eastAsia" w:ascii="MingLiU" w:hAnsi="MingLiU" w:eastAsia="MingLiU"/>
          <w:sz w:val="24"/>
          <w:szCs w:val="36"/>
          <w:lang w:eastAsia="zh-CN"/>
        </w:rPr>
        <w:t>》，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北京：北京市中國書店，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1983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年。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宋</w:t>
      </w:r>
      <w:r>
        <w:rPr>
          <w:rFonts w:hint="eastAsia" w:ascii="MingLiU" w:hAnsi="MingLiU" w:eastAsia="MingLiU"/>
          <w:sz w:val="24"/>
          <w:szCs w:val="36"/>
          <w:lang w:eastAsia="zh-TW"/>
        </w:rPr>
        <w:t>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孫奭：《孟子注疏》，收入</w:t>
      </w:r>
      <w:r>
        <w:rPr>
          <w:rFonts w:hint="eastAsia" w:ascii="MingLiU" w:hAnsi="MingLiU" w:eastAsia="MingLiU"/>
          <w:sz w:val="24"/>
          <w:szCs w:val="36"/>
          <w:lang w:eastAsia="zh-TW"/>
        </w:rPr>
        <w:t>﹝清﹞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阮元等編：《十三經注疏》，上海：上海古籍出版社，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2014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年。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宋</w:t>
      </w:r>
      <w:r>
        <w:rPr>
          <w:rFonts w:hint="eastAsia" w:ascii="MingLiU" w:hAnsi="MingLiU" w:eastAsia="MingLiU"/>
          <w:sz w:val="24"/>
          <w:szCs w:val="36"/>
          <w:lang w:eastAsia="zh-TW"/>
        </w:rPr>
        <w:t>﹞朱熹：《四書章句集</w:t>
      </w:r>
      <w:r>
        <w:rPr>
          <w:rFonts w:hint="eastAsia" w:ascii="MingLiU" w:hAnsi="MingLiU" w:eastAsia="MingLiU"/>
          <w:sz w:val="24"/>
          <w:szCs w:val="36"/>
          <w:lang w:eastAsia="zh-CN"/>
        </w:rPr>
        <w:t>注</w:t>
      </w:r>
      <w:r>
        <w:rPr>
          <w:rFonts w:hint="eastAsia" w:ascii="MingLiU" w:hAnsi="MingLiU" w:eastAsia="MingLiU"/>
          <w:sz w:val="24"/>
          <w:szCs w:val="36"/>
          <w:lang w:eastAsia="zh-TW"/>
        </w:rPr>
        <w:t>》</w:t>
      </w:r>
      <w:r>
        <w:rPr>
          <w:rFonts w:hint="eastAsia" w:ascii="MingLiU" w:hAnsi="MingLiU" w:eastAsia="MingLiU"/>
          <w:sz w:val="24"/>
          <w:szCs w:val="36"/>
          <w:lang w:eastAsia="zh-CN"/>
        </w:rPr>
        <w:t>，</w:t>
      </w:r>
      <w:r>
        <w:rPr>
          <w:rFonts w:hint="eastAsia" w:ascii="MingLiU" w:hAnsi="MingLiU" w:eastAsia="MingLiU"/>
          <w:sz w:val="24"/>
          <w:szCs w:val="36"/>
          <w:lang w:eastAsia="zh-TW"/>
        </w:rPr>
        <w:t>杭州：西泠印社出版社，</w:t>
      </w:r>
      <w:r>
        <w:rPr>
          <w:rFonts w:hint="eastAsia" w:ascii="DFKai-SB" w:hAnsi="DFKai-SB" w:eastAsia="DFKai-SB" w:cs="DFKai-SB"/>
          <w:sz w:val="24"/>
          <w:szCs w:val="36"/>
          <w:lang w:val="en-US" w:eastAsia="zh-TW"/>
        </w:rPr>
        <w:t xml:space="preserve">2011 </w:t>
      </w:r>
      <w:r>
        <w:rPr>
          <w:rFonts w:hint="eastAsia" w:ascii="MingLiU" w:hAnsi="MingLiU" w:eastAsia="MingLiU"/>
          <w:sz w:val="24"/>
          <w:szCs w:val="36"/>
          <w:lang w:eastAsia="zh-TW"/>
        </w:rPr>
        <w:t>年</w:t>
      </w:r>
      <w:r>
        <w:rPr>
          <w:rFonts w:hint="eastAsia" w:ascii="MingLiU" w:hAnsi="MingLiU" w:eastAsia="MingLiU"/>
          <w:sz w:val="24"/>
          <w:szCs w:val="36"/>
          <w:lang w:eastAsia="zh-CN"/>
        </w:rPr>
        <w:t>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明</w:t>
      </w:r>
      <w:r>
        <w:rPr>
          <w:rFonts w:hint="eastAsia" w:ascii="MingLiU" w:hAnsi="MingLiU" w:eastAsia="MingLiU"/>
          <w:sz w:val="24"/>
          <w:szCs w:val="36"/>
          <w:lang w:eastAsia="zh-TW"/>
        </w:rPr>
        <w:t>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張居正：</w:t>
      </w:r>
      <w:r>
        <w:rPr>
          <w:rFonts w:hint="eastAsia" w:ascii="MingLiU" w:hAnsi="MingLiU" w:eastAsia="MingLiU"/>
          <w:sz w:val="24"/>
          <w:szCs w:val="36"/>
          <w:lang w:eastAsia="zh-CN"/>
        </w:rPr>
        <w:t>《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四書集注直解</w:t>
      </w:r>
      <w:r>
        <w:rPr>
          <w:rFonts w:hint="eastAsia" w:ascii="MingLiU" w:hAnsi="MingLiU" w:eastAsia="MingLiU"/>
          <w:sz w:val="24"/>
          <w:szCs w:val="36"/>
          <w:lang w:eastAsia="zh-CN"/>
        </w:rPr>
        <w:t>》，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北京：中國言實出版社，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2017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年。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清</w:t>
      </w:r>
      <w:r>
        <w:rPr>
          <w:rFonts w:hint="eastAsia" w:ascii="MingLiU" w:hAnsi="MingLiU" w:eastAsia="MingLiU"/>
          <w:sz w:val="24"/>
          <w:szCs w:val="36"/>
          <w:lang w:eastAsia="zh-TW"/>
        </w:rPr>
        <w:t>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焦循撰：《孟子正義》，北京：中華書局，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2017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年。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eastAsia="zh-TW"/>
        </w:rPr>
        <w:t>﹝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清</w:t>
      </w:r>
      <w:r>
        <w:rPr>
          <w:rFonts w:hint="eastAsia" w:ascii="MingLiU" w:hAnsi="MingLiU" w:eastAsia="MingLiU"/>
          <w:sz w:val="24"/>
          <w:szCs w:val="36"/>
          <w:lang w:eastAsia="zh-TW"/>
        </w:rPr>
        <w:t>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李毓秀：</w:t>
      </w:r>
      <w:r>
        <w:rPr>
          <w:rFonts w:hint="eastAsia" w:ascii="MingLiU" w:hAnsi="MingLiU" w:eastAsia="MingLiU"/>
          <w:sz w:val="24"/>
          <w:szCs w:val="36"/>
          <w:lang w:eastAsia="zh-TW"/>
        </w:rPr>
        <w:t>《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弟子規</w:t>
      </w:r>
      <w:r>
        <w:rPr>
          <w:rFonts w:hint="eastAsia" w:ascii="MingLiU" w:hAnsi="MingLiU" w:eastAsia="MingLiU"/>
          <w:sz w:val="24"/>
          <w:szCs w:val="36"/>
          <w:lang w:eastAsia="zh-TW"/>
        </w:rPr>
        <w:t>》，收入《聖學根之根》第1冊，北京：團結出版社，</w:t>
      </w:r>
      <w:r>
        <w:rPr>
          <w:rFonts w:hint="eastAsia" w:ascii="DFKai-SB" w:hAnsi="DFKai-SB" w:eastAsia="DFKai-SB" w:cs="DFKai-SB"/>
          <w:sz w:val="24"/>
          <w:szCs w:val="36"/>
          <w:lang w:val="en-US" w:eastAsia="zh-TW"/>
        </w:rPr>
        <w:t>2016</w:t>
      </w:r>
      <w:r>
        <w:rPr>
          <w:rFonts w:hint="eastAsia" w:ascii="MingLiU" w:hAnsi="MingLiU" w:eastAsia="MingLiU"/>
          <w:sz w:val="24"/>
          <w:szCs w:val="36"/>
          <w:lang w:eastAsia="zh-TW"/>
        </w:rPr>
        <w:t>年</w:t>
      </w:r>
      <w:r>
        <w:rPr>
          <w:rFonts w:hint="eastAsia" w:ascii="MingLiU" w:hAnsi="MingLiU" w:eastAsia="MingLiU"/>
          <w:sz w:val="24"/>
          <w:szCs w:val="36"/>
          <w:lang w:eastAsia="zh-CN"/>
        </w:rPr>
        <w:t>。</w:t>
      </w:r>
    </w:p>
    <w:p>
      <w:pPr>
        <w:pStyle w:val="14"/>
        <w:numPr>
          <w:ilvl w:val="2"/>
          <w:numId w:val="2"/>
        </w:numPr>
        <w:snapToGrid w:val="0"/>
        <w:spacing w:after="160" w:line="480" w:lineRule="auto"/>
        <w:jc w:val="left"/>
        <w:rPr>
          <w:rFonts w:hint="eastAsia" w:ascii="MingLiU" w:hAnsi="MingLiU" w:eastAsia="MingLiU"/>
          <w:sz w:val="24"/>
          <w:szCs w:val="36"/>
          <w:lang w:eastAsia="zh-TW"/>
        </w:rPr>
      </w:pPr>
      <w:r>
        <w:rPr>
          <w:rFonts w:hint="eastAsia" w:ascii="MingLiU" w:hAnsi="MingLiU" w:eastAsia="MingLiU"/>
          <w:sz w:val="24"/>
          <w:szCs w:val="36"/>
          <w:lang w:val="en-US" w:eastAsia="zh-TW"/>
        </w:rPr>
        <w:t>﹝清﹞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丁福保：《說文解字詁林》，</w:t>
      </w:r>
      <w:r>
        <w:rPr>
          <w:rFonts w:hint="eastAsia" w:ascii="MingLiU" w:hAnsi="MingLiU" w:eastAsia="MingLiU"/>
          <w:sz w:val="24"/>
          <w:szCs w:val="36"/>
          <w:lang w:val="en-US" w:eastAsia="zh-TW"/>
        </w:rPr>
        <w:t>北京：中華書局，</w:t>
      </w:r>
      <w:r>
        <w:rPr>
          <w:rFonts w:hint="eastAsia" w:ascii="DFKai-SB" w:hAnsi="DFKai-SB" w:eastAsia="DFKai-SB" w:cs="DFKai-SB"/>
          <w:sz w:val="24"/>
          <w:szCs w:val="36"/>
          <w:lang w:val="en-US" w:eastAsia="zh-TW"/>
        </w:rPr>
        <w:t>2014</w:t>
      </w:r>
      <w:r>
        <w:rPr>
          <w:rFonts w:hint="eastAsia" w:ascii="MingLiU" w:hAnsi="MingLiU" w:eastAsia="MingLiU"/>
          <w:sz w:val="24"/>
          <w:szCs w:val="36"/>
          <w:lang w:val="en-US" w:eastAsia="zh-TW"/>
        </w:rPr>
        <w:t>年</w:t>
      </w:r>
      <w:r>
        <w:rPr>
          <w:rFonts w:hint="eastAsia" w:ascii="MingLiU" w:hAnsi="MingLiU" w:eastAsia="MingLiU"/>
          <w:sz w:val="24"/>
          <w:szCs w:val="36"/>
          <w:lang w:val="en-US" w:eastAsia="zh-CN"/>
        </w:rPr>
        <w:t>。</w:t>
      </w:r>
    </w:p>
    <w:p>
      <w:pPr>
        <w:numPr>
          <w:ilvl w:val="0"/>
          <w:numId w:val="0"/>
        </w:numPr>
        <w:jc w:val="both"/>
        <w:rPr>
          <w:rFonts w:hint="eastAsia" w:ascii="Times New Roman" w:hAnsi="Times New Roman" w:eastAsia="宋体" w:cs="Times New Roman"/>
          <w:sz w:val="20"/>
          <w:szCs w:val="28"/>
          <w:lang w:val="en-US" w:eastAsia="zh-CN"/>
        </w:rPr>
      </w:pPr>
    </w:p>
    <w:p>
      <w:pPr>
        <w:numPr>
          <w:ilvl w:val="0"/>
          <w:numId w:val="1"/>
        </w:numPr>
        <w:ind w:left="0" w:leftChars="0" w:firstLine="0" w:firstLineChars="0"/>
        <w:jc w:val="both"/>
        <w:rPr>
          <w:rFonts w:hint="eastAsia" w:ascii="DFKai-SB" w:hAnsi="DFKai-SB" w:eastAsia="DFKai-SB" w:cs="DFKai-SB"/>
          <w:b/>
          <w:sz w:val="28"/>
          <w:szCs w:val="28"/>
          <w:lang w:eastAsia="zh-TW"/>
        </w:rPr>
      </w:pPr>
      <w:r>
        <w:rPr>
          <w:rFonts w:hint="eastAsia" w:ascii="DFKai-SB" w:hAnsi="DFKai-SB" w:eastAsia="DFKai-SB" w:cs="DFKai-SB"/>
          <w:b/>
          <w:sz w:val="28"/>
          <w:szCs w:val="28"/>
          <w:lang w:val="en-US" w:eastAsia="zh-CN"/>
        </w:rPr>
        <w:t>現代</w:t>
      </w:r>
      <w:r>
        <w:rPr>
          <w:rFonts w:hint="eastAsia" w:ascii="DFKai-SB" w:hAnsi="DFKai-SB" w:eastAsia="DFKai-SB" w:cs="DFKai-SB"/>
          <w:b/>
          <w:sz w:val="28"/>
          <w:szCs w:val="28"/>
          <w:lang w:eastAsia="zh-TW"/>
        </w:rPr>
        <w:t>專書</w:t>
      </w:r>
    </w:p>
    <w:p>
      <w:pPr>
        <w:pStyle w:val="14"/>
        <w:numPr>
          <w:ilvl w:val="0"/>
          <w:numId w:val="3"/>
        </w:numPr>
        <w:snapToGrid w:val="0"/>
        <w:spacing w:after="160" w:line="480" w:lineRule="auto"/>
        <w:ind w:left="0" w:leftChars="0" w:firstLine="0" w:firstLineChars="0"/>
        <w:jc w:val="left"/>
        <w:rPr>
          <w:rFonts w:hint="eastAsia" w:ascii="PMingLiU" w:hAnsi="PMingLiU" w:eastAsia="PMingLiU" w:cs="PMingLiU"/>
          <w:sz w:val="24"/>
          <w:szCs w:val="36"/>
          <w:lang w:eastAsia="zh-CN"/>
        </w:rPr>
      </w:pP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陆费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逵，欧阳溥存等编：《中華大字典》，</w:t>
      </w:r>
      <w:r>
        <w:rPr>
          <w:rFonts w:hint="eastAsia" w:ascii="PMingLiU" w:hAnsi="PMingLiU" w:eastAsia="PMingLiU" w:cs="PMingLiU"/>
          <w:sz w:val="24"/>
          <w:szCs w:val="36"/>
          <w:lang w:val="en-US" w:eastAsia="zh-TW"/>
        </w:rPr>
        <w:t>北京：中華書局，</w:t>
      </w:r>
      <w:r>
        <w:rPr>
          <w:rFonts w:hint="eastAsia" w:ascii="DFKai-SB" w:hAnsi="DFKai-SB" w:eastAsia="DFKai-SB" w:cs="DFKai-SB"/>
          <w:sz w:val="24"/>
          <w:szCs w:val="36"/>
          <w:lang w:val="en-US" w:eastAsia="zh-TW"/>
        </w:rPr>
        <w:t>1978</w:t>
      </w:r>
      <w:r>
        <w:rPr>
          <w:rFonts w:hint="eastAsia" w:ascii="PMingLiU" w:hAnsi="PMingLiU" w:eastAsia="PMingLiU" w:cs="PMingLiU"/>
          <w:sz w:val="24"/>
          <w:szCs w:val="36"/>
          <w:lang w:val="en-US" w:eastAsia="zh-TW"/>
        </w:rPr>
        <w:t>年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。</w:t>
      </w:r>
    </w:p>
    <w:p>
      <w:pPr>
        <w:pStyle w:val="14"/>
        <w:numPr>
          <w:ilvl w:val="0"/>
          <w:numId w:val="3"/>
        </w:numPr>
        <w:snapToGrid w:val="0"/>
        <w:spacing w:after="160" w:line="480" w:lineRule="auto"/>
        <w:ind w:left="0" w:leftChars="0" w:firstLine="0" w:firstLineChars="0"/>
        <w:jc w:val="left"/>
        <w:rPr>
          <w:rFonts w:hint="eastAsia" w:ascii="PMingLiU" w:hAnsi="PMingLiU" w:eastAsia="PMingLiU" w:cs="PMingLiU"/>
          <w:sz w:val="24"/>
          <w:szCs w:val="36"/>
          <w:lang w:eastAsia="zh-CN"/>
        </w:rPr>
      </w:pPr>
      <w:r>
        <w:rPr>
          <w:rFonts w:hint="eastAsia" w:ascii="PMingLiU" w:hAnsi="PMingLiU" w:eastAsia="PMingLiU" w:cs="PMingLiU"/>
          <w:sz w:val="24"/>
          <w:szCs w:val="36"/>
          <w:lang w:eastAsia="zh-TW"/>
        </w:rPr>
        <w:t>王力：《王力古漢語字典》</w:t>
      </w:r>
      <w:r>
        <w:rPr>
          <w:rFonts w:hint="eastAsia" w:ascii="PMingLiU" w:hAnsi="PMingLiU" w:eastAsia="PMingLiU" w:cs="PMingLiU"/>
          <w:sz w:val="24"/>
          <w:szCs w:val="36"/>
          <w:lang w:eastAsia="zh-CN"/>
        </w:rPr>
        <w:t>，</w:t>
      </w:r>
      <w:r>
        <w:rPr>
          <w:rFonts w:hint="eastAsia" w:ascii="PMingLiU" w:hAnsi="PMingLiU" w:eastAsia="PMingLiU" w:cs="PMingLiU"/>
          <w:sz w:val="24"/>
          <w:szCs w:val="36"/>
          <w:lang w:eastAsia="zh-TW"/>
        </w:rPr>
        <w:t>北京：中華書局，</w:t>
      </w:r>
      <w:r>
        <w:rPr>
          <w:rFonts w:hint="eastAsia" w:ascii="DFKai-SB" w:hAnsi="DFKai-SB" w:eastAsia="DFKai-SB" w:cs="DFKai-SB"/>
          <w:sz w:val="24"/>
          <w:szCs w:val="36"/>
          <w:lang w:val="en-US" w:eastAsia="zh-TW"/>
        </w:rPr>
        <w:t>20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19</w:t>
      </w:r>
      <w:r>
        <w:rPr>
          <w:rFonts w:hint="eastAsia" w:ascii="PMingLiU" w:hAnsi="PMingLiU" w:eastAsia="PMingLiU" w:cs="PMingLiU"/>
          <w:sz w:val="24"/>
          <w:szCs w:val="36"/>
          <w:lang w:eastAsia="zh-TW"/>
        </w:rPr>
        <w:t>年</w:t>
      </w:r>
      <w:r>
        <w:rPr>
          <w:rFonts w:hint="eastAsia" w:ascii="PMingLiU" w:hAnsi="PMingLiU" w:eastAsia="PMingLiU" w:cs="PMingLiU"/>
          <w:sz w:val="24"/>
          <w:szCs w:val="36"/>
          <w:lang w:eastAsia="zh-CN"/>
        </w:rPr>
        <w:t>。</w:t>
      </w:r>
    </w:p>
    <w:p>
      <w:pPr>
        <w:pStyle w:val="14"/>
        <w:numPr>
          <w:ilvl w:val="0"/>
          <w:numId w:val="3"/>
        </w:numPr>
        <w:snapToGrid w:val="0"/>
        <w:spacing w:after="160" w:line="480" w:lineRule="auto"/>
        <w:ind w:left="0" w:leftChars="0" w:firstLine="0" w:firstLineChars="0"/>
        <w:jc w:val="left"/>
        <w:rPr>
          <w:rFonts w:hint="eastAsia" w:ascii="PMingLiU" w:hAnsi="PMingLiU" w:eastAsia="PMingLiU" w:cs="PMingLiU"/>
          <w:sz w:val="24"/>
          <w:szCs w:val="36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周何總主編，邱德修副主編：</w:t>
      </w:r>
      <w:r>
        <w:rPr>
          <w:rFonts w:hint="eastAsia" w:ascii="PMingLiU" w:hAnsi="PMingLiU" w:eastAsia="PMingLiU" w:cs="PMingLiU"/>
          <w:sz w:val="24"/>
          <w:szCs w:val="36"/>
          <w:lang w:eastAsia="zh-CN"/>
        </w:rPr>
        <w:t>《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國語活用辭典</w:t>
      </w:r>
      <w:r>
        <w:rPr>
          <w:rFonts w:hint="eastAsia" w:ascii="PMingLiU" w:hAnsi="PMingLiU" w:eastAsia="PMingLiU" w:cs="PMingLiU"/>
          <w:sz w:val="24"/>
          <w:szCs w:val="36"/>
          <w:lang w:eastAsia="zh-CN"/>
        </w:rPr>
        <w:t>》，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台北：五南圖書出版股份有限公司，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2017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年。</w:t>
      </w:r>
    </w:p>
    <w:p>
      <w:pPr>
        <w:pStyle w:val="14"/>
        <w:numPr>
          <w:ilvl w:val="0"/>
          <w:numId w:val="3"/>
        </w:numPr>
        <w:snapToGrid w:val="0"/>
        <w:spacing w:after="160" w:line="480" w:lineRule="auto"/>
        <w:ind w:left="0" w:leftChars="0" w:firstLine="0" w:firstLineChars="0"/>
        <w:jc w:val="left"/>
        <w:rPr>
          <w:rFonts w:hint="eastAsia" w:ascii="PMingLiU" w:hAnsi="PMingLiU" w:eastAsia="PMingLiU" w:cs="PMingLiU"/>
          <w:sz w:val="24"/>
          <w:szCs w:val="36"/>
          <w:lang w:val="en-US" w:eastAsia="zh-CN"/>
        </w:rPr>
      </w:pP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楊伯峻：《孟子譯注》，北京：中華書局，</w:t>
      </w:r>
      <w:r>
        <w:rPr>
          <w:rFonts w:hint="eastAsia" w:ascii="DFKai-SB" w:hAnsi="DFKai-SB" w:eastAsia="DFKai-SB" w:cs="DFKai-SB"/>
          <w:sz w:val="24"/>
          <w:szCs w:val="36"/>
          <w:lang w:val="en-US" w:eastAsia="zh-CN"/>
        </w:rPr>
        <w:t>2020</w:t>
      </w:r>
      <w:r>
        <w:rPr>
          <w:rFonts w:hint="eastAsia" w:ascii="PMingLiU" w:hAnsi="PMingLiU" w:eastAsia="PMingLiU" w:cs="PMingLiU"/>
          <w:sz w:val="24"/>
          <w:szCs w:val="36"/>
          <w:lang w:val="en-US" w:eastAsia="zh-CN"/>
        </w:rPr>
        <w:t>年。</w:t>
      </w:r>
    </w:p>
    <w:p>
      <w:pPr>
        <w:pStyle w:val="14"/>
        <w:numPr>
          <w:numId w:val="0"/>
        </w:numPr>
        <w:snapToGrid w:val="0"/>
        <w:spacing w:after="160" w:line="480" w:lineRule="auto"/>
        <w:ind w:leftChars="0"/>
        <w:jc w:val="left"/>
        <w:rPr>
          <w:rFonts w:hint="eastAsia" w:ascii="PMingLiU" w:hAnsi="PMingLiU" w:eastAsia="PMingLiU" w:cs="PMingLiU"/>
          <w:sz w:val="24"/>
          <w:szCs w:val="36"/>
          <w:lang w:val="en-US" w:eastAsia="zh-CN"/>
        </w:rPr>
      </w:pPr>
    </w:p>
    <w:sectPr>
      <w:footerReference r:id="rId4" w:type="default"/>
      <w:pgSz w:w="11906" w:h="16838"/>
      <w:pgMar w:top="1440" w:right="1800" w:bottom="1440" w:left="1800" w:header="851" w:footer="992" w:gutter="0"/>
      <w:pgNumType w:fmt="decimal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8"/>
    <w:family w:val="script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DFKai-SB">
    <w:panose1 w:val="03000509000000000000"/>
    <w:charset w:val="88"/>
    <w:family w:val="script"/>
    <w:pitch w:val="default"/>
    <w:sig w:usb0="00000003" w:usb1="082E0000" w:usb2="00000016" w:usb3="00000000" w:csb0="00100001" w:csb1="00000000"/>
  </w:font>
  <w:font w:name="Calibri Light">
    <w:panose1 w:val="020F0302020204030204"/>
    <w:charset w:val="00"/>
    <w:family w:val="swiss"/>
    <w:pitch w:val="default"/>
    <w:sig w:usb0="E4002EFF" w:usb1="C000247B" w:usb2="00000009" w:usb3="00000000" w:csb0="200001F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Georgia">
    <w:panose1 w:val="02040502050405020303"/>
    <w:charset w:val="00"/>
    <w:family w:val="roman"/>
    <w:pitch w:val="default"/>
    <w:sig w:usb0="00000287" w:usb1="00000000" w:usb2="00000000" w:usb3="00000000" w:csb0="2000009F" w:csb1="00000000"/>
  </w:font>
  <w:font w:name="標楷">
    <w:altName w:val="宋体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rebuchet MS">
    <w:panose1 w:val="020B0603020202020204"/>
    <w:charset w:val="00"/>
    <w:family w:val="swiss"/>
    <w:pitch w:val="default"/>
    <w:sig w:usb0="00000687" w:usb1="00000000" w:usb2="00000000" w:usb3="00000000" w:csb0="2000009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MingLiU">
    <w:panose1 w:val="02020509000000000000"/>
    <w:charset w:val="88"/>
    <w:family w:val="modern"/>
    <w:pitch w:val="default"/>
    <w:sig w:usb0="A00002FF" w:usb1="28CFFCFA" w:usb2="00000016" w:usb3="00000000" w:csb0="00100001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Microsoft PhagsPa">
    <w:panose1 w:val="020B0502040204020203"/>
    <w:charset w:val="00"/>
    <w:family w:val="auto"/>
    <w:pitch w:val="default"/>
    <w:sig w:usb0="00000003" w:usb1="00200000" w:usb2="08000000" w:usb3="00000000" w:csb0="00000001" w:csb1="00000000"/>
  </w:font>
  <w:font w:name="Mongolian Baiti">
    <w:panose1 w:val="03000500000000000000"/>
    <w:charset w:val="00"/>
    <w:family w:val="auto"/>
    <w:pitch w:val="default"/>
    <w:sig w:usb0="80000023" w:usb1="00000000" w:usb2="0002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6"/>
    </w:pPr>
    <w:r>
      <w:rPr>
        <w:sz w:val="18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8" name="文本框 8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6"/>
                            <w:rPr>
                              <w:rFonts w:hint="eastAsia" w:eastAsiaTheme="minorEastAsia"/>
                              <w:lang w:eastAsia="zh-CN"/>
                            </w:rPr>
                          </w:pP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t>1</w: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6"/>
                      <w:rPr>
                        <w:rFonts w:hint="eastAsia" w:eastAsiaTheme="minorEastAsia"/>
                        <w:lang w:eastAsia="zh-CN"/>
                      </w:rPr>
                    </w:pPr>
                    <w:r>
                      <w:rPr>
                        <w:rFonts w:hint="eastAsia"/>
                        <w:lang w:eastAsia="zh-CN"/>
                      </w:rPr>
                      <w:fldChar w:fldCharType="begin"/>
                    </w:r>
                    <w:r>
                      <w:rPr>
                        <w:rFonts w:hint="eastAsia"/>
                        <w:lang w:eastAsia="zh-CN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lang w:eastAsia="zh-CN"/>
                      </w:rPr>
                      <w:fldChar w:fldCharType="separate"/>
                    </w:r>
                    <w:r>
                      <w:rPr>
                        <w:rFonts w:hint="eastAsia"/>
                        <w:lang w:eastAsia="zh-CN"/>
                      </w:rPr>
                      <w:t>1</w:t>
                    </w:r>
                    <w:r>
                      <w:rPr>
                        <w:rFonts w:hint="eastAsia"/>
                        <w:lang w:eastAsia="zh-CN"/>
                      </w:rP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id="0">
    <w:p>
      <w:pPr>
        <w:pStyle w:val="8"/>
        <w:snapToGrid w:val="0"/>
        <w:rPr>
          <w:highlight w:val="none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》（杭州：西泠印社出版社，2011 年），頁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430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1">
    <w:p>
      <w:pPr>
        <w:pStyle w:val="8"/>
        <w:snapToGrid w:val="0"/>
        <w:rPr>
          <w:rFonts w:hint="default" w:eastAsia="宋体"/>
          <w:lang w:val="en-US" w:eastAsia="zh-CN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宋体" w:cs="Times New Roman"/>
          <w:sz w:val="20"/>
          <w:szCs w:val="20"/>
          <w:lang w:val="en-US" w:eastAsia="zh-CN"/>
        </w:rPr>
        <w:t>漢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宋体" w:cs="Times New Roman"/>
          <w:sz w:val="20"/>
          <w:szCs w:val="20"/>
          <w:lang w:val="en-US" w:eastAsia="zh-CN"/>
        </w:rPr>
        <w:t>趙岐</w:t>
      </w:r>
      <w:r>
        <w:rPr>
          <w:rFonts w:hint="eastAsia" w:ascii="PMingLiU" w:hAnsi="PMingLiU" w:eastAsia="PMingLiU" w:cs="PMingLiU"/>
          <w:sz w:val="20"/>
          <w:szCs w:val="20"/>
          <w:lang w:val="en-US" w:eastAsia="zh-CN"/>
        </w:rPr>
        <w:t>注，</w:t>
      </w:r>
      <w:r>
        <w:rPr>
          <w:rFonts w:hint="eastAsia" w:ascii="PMingLiU" w:hAnsi="PMingLiU" w:eastAsia="PMingLiU" w:cs="PMingLiU"/>
          <w:sz w:val="20"/>
          <w:szCs w:val="20"/>
          <w:lang w:eastAsia="zh-TW"/>
        </w:rPr>
        <w:t>﹝</w:t>
      </w:r>
      <w:r>
        <w:rPr>
          <w:rFonts w:hint="eastAsia" w:ascii="PMingLiU" w:hAnsi="PMingLiU" w:eastAsia="PMingLiU" w:cs="PMingLiU"/>
          <w:sz w:val="20"/>
          <w:szCs w:val="20"/>
          <w:lang w:val="en-US" w:eastAsia="zh-CN"/>
        </w:rPr>
        <w:t>清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宋体" w:cs="Times New Roman"/>
          <w:sz w:val="20"/>
          <w:szCs w:val="20"/>
          <w:lang w:val="en-US" w:eastAsia="zh-CN"/>
        </w:rPr>
        <w:t>焦循撰：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《孟子正義》（北京：中華書局，2017年），頁651。</w:t>
      </w:r>
    </w:p>
  </w:footnote>
  <w:footnote w:id="2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  <w:highlight w:val="none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》（杭州：西泠印社出版社，2011 年），頁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430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3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孫奭：《孟子注疏》，收入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﹝清﹞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阮元等編：《十三經注疏》（上海：上海古籍出版社，2014年），頁2752。</w:t>
      </w:r>
    </w:p>
  </w:footnote>
  <w:footnote w:id="4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明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張居正：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《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四書集注直解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》（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北京：中國言實出版社，2017年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）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，頁436。</w:t>
      </w:r>
    </w:p>
  </w:footnote>
  <w:footnote w:id="5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清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焦循撰：《孟子正義》（北京：中華書局，2017年），頁651。</w:t>
      </w:r>
    </w:p>
  </w:footnote>
  <w:footnote w:id="6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t xml:space="preserve"> 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楊伯峻：《孟子譯注》（北京：中華書局，2020年），頁295。</w:t>
      </w:r>
    </w:p>
  </w:footnote>
  <w:footnote w:id="7">
    <w:p>
      <w:pPr>
        <w:pStyle w:val="8"/>
        <w:snapToGrid w:val="0"/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﹝漢﹞許慎撰，﹝清﹞段玉裁注：《說文解字注》（臺北：洪葉文化出版社，2016年），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頁610。</w:t>
      </w:r>
    </w:p>
  </w:footnote>
  <w:footnote w:id="8">
    <w:p>
      <w:pPr>
        <w:pStyle w:val="8"/>
        <w:snapToGrid w:val="0"/>
        <w:rPr>
          <w:rFonts w:hint="default" w:eastAsiaTheme="minorEastAsia"/>
          <w:lang w:val="en-US" w:eastAsia="zh-CN"/>
        </w:rPr>
      </w:pPr>
      <w:r>
        <w:rPr>
          <w:rStyle w:val="12"/>
        </w:rPr>
        <w:footnoteRef/>
      </w:r>
      <w:r>
        <w:t xml:space="preserve"> 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陆费逵，欧阳溥存等编：《中華大字典》（</w:t>
      </w:r>
      <w:r>
        <w:rPr>
          <w:rFonts w:hint="eastAsia" w:ascii="PMingLiU" w:hAnsi="PMingLiU" w:eastAsia="PMingLiU"/>
          <w:sz w:val="20"/>
          <w:szCs w:val="20"/>
          <w:lang w:eastAsia="zh-TW"/>
        </w:rPr>
        <w:t>北京：中華書局，1</w:t>
      </w:r>
      <w:r>
        <w:rPr>
          <w:rFonts w:ascii="PMingLiU" w:hAnsi="PMingLiU" w:eastAsia="PMingLiU"/>
          <w:sz w:val="20"/>
          <w:szCs w:val="20"/>
          <w:lang w:eastAsia="zh-TW"/>
        </w:rPr>
        <w:t>978</w:t>
      </w:r>
      <w:r>
        <w:rPr>
          <w:rFonts w:hint="eastAsia" w:ascii="PMingLiU" w:hAnsi="PMingLiU" w:eastAsia="PMingLiU"/>
          <w:sz w:val="20"/>
          <w:szCs w:val="20"/>
          <w:lang w:eastAsia="zh-TW"/>
        </w:rPr>
        <w:t>年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），頁24。</w:t>
      </w:r>
    </w:p>
  </w:footnote>
  <w:footnote w:id="9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﹝漢﹞許慎撰，﹝清﹞段玉裁注：《說文解字注》（臺北：洪葉文化出版社，2016年），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頁162。</w:t>
      </w:r>
    </w:p>
  </w:footnote>
  <w:footnote w:id="10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顧野王編：《宋本玉篇》（北京：北京市中國書店，1983年），頁334。</w:t>
      </w:r>
    </w:p>
  </w:footnote>
  <w:footnote w:id="11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﹝漢﹞許慎撰，﹝清﹞段玉裁注：《說文解字注》（臺北：洪葉文化出版社，2016年），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頁123。</w:t>
      </w:r>
    </w:p>
  </w:footnote>
  <w:footnote w:id="12">
    <w:p>
      <w:pPr>
        <w:pStyle w:val="8"/>
        <w:snapToGrid w:val="0"/>
        <w:rPr>
          <w:rFonts w:hint="default" w:eastAsiaTheme="minorEastAsia"/>
          <w:lang w:val="en-US" w:eastAsia="zh-CN"/>
        </w:rPr>
      </w:pPr>
      <w:r>
        <w:rPr>
          <w:rStyle w:val="12"/>
        </w:rPr>
        <w:footnoteRef/>
      </w:r>
      <w:r>
        <w:t xml:space="preserve"> 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王力：《王力古漢語字典》（北京：中華書局，20</w:t>
      </w:r>
      <w:r>
        <w:rPr>
          <w:rFonts w:hint="eastAsia" w:ascii="Times New Roman" w:hAnsi="Times New Roman" w:eastAsia="宋体" w:cs="Times New Roman"/>
          <w:sz w:val="20"/>
          <w:szCs w:val="20"/>
          <w:lang w:val="en-US" w:eastAsia="zh-CN"/>
        </w:rPr>
        <w:t>19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年），</w:t>
      </w:r>
      <w:r>
        <w:rPr>
          <w:rFonts w:hint="eastAsia"/>
          <w:lang w:val="en-US" w:eastAsia="zh-CN"/>
        </w:rPr>
        <w:t>頁407。</w:t>
      </w:r>
    </w:p>
  </w:footnote>
  <w:footnote w:id="13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t xml:space="preserve"> 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王力：《王力古漢語字典》（北京：中華書局，2000年），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頁407。</w:t>
      </w:r>
    </w:p>
  </w:footnote>
  <w:footnote w:id="14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﹝漢﹞許慎撰，﹝清﹞段玉裁注：《說文解字注》（臺北：洪葉文化出版社，2016年），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頁409。</w:t>
      </w:r>
    </w:p>
  </w:footnote>
  <w:footnote w:id="15">
    <w:p>
      <w:pPr>
        <w:pStyle w:val="8"/>
        <w:snapToGrid w:val="0"/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8"/>
          <w:lang w:eastAsia="zh-TW"/>
        </w:rPr>
        <w:t>﹝漢﹞許慎撰，﹝清﹞段玉裁注：《說文解字注》（臺北：洪葉文化出版社，2016年），</w:t>
      </w:r>
      <w:r>
        <w:rPr>
          <w:rFonts w:hint="eastAsia"/>
          <w:lang w:val="en-US" w:eastAsia="zh-CN"/>
        </w:rPr>
        <w:t>頁409。</w:t>
      </w:r>
    </w:p>
  </w:footnote>
  <w:footnote w:id="16">
    <w:p>
      <w:pPr>
        <w:pStyle w:val="8"/>
        <w:snapToGrid w:val="0"/>
        <w:rPr>
          <w:rFonts w:hint="default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PMingLiU" w:hAnsi="PMingLiU" w:eastAsia="PMingLiU" w:cs="PMingLiU"/>
          <w:sz w:val="20"/>
          <w:szCs w:val="20"/>
        </w:rPr>
        <w:t xml:space="preserve"> 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周何總主編，邱德修副主編：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《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國語活用辭典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》（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台北：五南圖書出版股份有限公司，2017年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頁980。</w:t>
      </w:r>
    </w:p>
  </w:footnote>
  <w:footnote w:id="17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t xml:space="preserve"> 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周何總主編，邱德修副主編：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《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國語活用辭典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》，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頁955。</w:t>
      </w:r>
    </w:p>
  </w:footnote>
  <w:footnote w:id="18">
    <w:p>
      <w:pPr>
        <w:pStyle w:val="8"/>
        <w:snapToGrid w:val="0"/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﹝清﹞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丁福保：《說文解字詁林》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（北京：中華書局，2014年），第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冊，頁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1685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。</w:t>
      </w:r>
    </w:p>
  </w:footnote>
  <w:footnote w:id="19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﹝清﹞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丁福保：《說文解字詁林》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（北京：中華書局，2014年），第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冊，頁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1686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TW"/>
        </w:rPr>
        <w:t>。</w:t>
      </w:r>
    </w:p>
  </w:footnote>
  <w:footnote w:id="20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﹝漢﹞許慎撰，﹝清﹞段玉裁注：《說文解字注》（臺北：洪葉文化出版社，2016年），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頁409。</w:t>
      </w:r>
    </w:p>
  </w:footnote>
  <w:footnote w:id="21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》（杭州：西泠印社出版社，2011 年），頁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263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2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》（杭州：西泠印社出版社，2011 年），頁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271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3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277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4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341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5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346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6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347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7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347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8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374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29">
    <w:p>
      <w:pPr>
        <w:pStyle w:val="8"/>
        <w:snapToGrid w:val="0"/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390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30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396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31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426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32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宋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朱熹：《四書章句集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注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》，頁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463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  <w:footnote w:id="33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清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焦循撰：《孟子正義》（北京：中華書局，2017年），頁651。</w:t>
      </w:r>
    </w:p>
  </w:footnote>
  <w:footnote w:id="34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清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焦循撰：《孟子正義》，頁651。</w:t>
      </w:r>
    </w:p>
  </w:footnote>
  <w:footnote w:id="35">
    <w:p>
      <w:pPr>
        <w:pStyle w:val="8"/>
        <w:snapToGrid w:val="0"/>
        <w:rPr>
          <w:rFonts w:ascii="Times New Roman" w:hAnsi="Times New Roman" w:eastAsia="MingLiU" w:cs="Times New Roman"/>
          <w:sz w:val="20"/>
          <w:szCs w:val="20"/>
          <w:lang w:eastAsia="zh-TW"/>
        </w:rPr>
      </w:pPr>
      <w:r>
        <w:rPr>
          <w:rStyle w:val="12"/>
        </w:rPr>
        <w:footnoteRef/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﹝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清</w:t>
      </w:r>
      <w:r>
        <w:rPr>
          <w:rFonts w:ascii="Times New Roman" w:hAnsi="Times New Roman" w:eastAsia="MingLiU" w:cs="Times New Roman"/>
          <w:sz w:val="20"/>
          <w:szCs w:val="20"/>
          <w:lang w:eastAsia="zh-TW"/>
        </w:rPr>
        <w:t>﹞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李毓秀：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《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弟子規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》，收入《聖學根之根》第1冊，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（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北京：團結出版社，2016年</w:t>
      </w:r>
      <w:r>
        <w:rPr>
          <w:rFonts w:hint="eastAsia" w:ascii="Times New Roman" w:hAnsi="Times New Roman" w:eastAsia="MingLiU" w:cs="Times New Roman"/>
          <w:sz w:val="20"/>
          <w:szCs w:val="20"/>
          <w:lang w:eastAsia="zh-CN"/>
        </w:rPr>
        <w:t>），</w:t>
      </w:r>
      <w:r>
        <w:rPr>
          <w:rFonts w:hint="eastAsia" w:ascii="Times New Roman" w:hAnsi="Times New Roman" w:eastAsia="MingLiU" w:cs="Times New Roman"/>
          <w:sz w:val="20"/>
          <w:szCs w:val="20"/>
          <w:lang w:val="en-US" w:eastAsia="zh-CN"/>
        </w:rPr>
        <w:t>頁29</w:t>
      </w:r>
      <w:r>
        <w:rPr>
          <w:rFonts w:hint="eastAsia" w:ascii="Times New Roman" w:hAnsi="Times New Roman" w:eastAsia="MingLiU" w:cs="Times New Roman"/>
          <w:sz w:val="20"/>
          <w:szCs w:val="20"/>
          <w:lang w:eastAsia="zh-TW"/>
        </w:rPr>
        <w:t>。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935A11F"/>
    <w:multiLevelType w:val="singleLevel"/>
    <w:tmpl w:val="F935A11F"/>
    <w:lvl w:ilvl="0" w:tentative="0">
      <w:start w:val="1"/>
      <w:numFmt w:val="chineseCounting"/>
      <w:suff w:val="nothing"/>
      <w:lvlText w:val="（%1）"/>
      <w:lvlJc w:val="left"/>
      <w:rPr>
        <w:rFonts w:hint="eastAsia"/>
      </w:rPr>
    </w:lvl>
  </w:abstractNum>
  <w:abstractNum w:abstractNumId="1">
    <w:nsid w:val="353579C2"/>
    <w:multiLevelType w:val="multilevel"/>
    <w:tmpl w:val="353579C2"/>
    <w:lvl w:ilvl="0" w:tentative="0">
      <w:start w:val="1"/>
      <w:numFmt w:val="japaneseCounting"/>
      <w:lvlText w:val="（%1）"/>
      <w:lvlJc w:val="left"/>
      <w:pPr>
        <w:ind w:left="885" w:hanging="360"/>
      </w:pPr>
      <w:rPr>
        <w:rFonts w:hint="default" w:ascii="DFKai-SB" w:hAnsi="DFKai-SB" w:eastAsia="DFKai-SB"/>
      </w:rPr>
    </w:lvl>
    <w:lvl w:ilvl="1" w:tentative="0">
      <w:start w:val="1"/>
      <w:numFmt w:val="japaneseCounting"/>
      <w:lvlText w:val="（%2）"/>
      <w:lvlJc w:val="left"/>
      <w:pPr>
        <w:ind w:left="1069" w:hanging="360"/>
      </w:pPr>
      <w:rPr>
        <w:rFonts w:hint="default" w:ascii="DFKai-SB" w:hAnsi="DFKai-SB" w:eastAsia="DFKai-SB"/>
      </w:rPr>
    </w:lvl>
    <w:lvl w:ilvl="2" w:tentative="0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 w:tentative="0">
      <w:start w:val="1"/>
      <w:numFmt w:val="decimal"/>
      <w:lvlText w:val="%4."/>
      <w:lvlJc w:val="left"/>
      <w:pPr>
        <w:ind w:left="3045" w:hanging="360"/>
      </w:pPr>
    </w:lvl>
    <w:lvl w:ilvl="4" w:tentative="0">
      <w:start w:val="1"/>
      <w:numFmt w:val="lowerLetter"/>
      <w:lvlText w:val="%5."/>
      <w:lvlJc w:val="left"/>
      <w:pPr>
        <w:ind w:left="3765" w:hanging="360"/>
      </w:pPr>
    </w:lvl>
    <w:lvl w:ilvl="5" w:tentative="0">
      <w:start w:val="1"/>
      <w:numFmt w:val="lowerRoman"/>
      <w:lvlText w:val="%6."/>
      <w:lvlJc w:val="right"/>
      <w:pPr>
        <w:ind w:left="4485" w:hanging="180"/>
      </w:pPr>
    </w:lvl>
    <w:lvl w:ilvl="6" w:tentative="0">
      <w:start w:val="1"/>
      <w:numFmt w:val="decimal"/>
      <w:lvlText w:val="%7."/>
      <w:lvlJc w:val="left"/>
      <w:pPr>
        <w:ind w:left="5205" w:hanging="360"/>
      </w:pPr>
    </w:lvl>
    <w:lvl w:ilvl="7" w:tentative="0">
      <w:start w:val="1"/>
      <w:numFmt w:val="lowerLetter"/>
      <w:lvlText w:val="%8."/>
      <w:lvlJc w:val="left"/>
      <w:pPr>
        <w:ind w:left="5925" w:hanging="360"/>
      </w:pPr>
    </w:lvl>
    <w:lvl w:ilvl="8" w:tentative="0">
      <w:start w:val="1"/>
      <w:numFmt w:val="lowerRoman"/>
      <w:lvlText w:val="%9."/>
      <w:lvlJc w:val="right"/>
      <w:pPr>
        <w:ind w:left="6645" w:hanging="180"/>
      </w:pPr>
    </w:lvl>
  </w:abstractNum>
  <w:abstractNum w:abstractNumId="2">
    <w:nsid w:val="4A907F3F"/>
    <w:multiLevelType w:val="singleLevel"/>
    <w:tmpl w:val="4A907F3F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41F94654"/>
    <w:rsid w:val="088403D4"/>
    <w:rsid w:val="08A819EE"/>
    <w:rsid w:val="113B5F45"/>
    <w:rsid w:val="14607A06"/>
    <w:rsid w:val="18EC5506"/>
    <w:rsid w:val="1E3B53B7"/>
    <w:rsid w:val="249F077C"/>
    <w:rsid w:val="25A06C84"/>
    <w:rsid w:val="274348D1"/>
    <w:rsid w:val="396171D1"/>
    <w:rsid w:val="41F94654"/>
    <w:rsid w:val="51513513"/>
    <w:rsid w:val="5CE62E75"/>
    <w:rsid w:val="5CFA40AD"/>
    <w:rsid w:val="61BA0C57"/>
    <w:rsid w:val="68015263"/>
    <w:rsid w:val="704D4E1F"/>
    <w:rsid w:val="724A0746"/>
    <w:rsid w:val="7B0E5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1" w:semiHidden="0" w:name="heading 1"/>
    <w:lsdException w:qFormat="1" w:unhideWhenUsed="0" w:uiPriority="1" w:semiHidden="0" w:name="heading 2"/>
    <w:lsdException w:qFormat="1" w:uiPriority="9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qFormat="1"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qFormat="1"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qFormat="1" w:unhideWhenUsed="0" w:uiPriority="1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1"/>
    <w:pPr>
      <w:spacing w:before="28"/>
      <w:ind w:left="1624" w:right="1739"/>
      <w:jc w:val="center"/>
      <w:outlineLvl w:val="1"/>
    </w:pPr>
    <w:rPr>
      <w:rFonts w:ascii="DFKai-SB" w:hAnsi="DFKai-SB" w:eastAsia="DFKai-SB" w:cs="DFKai-SB"/>
      <w:b/>
      <w:bCs/>
      <w:sz w:val="36"/>
      <w:szCs w:val="36"/>
      <w:lang w:val="zh-TW" w:eastAsia="zh-TW" w:bidi="zh-TW"/>
    </w:rPr>
  </w:style>
  <w:style w:type="paragraph" w:styleId="3">
    <w:name w:val="heading 2"/>
    <w:basedOn w:val="1"/>
    <w:next w:val="1"/>
    <w:qFormat/>
    <w:uiPriority w:val="1"/>
    <w:pPr>
      <w:ind w:left="460"/>
      <w:outlineLvl w:val="2"/>
    </w:pPr>
    <w:rPr>
      <w:rFonts w:ascii="DFKai-SB" w:hAnsi="DFKai-SB" w:eastAsia="DFKai-SB" w:cs="DFKai-SB"/>
      <w:b/>
      <w:bCs/>
      <w:sz w:val="28"/>
      <w:szCs w:val="28"/>
      <w:lang w:val="zh-TW" w:eastAsia="zh-TW" w:bidi="zh-TW"/>
    </w:rPr>
  </w:style>
  <w:style w:type="paragraph" w:styleId="4">
    <w:name w:val="heading 3"/>
    <w:basedOn w:val="1"/>
    <w:next w:val="1"/>
    <w:semiHidden/>
    <w:unhideWhenUsed/>
    <w:qFormat/>
    <w:uiPriority w:val="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4E79" w:themeColor="accent1" w:themeShade="80"/>
      <w:sz w:val="24"/>
      <w:szCs w:val="24"/>
    </w:rPr>
  </w:style>
  <w:style w:type="character" w:default="1" w:styleId="11">
    <w:name w:val="Default Paragraph Font"/>
    <w:semiHidden/>
    <w:qFormat/>
    <w:uiPriority w:val="0"/>
  </w:style>
  <w:style w:type="table" w:default="1" w:styleId="10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Body Text"/>
    <w:basedOn w:val="1"/>
    <w:qFormat/>
    <w:uiPriority w:val="1"/>
    <w:rPr>
      <w:rFonts w:ascii="PMingLiU" w:hAnsi="PMingLiU" w:eastAsia="PMingLiU" w:cs="PMingLiU"/>
      <w:sz w:val="24"/>
      <w:szCs w:val="24"/>
      <w:lang w:val="zh-TW" w:eastAsia="zh-TW" w:bidi="zh-TW"/>
    </w:rPr>
  </w:style>
  <w:style w:type="paragraph" w:styleId="6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7">
    <w:name w:val="header"/>
    <w:basedOn w:val="1"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8">
    <w:name w:val="footnote text"/>
    <w:basedOn w:val="1"/>
    <w:qFormat/>
    <w:uiPriority w:val="0"/>
    <w:pPr>
      <w:snapToGrid w:val="0"/>
      <w:jc w:val="left"/>
    </w:pPr>
    <w:rPr>
      <w:sz w:val="18"/>
    </w:rPr>
  </w:style>
  <w:style w:type="paragraph" w:styleId="9">
    <w:name w:val="Normal (Web)"/>
    <w:basedOn w:val="1"/>
    <w:qFormat/>
    <w:uiPriority w:val="0"/>
    <w:pPr>
      <w:spacing w:before="100" w:beforeAutospacing="1" w:after="100" w:afterAutospacing="1" w:line="240" w:lineRule="auto"/>
    </w:pPr>
    <w:rPr>
      <w:rFonts w:ascii="Georgia" w:hAnsi="Georgia" w:eastAsia="宋体" w:cs="Times New Roman"/>
      <w:color w:val="000000"/>
      <w:sz w:val="21"/>
      <w:szCs w:val="21"/>
    </w:rPr>
  </w:style>
  <w:style w:type="character" w:styleId="12">
    <w:name w:val="footnote reference"/>
    <w:basedOn w:val="11"/>
    <w:qFormat/>
    <w:uiPriority w:val="0"/>
    <w:rPr>
      <w:vertAlign w:val="superscript"/>
    </w:rPr>
  </w:style>
  <w:style w:type="paragraph" w:customStyle="1" w:styleId="13">
    <w:name w:val="Table Paragraph"/>
    <w:basedOn w:val="1"/>
    <w:qFormat/>
    <w:uiPriority w:val="1"/>
    <w:pPr>
      <w:spacing w:before="147"/>
      <w:ind w:left="103"/>
      <w:jc w:val="center"/>
    </w:pPr>
    <w:rPr>
      <w:rFonts w:ascii="PMingLiU" w:hAnsi="PMingLiU" w:eastAsia="PMingLiU" w:cs="PMingLiU"/>
      <w:lang w:val="zh-TW" w:eastAsia="zh-TW" w:bidi="zh-TW"/>
    </w:rPr>
  </w:style>
  <w:style w:type="paragraph" w:styleId="14">
    <w:name w:val="List Paragraph"/>
    <w:basedOn w:val="1"/>
    <w:qFormat/>
    <w:uiPriority w:val="34"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4.png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footer" Target="footer1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3" Type="http://schemas.openxmlformats.org/officeDocument/2006/relationships/fontTable" Target="fontTable.xml"/><Relationship Id="rId12" Type="http://schemas.openxmlformats.org/officeDocument/2006/relationships/numbering" Target="numbering.xml"/><Relationship Id="rId11" Type="http://schemas.openxmlformats.org/officeDocument/2006/relationships/customXml" Target="../customXml/item1.xml"/><Relationship Id="rId10" Type="http://schemas.openxmlformats.org/officeDocument/2006/relationships/image" Target="media/image5.pn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6</TotalTime>
  <ScaleCrop>false</ScaleCrop>
  <LinksUpToDate>false</LinksUpToDate>
  <CharactersWithSpaces>0</CharactersWithSpaces>
  <Application>WPS Office_11.1.0.10314_F1E327BC-269C-435d-A152-05C5408002CA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2021-01-28T12:09:00Z</dcterms:created>
  <dc:creator>曾思瑶</dc:creator>
  <cp:lastModifiedBy>曾思瑶</cp:lastModifiedBy>
  <dcterms:modified xsi:type="dcterms:W3CDTF">2021-02-04T18:21:29Z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2052-11.1.0.10314</vt:lpwstr>
  </property>
</Properties>
</file>