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4617298"/>
        <w:docPartObj>
          <w:docPartGallery w:val="Cover Pages"/>
          <w:docPartUnique/>
        </w:docPartObj>
      </w:sdtPr>
      <w:sdtContent>
        <w:p w14:paraId="1ED92FDF" w14:textId="77777777" w:rsidR="00F55938" w:rsidRDefault="00000000" w:rsidP="00F55938">
          <w:r>
            <w:pict w14:anchorId="7CFDB7DD">
              <v:group id="Group 453" o:spid="_x0000_s1026" style="position:absolute;margin-left:293.85pt;margin-top:-28.25pt;width:330.7pt;height:856.75pt;z-index:251657216;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color="#c2d69b [1942]" strokeweight="1pt">
                  <v:fill r:id="rId7" o:title="" opacity="52429f" color2="white [3212]" o:opacity2="52429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color="#c2d69b [1942]"/>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color="#c2d69b [1942]" strokeweight="1pt">
                  <v:fill opacity="52428f"/>
                  <v:shadow color="#d8d8d8" offset="3pt,3pt"/>
                  <v:textbox style="mso-next-textbox:#Rectangle 461" inset="28.8pt,14.4pt,14.4pt,14.4pt">
                    <w:txbxContent>
                      <w:sdt>
                        <w:sdtPr>
                          <w:rPr>
                            <w:color w:val="FFFFFF" w:themeColor="background1"/>
                            <w:sz w:val="96"/>
                            <w:szCs w:val="96"/>
                          </w:rPr>
                          <w:alias w:val="Year"/>
                          <w:id w:val="1227064292"/>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9A7D84A" w14:textId="77777777" w:rsidR="00F55938" w:rsidRDefault="00F55938" w:rsidP="00F55938">
                            <w:pPr>
                              <w:pStyle w:val="NoSpacing"/>
                              <w:rPr>
                                <w:color w:val="FFFFFF" w:themeColor="background1"/>
                                <w:sz w:val="96"/>
                                <w:szCs w:val="96"/>
                              </w:rPr>
                            </w:pPr>
                            <w:r>
                              <w:rPr>
                                <w:color w:val="92D050"/>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color="#c2d69b [1942]" strokeweight="1pt">
                  <v:fill opacity="52428f"/>
                  <v:shadow color="#d8d8d8" offset="3pt,3pt"/>
                  <v:textbox style="mso-next-textbox:#Rectangle 9" inset="28.8pt,14.4pt,14.4pt,14.4pt">
                    <w:txbxContent>
                      <w:p w14:paraId="24DE53DC" w14:textId="77777777" w:rsidR="00F55938" w:rsidRPr="00273730" w:rsidRDefault="00F55938" w:rsidP="00F55938">
                        <w:pPr>
                          <w:pStyle w:val="NoSpacing"/>
                          <w:spacing w:line="360" w:lineRule="auto"/>
                          <w:rPr>
                            <w:rFonts w:ascii="Arial" w:hAnsi="Arial" w:cs="Arial"/>
                            <w:b/>
                            <w:bCs/>
                            <w:sz w:val="24"/>
                            <w:szCs w:val="24"/>
                          </w:rPr>
                        </w:pPr>
                        <w:r w:rsidRPr="00273730">
                          <w:rPr>
                            <w:rFonts w:ascii="Arial" w:hAnsi="Arial" w:cs="Arial"/>
                            <w:b/>
                            <w:bCs/>
                            <w:sz w:val="24"/>
                            <w:szCs w:val="24"/>
                          </w:rPr>
                          <w:t>Student name: Loredana-Marina Pal</w:t>
                        </w:r>
                      </w:p>
                      <w:p w14:paraId="0043E103" w14:textId="77777777" w:rsidR="00F55938" w:rsidRPr="00273730" w:rsidRDefault="00F55938" w:rsidP="00F55938">
                        <w:pPr>
                          <w:pStyle w:val="NoSpacing"/>
                          <w:spacing w:line="360" w:lineRule="auto"/>
                          <w:rPr>
                            <w:rFonts w:ascii="Arial" w:hAnsi="Arial" w:cs="Arial"/>
                            <w:b/>
                            <w:bCs/>
                            <w:sz w:val="24"/>
                            <w:szCs w:val="24"/>
                          </w:rPr>
                        </w:pPr>
                        <w:r w:rsidRPr="00273730">
                          <w:rPr>
                            <w:rFonts w:ascii="Arial" w:hAnsi="Arial" w:cs="Arial"/>
                            <w:b/>
                            <w:bCs/>
                            <w:sz w:val="24"/>
                            <w:szCs w:val="24"/>
                          </w:rPr>
                          <w:t>Student ID: 2222512</w:t>
                        </w:r>
                      </w:p>
                      <w:p w14:paraId="471BEB82" w14:textId="227AF728" w:rsidR="00F55938" w:rsidRPr="00273730" w:rsidRDefault="00F55938" w:rsidP="00F55938">
                        <w:pPr>
                          <w:pStyle w:val="NoSpacing"/>
                          <w:spacing w:line="360" w:lineRule="auto"/>
                          <w:rPr>
                            <w:rFonts w:ascii="Arial" w:hAnsi="Arial" w:cs="Arial"/>
                            <w:b/>
                            <w:bCs/>
                            <w:sz w:val="24"/>
                            <w:szCs w:val="24"/>
                          </w:rPr>
                        </w:pPr>
                        <w:r w:rsidRPr="00273730">
                          <w:rPr>
                            <w:rFonts w:ascii="Arial" w:hAnsi="Arial" w:cs="Arial"/>
                            <w:b/>
                            <w:sz w:val="24"/>
                            <w:szCs w:val="24"/>
                          </w:rPr>
                          <w:t xml:space="preserve">Management &amp; </w:t>
                        </w:r>
                        <w:r w:rsidR="00E46974" w:rsidRPr="00273730">
                          <w:rPr>
                            <w:rFonts w:ascii="Arial" w:hAnsi="Arial" w:cs="Arial"/>
                            <w:b/>
                            <w:sz w:val="24"/>
                            <w:szCs w:val="24"/>
                          </w:rPr>
                          <w:t>Organizational</w:t>
                        </w:r>
                        <w:r w:rsidRPr="00273730">
                          <w:rPr>
                            <w:rFonts w:ascii="Arial" w:hAnsi="Arial" w:cs="Arial"/>
                            <w:b/>
                            <w:sz w:val="24"/>
                            <w:szCs w:val="24"/>
                          </w:rPr>
                          <w:t xml:space="preserve"> </w:t>
                        </w:r>
                        <w:r w:rsidR="00E46974" w:rsidRPr="00273730">
                          <w:rPr>
                            <w:rFonts w:ascii="Arial" w:hAnsi="Arial" w:cs="Arial"/>
                            <w:b/>
                            <w:sz w:val="24"/>
                            <w:szCs w:val="24"/>
                          </w:rPr>
                          <w:t>Behavior</w:t>
                        </w:r>
                        <w:r w:rsidRPr="00273730">
                          <w:rPr>
                            <w:rFonts w:ascii="Arial" w:hAnsi="Arial" w:cs="Arial"/>
                            <w:b/>
                            <w:sz w:val="24"/>
                            <w:szCs w:val="24"/>
                          </w:rPr>
                          <w:t xml:space="preserve"> </w:t>
                        </w:r>
                        <w:r w:rsidRPr="00273730">
                          <w:rPr>
                            <w:rFonts w:ascii="Arial" w:hAnsi="Arial" w:cs="Arial"/>
                            <w:b/>
                            <w:bCs/>
                            <w:sz w:val="24"/>
                            <w:szCs w:val="24"/>
                          </w:rPr>
                          <w:t>BMIH5004</w:t>
                        </w:r>
                      </w:p>
                      <w:p w14:paraId="1526B5A5" w14:textId="77777777" w:rsidR="00F55938" w:rsidRPr="00273730" w:rsidRDefault="00F55938" w:rsidP="00F55938">
                        <w:pPr>
                          <w:pStyle w:val="NoSpacing"/>
                          <w:spacing w:line="360" w:lineRule="auto"/>
                          <w:rPr>
                            <w:rFonts w:ascii="Arial" w:hAnsi="Arial" w:cs="Arial"/>
                            <w:b/>
                            <w:sz w:val="24"/>
                            <w:szCs w:val="24"/>
                          </w:rPr>
                        </w:pPr>
                        <w:r w:rsidRPr="00273730">
                          <w:rPr>
                            <w:rFonts w:ascii="Arial" w:hAnsi="Arial" w:cs="Arial"/>
                            <w:b/>
                            <w:bCs/>
                            <w:sz w:val="24"/>
                            <w:szCs w:val="24"/>
                          </w:rPr>
                          <w:t xml:space="preserve">Lecturer: </w:t>
                        </w:r>
                        <w:r w:rsidRPr="00273730">
                          <w:rPr>
                            <w:rFonts w:ascii="Arial" w:hAnsi="Arial" w:cs="Arial"/>
                            <w:b/>
                            <w:sz w:val="24"/>
                            <w:szCs w:val="24"/>
                          </w:rPr>
                          <w:t>Antoinette Milne</w:t>
                        </w:r>
                      </w:p>
                      <w:p w14:paraId="09132D86" w14:textId="77777777" w:rsidR="00F55938" w:rsidRPr="00273730" w:rsidRDefault="00F55938" w:rsidP="00F55938">
                        <w:pPr>
                          <w:pStyle w:val="NoSpacing"/>
                          <w:spacing w:line="360" w:lineRule="auto"/>
                          <w:rPr>
                            <w:rFonts w:ascii="Arial" w:hAnsi="Arial" w:cs="Arial"/>
                            <w:b/>
                            <w:bCs/>
                            <w:sz w:val="24"/>
                            <w:szCs w:val="24"/>
                          </w:rPr>
                        </w:pPr>
                        <w:r>
                          <w:rPr>
                            <w:rFonts w:ascii="Arial" w:hAnsi="Arial" w:cs="Arial"/>
                            <w:b/>
                            <w:bCs/>
                            <w:sz w:val="24"/>
                            <w:szCs w:val="24"/>
                          </w:rPr>
                          <w:t>Date 14/03</w:t>
                        </w:r>
                        <w:r w:rsidRPr="00273730">
                          <w:rPr>
                            <w:rFonts w:ascii="Arial" w:hAnsi="Arial" w:cs="Arial"/>
                            <w:b/>
                            <w:bCs/>
                            <w:sz w:val="24"/>
                            <w:szCs w:val="24"/>
                          </w:rPr>
                          <w:t>/2025</w:t>
                        </w:r>
                      </w:p>
                      <w:p w14:paraId="3FC61218" w14:textId="77777777" w:rsidR="00F55938" w:rsidRPr="00273730" w:rsidRDefault="00F55938" w:rsidP="00F55938">
                        <w:pPr>
                          <w:pStyle w:val="NoSpacing"/>
                          <w:spacing w:line="360" w:lineRule="auto"/>
                          <w:rPr>
                            <w:rFonts w:ascii="Arial" w:hAnsi="Arial" w:cs="Arial"/>
                            <w:b/>
                            <w:bCs/>
                            <w:sz w:val="24"/>
                            <w:szCs w:val="24"/>
                          </w:rPr>
                        </w:pPr>
                        <w:r w:rsidRPr="00273730">
                          <w:rPr>
                            <w:rFonts w:ascii="Arial" w:hAnsi="Arial" w:cs="Arial"/>
                            <w:b/>
                            <w:bCs/>
                            <w:sz w:val="24"/>
                            <w:szCs w:val="24"/>
                          </w:rPr>
                          <w:t>Word count:</w:t>
                        </w:r>
                      </w:p>
                      <w:p w14:paraId="2CB10733" w14:textId="77777777" w:rsidR="00F55938" w:rsidRDefault="00F55938" w:rsidP="00F55938">
                        <w:pPr>
                          <w:pStyle w:val="NoSpacing"/>
                          <w:spacing w:line="360" w:lineRule="auto"/>
                          <w:rPr>
                            <w:rFonts w:asciiTheme="minorHAnsi" w:hAnsiTheme="minorHAnsi" w:cstheme="minorBidi"/>
                            <w:color w:val="FFFFFF" w:themeColor="background1"/>
                          </w:rPr>
                        </w:pPr>
                      </w:p>
                      <w:sdt>
                        <w:sdtPr>
                          <w:rPr>
                            <w:color w:val="FFFFFF" w:themeColor="background1"/>
                          </w:rPr>
                          <w:alias w:val="Company"/>
                          <w:id w:val="1227064293"/>
                          <w:showingPlcHdr/>
                          <w:dataBinding w:prefixMappings="xmlns:ns0='http://schemas.openxmlformats.org/officeDocument/2006/extended-properties'" w:xpath="/ns0:Properties[1]/ns0:Company[1]" w:storeItemID="{6668398D-A668-4E3E-A5EB-62B293D839F1}"/>
                          <w:text/>
                        </w:sdtPr>
                        <w:sdtContent>
                          <w:p w14:paraId="1E6DF942" w14:textId="77777777" w:rsidR="00F55938" w:rsidRDefault="00F55938" w:rsidP="00F5593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22706429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C00289F" w14:textId="77777777" w:rsidR="00F55938" w:rsidRDefault="00F55938" w:rsidP="00F55938">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14:paraId="0D0E4592" w14:textId="77777777" w:rsidR="00F55938" w:rsidRDefault="00000000" w:rsidP="00F55938">
          <w:r>
            <w:pict w14:anchorId="2C839DAF">
              <v:shapetype id="_x0000_t202" coordsize="21600,21600" o:spt="202" path="m,l,21600r21600,l21600,xe">
                <v:stroke joinstyle="miter"/>
                <v:path gradientshapeok="t" o:connecttype="rect"/>
              </v:shapetype>
              <v:shape id="_x0000_s1031" type="#_x0000_t202" style="position:absolute;margin-left:-67.2pt;margin-top:337.05pt;width:595.1pt;height:48.55pt;z-index:251658240;mso-width-relative:margin;mso-height-relative:margin" wrapcoords="-27 -332 -27 21268 21627 21268 21627 -332 -27 -332" fillcolor="#c2d69b [1942]" strokecolor="black [3213]">
                <v:textbox style="mso-next-textbox:#_x0000_s1031">
                  <w:txbxContent>
                    <w:p w14:paraId="41077EFE" w14:textId="77777777" w:rsidR="00F55938" w:rsidRPr="00F55938" w:rsidRDefault="00F55938" w:rsidP="00F55938">
                      <w:pPr>
                        <w:spacing w:line="240" w:lineRule="auto"/>
                        <w:rPr>
                          <w:rFonts w:ascii="Arial" w:hAnsi="Arial" w:cs="Arial"/>
                          <w:b/>
                          <w:sz w:val="52"/>
                          <w:szCs w:val="52"/>
                        </w:rPr>
                      </w:pPr>
                      <w:r>
                        <w:rPr>
                          <w:rFonts w:ascii="Arial" w:hAnsi="Arial" w:cs="Arial"/>
                          <w:b/>
                          <w:color w:val="000000" w:themeColor="text1"/>
                          <w:sz w:val="52"/>
                          <w:szCs w:val="52"/>
                        </w:rPr>
                        <w:t xml:space="preserve">                          </w:t>
                      </w:r>
                      <w:r w:rsidRPr="00F55938">
                        <w:rPr>
                          <w:rFonts w:ascii="Arial" w:hAnsi="Arial" w:cs="Arial"/>
                          <w:b/>
                          <w:sz w:val="52"/>
                          <w:szCs w:val="52"/>
                        </w:rPr>
                        <w:t>Written report</w:t>
                      </w:r>
                    </w:p>
                  </w:txbxContent>
                </v:textbox>
              </v:shape>
            </w:pict>
          </w:r>
          <w:r w:rsidR="00F55938">
            <w:t xml:space="preserve">   </w:t>
          </w:r>
        </w:p>
        <w:p w14:paraId="778FB76B" w14:textId="77777777" w:rsidR="00F55938" w:rsidRDefault="00F55938" w:rsidP="00F55938"/>
        <w:p w14:paraId="5F7C8BB7" w14:textId="77777777" w:rsidR="00F55938" w:rsidRDefault="00F55938" w:rsidP="00F55938"/>
        <w:p w14:paraId="4808D175" w14:textId="77777777" w:rsidR="00F55938" w:rsidRDefault="00F55938" w:rsidP="00F55938"/>
        <w:p w14:paraId="15585783" w14:textId="77777777" w:rsidR="00F55938" w:rsidRDefault="00F55938" w:rsidP="00F55938"/>
        <w:p w14:paraId="7922068A" w14:textId="77777777" w:rsidR="00F55938" w:rsidRDefault="00F55938" w:rsidP="00F55938"/>
        <w:p w14:paraId="2961E70D" w14:textId="77777777" w:rsidR="00F55938" w:rsidRDefault="00F55938" w:rsidP="00F55938"/>
        <w:p w14:paraId="2BE9AE92" w14:textId="77777777" w:rsidR="00F55938" w:rsidRDefault="00F55938" w:rsidP="00F55938"/>
        <w:p w14:paraId="3EDAF081" w14:textId="77777777" w:rsidR="00F55938" w:rsidRDefault="00F55938" w:rsidP="00F55938"/>
        <w:p w14:paraId="70495A0E" w14:textId="77777777" w:rsidR="00F55938" w:rsidRDefault="00F55938" w:rsidP="00F55938"/>
        <w:p w14:paraId="4910B915" w14:textId="77777777" w:rsidR="00F55938" w:rsidRDefault="00F55938" w:rsidP="00F55938"/>
        <w:p w14:paraId="219926FC" w14:textId="77777777" w:rsidR="00F55938" w:rsidRDefault="00F55938" w:rsidP="00F55938">
          <w:r>
            <w:br w:type="page"/>
          </w:r>
          <w:r>
            <w:lastRenderedPageBreak/>
            <w:t xml:space="preserve"> </w:t>
          </w:r>
        </w:p>
      </w:sdtContent>
    </w:sdt>
    <w:p w14:paraId="0B79488C" w14:textId="77777777" w:rsidR="00F55938" w:rsidRDefault="00F55938" w:rsidP="00F55938"/>
    <w:p w14:paraId="46E0E2C6" w14:textId="77777777" w:rsidR="00F55938" w:rsidRDefault="00F55938" w:rsidP="00F55938"/>
    <w:p w14:paraId="3C689D72" w14:textId="77777777" w:rsidR="00F55938" w:rsidRDefault="00F55938" w:rsidP="00F55938"/>
    <w:p w14:paraId="146CFE40" w14:textId="77777777" w:rsidR="00F55938" w:rsidRDefault="00F55938" w:rsidP="00F55938">
      <w:pPr>
        <w:jc w:val="center"/>
        <w:rPr>
          <w:rFonts w:ascii="Arial" w:hAnsi="Arial" w:cs="Arial"/>
          <w:sz w:val="24"/>
          <w:szCs w:val="24"/>
        </w:rPr>
      </w:pPr>
      <w:r>
        <w:rPr>
          <w:rFonts w:ascii="Arial" w:hAnsi="Arial" w:cs="Arial"/>
          <w:sz w:val="24"/>
          <w:szCs w:val="24"/>
        </w:rPr>
        <w:t>AI Acknowledgement</w:t>
      </w:r>
    </w:p>
    <w:p w14:paraId="34629CF1" w14:textId="77777777" w:rsidR="00F55938" w:rsidRPr="003614AA" w:rsidRDefault="00F55938" w:rsidP="00F55938">
      <w:pPr>
        <w:spacing w:line="360" w:lineRule="auto"/>
        <w:jc w:val="both"/>
        <w:rPr>
          <w:rFonts w:ascii="Arial" w:hAnsi="Arial" w:cs="Arial"/>
          <w:sz w:val="24"/>
          <w:szCs w:val="24"/>
        </w:rPr>
      </w:pPr>
    </w:p>
    <w:p w14:paraId="462B8C29" w14:textId="77777777" w:rsidR="00F55938" w:rsidRPr="003614AA" w:rsidRDefault="00F55938" w:rsidP="00F55938">
      <w:pPr>
        <w:spacing w:line="360" w:lineRule="auto"/>
        <w:jc w:val="both"/>
        <w:rPr>
          <w:rFonts w:ascii="Arial" w:hAnsi="Arial" w:cs="Arial"/>
          <w:sz w:val="24"/>
          <w:szCs w:val="24"/>
        </w:rPr>
      </w:pPr>
      <w:r w:rsidRPr="003614AA">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FACED18" w14:textId="77777777" w:rsidR="00F55938" w:rsidRDefault="00F55938" w:rsidP="00F55938">
      <w:pPr>
        <w:jc w:val="both"/>
      </w:pPr>
    </w:p>
    <w:p w14:paraId="78107048" w14:textId="77777777" w:rsidR="00F55938" w:rsidRDefault="00F55938" w:rsidP="00F55938">
      <w:pPr>
        <w:jc w:val="both"/>
      </w:pPr>
    </w:p>
    <w:p w14:paraId="29B06DB3" w14:textId="77777777" w:rsidR="00F55938" w:rsidRDefault="00F55938" w:rsidP="00F55938">
      <w:pPr>
        <w:jc w:val="both"/>
      </w:pPr>
    </w:p>
    <w:p w14:paraId="706D2319" w14:textId="77777777" w:rsidR="00F55938" w:rsidRDefault="00F55938" w:rsidP="00F55938">
      <w:pPr>
        <w:jc w:val="both"/>
      </w:pPr>
    </w:p>
    <w:p w14:paraId="25E86354" w14:textId="77777777" w:rsidR="00F55938" w:rsidRDefault="00F55938" w:rsidP="00F55938">
      <w:pPr>
        <w:jc w:val="both"/>
      </w:pPr>
    </w:p>
    <w:p w14:paraId="5F37610F" w14:textId="77777777" w:rsidR="00F55938" w:rsidRDefault="00F55938" w:rsidP="00F55938">
      <w:pPr>
        <w:jc w:val="both"/>
      </w:pPr>
    </w:p>
    <w:p w14:paraId="6A936A97" w14:textId="77777777" w:rsidR="00F55938" w:rsidRDefault="00F55938" w:rsidP="00F55938">
      <w:pPr>
        <w:jc w:val="both"/>
      </w:pPr>
    </w:p>
    <w:p w14:paraId="346D2382" w14:textId="77777777" w:rsidR="00F55938" w:rsidRDefault="00F55938" w:rsidP="00F55938">
      <w:pPr>
        <w:jc w:val="both"/>
      </w:pPr>
    </w:p>
    <w:p w14:paraId="59F80758" w14:textId="77777777" w:rsidR="00F55938" w:rsidRDefault="00F55938" w:rsidP="00F55938">
      <w:pPr>
        <w:jc w:val="both"/>
      </w:pPr>
    </w:p>
    <w:p w14:paraId="1B3EA1FF" w14:textId="77777777" w:rsidR="00F55938" w:rsidRDefault="00F55938" w:rsidP="00F55938">
      <w:pPr>
        <w:jc w:val="both"/>
      </w:pPr>
    </w:p>
    <w:p w14:paraId="4CD9841C" w14:textId="77777777" w:rsidR="00F55938" w:rsidRDefault="00F55938" w:rsidP="00F55938">
      <w:pPr>
        <w:jc w:val="both"/>
      </w:pPr>
    </w:p>
    <w:p w14:paraId="4FAE0328" w14:textId="77777777" w:rsidR="00F55938" w:rsidRDefault="00F55938" w:rsidP="00F55938">
      <w:pPr>
        <w:jc w:val="both"/>
      </w:pPr>
    </w:p>
    <w:p w14:paraId="61BBFF54" w14:textId="77777777" w:rsidR="00F55938" w:rsidRDefault="00F55938" w:rsidP="00F55938">
      <w:pPr>
        <w:jc w:val="both"/>
      </w:pPr>
    </w:p>
    <w:p w14:paraId="043F25A4" w14:textId="77777777" w:rsidR="00F55938" w:rsidRDefault="00F55938" w:rsidP="00F55938">
      <w:pPr>
        <w:jc w:val="both"/>
      </w:pPr>
    </w:p>
    <w:p w14:paraId="0593BC2E" w14:textId="77777777" w:rsidR="00F55938" w:rsidRDefault="00F55938" w:rsidP="00F55938">
      <w:pPr>
        <w:jc w:val="both"/>
      </w:pPr>
    </w:p>
    <w:p w14:paraId="0FA6DBA6" w14:textId="77777777" w:rsidR="00F55938" w:rsidRDefault="00F55938" w:rsidP="00F55938">
      <w:pPr>
        <w:jc w:val="both"/>
      </w:pPr>
    </w:p>
    <w:p w14:paraId="0F4525DB" w14:textId="77777777" w:rsidR="003C0C29" w:rsidRPr="00694357" w:rsidRDefault="003C0C29" w:rsidP="00581F12">
      <w:pPr>
        <w:spacing w:line="360" w:lineRule="auto"/>
        <w:jc w:val="both"/>
        <w:rPr>
          <w:rFonts w:ascii="Arial" w:hAnsi="Arial" w:cs="Arial"/>
          <w:b/>
          <w:bCs/>
          <w:sz w:val="24"/>
          <w:szCs w:val="24"/>
        </w:rPr>
      </w:pPr>
      <w:r w:rsidRPr="00694357">
        <w:rPr>
          <w:rFonts w:ascii="Arial" w:hAnsi="Arial" w:cs="Arial"/>
          <w:b/>
          <w:bCs/>
          <w:sz w:val="24"/>
          <w:szCs w:val="24"/>
        </w:rPr>
        <w:lastRenderedPageBreak/>
        <w:t xml:space="preserve">Executive Summary </w:t>
      </w:r>
    </w:p>
    <w:p w14:paraId="6AC9FF06" w14:textId="77777777" w:rsidR="003C0C29" w:rsidRPr="00581F12" w:rsidRDefault="003C0C29" w:rsidP="00581F12">
      <w:pPr>
        <w:spacing w:line="360" w:lineRule="auto"/>
        <w:jc w:val="both"/>
        <w:rPr>
          <w:rFonts w:ascii="Arial" w:hAnsi="Arial" w:cs="Arial"/>
          <w:sz w:val="24"/>
          <w:szCs w:val="24"/>
        </w:rPr>
      </w:pPr>
      <w:r w:rsidRPr="00581F12">
        <w:rPr>
          <w:rFonts w:ascii="Arial" w:hAnsi="Arial" w:cs="Arial"/>
          <w:sz w:val="24"/>
          <w:szCs w:val="24"/>
        </w:rPr>
        <w:t>Hilton Hotels and Resorts, the hospitality subsidiary under Hilton Worldwide Holdings Inc., becomes one of the global leading hospitality brands, managing more than 8400 properties in over 140 countries (Hilton, 2025). This report wants to assess and evaluate, in a critical sense, Hilton's organizational structure, corporate culture, latest change initiatives, and strategic direction based on relevant theories of management and organizational behavior.</w:t>
      </w:r>
    </w:p>
    <w:p w14:paraId="6249796C" w14:textId="77777777" w:rsidR="003C0C29" w:rsidRPr="00581F12" w:rsidRDefault="003C0C29" w:rsidP="00581F12">
      <w:pPr>
        <w:spacing w:line="360" w:lineRule="auto"/>
        <w:jc w:val="both"/>
        <w:rPr>
          <w:rFonts w:ascii="Arial" w:hAnsi="Arial" w:cs="Arial"/>
          <w:sz w:val="24"/>
          <w:szCs w:val="24"/>
        </w:rPr>
      </w:pPr>
      <w:r w:rsidRPr="00581F12">
        <w:rPr>
          <w:rFonts w:ascii="Arial" w:hAnsi="Arial" w:cs="Arial"/>
          <w:sz w:val="24"/>
          <w:szCs w:val="24"/>
        </w:rPr>
        <w:t xml:space="preserve">It shows that Hilton has a mix of franchise and management-based structure for increasing global presence with operational efficiency. Employee satisfaction, sustainability, and customer experience come together under corporate culture, as seen through initiatives such as Heart of House and Hilton </w:t>
      </w:r>
      <w:proofErr w:type="spellStart"/>
      <w:r w:rsidRPr="00581F12">
        <w:rPr>
          <w:rFonts w:ascii="Arial" w:hAnsi="Arial" w:cs="Arial"/>
          <w:sz w:val="24"/>
          <w:szCs w:val="24"/>
        </w:rPr>
        <w:t>CleanStay</w:t>
      </w:r>
      <w:proofErr w:type="spellEnd"/>
      <w:r w:rsidRPr="00581F12">
        <w:rPr>
          <w:rFonts w:ascii="Arial" w:hAnsi="Arial" w:cs="Arial"/>
          <w:sz w:val="24"/>
          <w:szCs w:val="24"/>
        </w:rPr>
        <w:t xml:space="preserve"> (Lamo, 2019; Bybee, 2022).</w:t>
      </w:r>
    </w:p>
    <w:p w14:paraId="37C401F8" w14:textId="77777777" w:rsidR="003C0C29" w:rsidRPr="00581F12" w:rsidRDefault="003C0C29" w:rsidP="00581F12">
      <w:pPr>
        <w:spacing w:line="360" w:lineRule="auto"/>
        <w:jc w:val="both"/>
        <w:rPr>
          <w:rFonts w:ascii="Arial" w:hAnsi="Arial" w:cs="Arial"/>
          <w:sz w:val="24"/>
          <w:szCs w:val="24"/>
        </w:rPr>
      </w:pPr>
      <w:r w:rsidRPr="00581F12">
        <w:rPr>
          <w:rFonts w:ascii="Arial" w:hAnsi="Arial" w:cs="Arial"/>
          <w:sz w:val="24"/>
          <w:szCs w:val="24"/>
        </w:rPr>
        <w:t>Yet recent transformative measures in sustainability pledges and facilities such as digital keys and an AI guest services platform, have propelled Hilton more toward an advantageous market position (Hilton, 2025). Further, in terms of strategy, Hilton is looking to expansion in developing countries, have greater offerings in the midscale brands, and technology personalization in enhancing experience (</w:t>
      </w:r>
      <w:proofErr w:type="spellStart"/>
      <w:r w:rsidRPr="00581F12">
        <w:rPr>
          <w:rFonts w:ascii="Arial" w:hAnsi="Arial" w:cs="Arial"/>
          <w:sz w:val="24"/>
          <w:szCs w:val="24"/>
        </w:rPr>
        <w:t>PitchGrade</w:t>
      </w:r>
      <w:proofErr w:type="spellEnd"/>
      <w:r w:rsidRPr="00581F12">
        <w:rPr>
          <w:rFonts w:ascii="Arial" w:hAnsi="Arial" w:cs="Arial"/>
          <w:sz w:val="24"/>
          <w:szCs w:val="24"/>
        </w:rPr>
        <w:t>, 2024).</w:t>
      </w:r>
    </w:p>
    <w:p w14:paraId="758C69D9" w14:textId="77777777" w:rsidR="00A743D4" w:rsidRPr="00581F12" w:rsidRDefault="003C0C29" w:rsidP="00581F12">
      <w:pPr>
        <w:spacing w:line="360" w:lineRule="auto"/>
        <w:jc w:val="both"/>
        <w:rPr>
          <w:rFonts w:ascii="Arial" w:hAnsi="Arial" w:cs="Arial"/>
          <w:sz w:val="24"/>
          <w:szCs w:val="24"/>
        </w:rPr>
      </w:pPr>
      <w:r w:rsidRPr="00581F12">
        <w:rPr>
          <w:rFonts w:ascii="Arial" w:hAnsi="Arial" w:cs="Arial"/>
          <w:sz w:val="24"/>
          <w:szCs w:val="24"/>
        </w:rPr>
        <w:t>Finally, the report recommended ways in which Hilton could further strengthen its competitive advantage through integration of more AI technologies, increased sustainability measures, and franchisee training. The findings further ratify Hilton's leadership position in the market but also point to areas of improvement, especially in ensuring brand consistency amid a large portfolio.</w:t>
      </w:r>
    </w:p>
    <w:p w14:paraId="26C5931C" w14:textId="77777777" w:rsidR="003C0C29" w:rsidRPr="00581F12" w:rsidRDefault="003C0C29" w:rsidP="00581F12">
      <w:pPr>
        <w:spacing w:line="360" w:lineRule="auto"/>
        <w:jc w:val="both"/>
        <w:rPr>
          <w:rFonts w:ascii="Arial" w:hAnsi="Arial" w:cs="Arial"/>
          <w:sz w:val="24"/>
          <w:szCs w:val="24"/>
        </w:rPr>
      </w:pPr>
    </w:p>
    <w:p w14:paraId="04A95498" w14:textId="77777777" w:rsidR="003C0C29" w:rsidRDefault="003C0C29" w:rsidP="003C0C29"/>
    <w:p w14:paraId="6F1F0044" w14:textId="77777777" w:rsidR="003C0C29" w:rsidRDefault="003C0C29" w:rsidP="003C0C29"/>
    <w:p w14:paraId="135A21A0" w14:textId="77777777" w:rsidR="003C0C29" w:rsidRDefault="003C0C29" w:rsidP="003C0C29"/>
    <w:p w14:paraId="03C8A06A" w14:textId="77777777" w:rsidR="003C0C29" w:rsidRDefault="003C0C29" w:rsidP="003C0C29"/>
    <w:p w14:paraId="7FECBE8D" w14:textId="77777777" w:rsidR="003C0C29" w:rsidRPr="00694357" w:rsidRDefault="003C0C29" w:rsidP="00581F12">
      <w:pPr>
        <w:spacing w:line="360" w:lineRule="auto"/>
        <w:rPr>
          <w:rFonts w:ascii="Arial" w:hAnsi="Arial" w:cs="Arial"/>
          <w:b/>
          <w:bCs/>
          <w:sz w:val="24"/>
          <w:szCs w:val="24"/>
        </w:rPr>
      </w:pPr>
      <w:r w:rsidRPr="00694357">
        <w:rPr>
          <w:rFonts w:ascii="Arial" w:hAnsi="Arial" w:cs="Arial"/>
          <w:b/>
          <w:bCs/>
          <w:sz w:val="24"/>
          <w:szCs w:val="24"/>
        </w:rPr>
        <w:lastRenderedPageBreak/>
        <w:t>Table of Contents</w:t>
      </w:r>
    </w:p>
    <w:p w14:paraId="3857119F" w14:textId="551BD017" w:rsidR="003C0C29" w:rsidRPr="00581F12" w:rsidRDefault="003C0C29" w:rsidP="00581F12">
      <w:pPr>
        <w:numPr>
          <w:ilvl w:val="0"/>
          <w:numId w:val="1"/>
        </w:numPr>
        <w:spacing w:after="160" w:line="360" w:lineRule="auto"/>
        <w:rPr>
          <w:rFonts w:ascii="Arial" w:hAnsi="Arial" w:cs="Arial"/>
          <w:sz w:val="24"/>
          <w:szCs w:val="24"/>
        </w:rPr>
      </w:pPr>
      <w:r w:rsidRPr="00581F12">
        <w:rPr>
          <w:rFonts w:ascii="Arial" w:hAnsi="Arial" w:cs="Arial"/>
          <w:sz w:val="24"/>
          <w:szCs w:val="24"/>
        </w:rPr>
        <w:t>Introduction</w:t>
      </w:r>
      <w:r w:rsidR="00540092" w:rsidRPr="00581F12">
        <w:rPr>
          <w:rFonts w:ascii="Arial" w:hAnsi="Arial" w:cs="Arial"/>
          <w:sz w:val="24"/>
          <w:szCs w:val="24"/>
        </w:rPr>
        <w:t>……………………………………………………………………</w:t>
      </w:r>
      <w:r w:rsidR="008D641A" w:rsidRPr="00581F12">
        <w:rPr>
          <w:rFonts w:ascii="Arial" w:hAnsi="Arial" w:cs="Arial"/>
          <w:sz w:val="24"/>
          <w:szCs w:val="24"/>
        </w:rPr>
        <w:t>4</w:t>
      </w:r>
    </w:p>
    <w:p w14:paraId="7F4BD7E6" w14:textId="52E025A4" w:rsidR="003C0C29" w:rsidRPr="00581F12" w:rsidRDefault="00C0531E" w:rsidP="00581F12">
      <w:pPr>
        <w:numPr>
          <w:ilvl w:val="0"/>
          <w:numId w:val="1"/>
        </w:numPr>
        <w:spacing w:after="160" w:line="360" w:lineRule="auto"/>
        <w:rPr>
          <w:rFonts w:ascii="Arial" w:hAnsi="Arial" w:cs="Arial"/>
          <w:sz w:val="24"/>
          <w:szCs w:val="24"/>
        </w:rPr>
      </w:pPr>
      <w:r w:rsidRPr="00581F12">
        <w:rPr>
          <w:rFonts w:ascii="Arial" w:hAnsi="Arial" w:cs="Arial"/>
          <w:sz w:val="24"/>
          <w:szCs w:val="24"/>
        </w:rPr>
        <w:t>Organizational</w:t>
      </w:r>
      <w:r w:rsidR="003C0C29" w:rsidRPr="00581F12">
        <w:rPr>
          <w:rFonts w:ascii="Arial" w:hAnsi="Arial" w:cs="Arial"/>
          <w:sz w:val="24"/>
          <w:szCs w:val="24"/>
        </w:rPr>
        <w:t xml:space="preserve"> Structure, Culture, and Goals</w:t>
      </w:r>
      <w:r w:rsidR="003C0C29" w:rsidRPr="00581F12">
        <w:rPr>
          <w:rFonts w:ascii="Arial" w:hAnsi="Arial" w:cs="Arial"/>
          <w:sz w:val="24"/>
          <w:szCs w:val="24"/>
        </w:rPr>
        <w:br/>
        <w:t xml:space="preserve">   </w:t>
      </w:r>
      <w:r w:rsidRPr="00581F12">
        <w:rPr>
          <w:rFonts w:ascii="Arial" w:hAnsi="Arial" w:cs="Arial"/>
          <w:sz w:val="24"/>
          <w:szCs w:val="24"/>
        </w:rPr>
        <w:t>Organizational</w:t>
      </w:r>
      <w:r w:rsidR="003C0C29" w:rsidRPr="00581F12">
        <w:rPr>
          <w:rFonts w:ascii="Arial" w:hAnsi="Arial" w:cs="Arial"/>
          <w:sz w:val="24"/>
          <w:szCs w:val="24"/>
        </w:rPr>
        <w:t xml:space="preserve"> Structure</w:t>
      </w:r>
      <w:r w:rsidR="003C0C29" w:rsidRPr="00581F12">
        <w:rPr>
          <w:rFonts w:ascii="Arial" w:hAnsi="Arial" w:cs="Arial"/>
          <w:sz w:val="24"/>
          <w:szCs w:val="24"/>
        </w:rPr>
        <w:br/>
        <w:t>  Corporate Culture</w:t>
      </w:r>
      <w:r w:rsidR="003C0C29" w:rsidRPr="00581F12">
        <w:rPr>
          <w:rFonts w:ascii="Arial" w:hAnsi="Arial" w:cs="Arial"/>
          <w:sz w:val="24"/>
          <w:szCs w:val="24"/>
        </w:rPr>
        <w:br/>
        <w:t>  </w:t>
      </w:r>
      <w:r w:rsidRPr="00581F12">
        <w:rPr>
          <w:rFonts w:ascii="Arial" w:hAnsi="Arial" w:cs="Arial"/>
          <w:sz w:val="24"/>
          <w:szCs w:val="24"/>
        </w:rPr>
        <w:t>Organizational</w:t>
      </w:r>
      <w:r w:rsidR="003C0C29" w:rsidRPr="00581F12">
        <w:rPr>
          <w:rFonts w:ascii="Arial" w:hAnsi="Arial" w:cs="Arial"/>
          <w:sz w:val="24"/>
          <w:szCs w:val="24"/>
        </w:rPr>
        <w:t xml:space="preserve"> Goals</w:t>
      </w:r>
    </w:p>
    <w:p w14:paraId="1BA69C47" w14:textId="331BECAB" w:rsidR="003C0C29" w:rsidRPr="00581F12" w:rsidRDefault="003C0C29" w:rsidP="00581F12">
      <w:pPr>
        <w:numPr>
          <w:ilvl w:val="0"/>
          <w:numId w:val="1"/>
        </w:numPr>
        <w:spacing w:after="160" w:line="360" w:lineRule="auto"/>
        <w:rPr>
          <w:rFonts w:ascii="Arial" w:hAnsi="Arial" w:cs="Arial"/>
          <w:sz w:val="24"/>
          <w:szCs w:val="24"/>
        </w:rPr>
      </w:pPr>
      <w:r w:rsidRPr="00581F12">
        <w:rPr>
          <w:rFonts w:ascii="Arial" w:hAnsi="Arial" w:cs="Arial"/>
          <w:sz w:val="24"/>
          <w:szCs w:val="24"/>
        </w:rPr>
        <w:t>Recent Change Initiatives</w:t>
      </w:r>
      <w:r w:rsidR="008D641A" w:rsidRPr="00581F12">
        <w:rPr>
          <w:rFonts w:ascii="Arial" w:hAnsi="Arial" w:cs="Arial"/>
          <w:sz w:val="24"/>
          <w:szCs w:val="24"/>
        </w:rPr>
        <w:t>………………………………………………….</w:t>
      </w:r>
      <w:r w:rsidR="00DB73EA">
        <w:rPr>
          <w:rFonts w:ascii="Arial" w:hAnsi="Arial" w:cs="Arial"/>
          <w:sz w:val="24"/>
          <w:szCs w:val="24"/>
        </w:rPr>
        <w:t>6</w:t>
      </w:r>
      <w:r w:rsidRPr="00581F12">
        <w:rPr>
          <w:rFonts w:ascii="Arial" w:hAnsi="Arial" w:cs="Arial"/>
          <w:sz w:val="24"/>
          <w:szCs w:val="24"/>
        </w:rPr>
        <w:br/>
        <w:t>  Key Change Initiatives</w:t>
      </w:r>
      <w:r w:rsidRPr="00581F12">
        <w:rPr>
          <w:rFonts w:ascii="Arial" w:hAnsi="Arial" w:cs="Arial"/>
          <w:sz w:val="24"/>
          <w:szCs w:val="24"/>
        </w:rPr>
        <w:br/>
        <w:t>  Digital Transformation and Contactless Technology</w:t>
      </w:r>
      <w:r w:rsidRPr="00581F12">
        <w:rPr>
          <w:rFonts w:ascii="Arial" w:hAnsi="Arial" w:cs="Arial"/>
          <w:sz w:val="24"/>
          <w:szCs w:val="24"/>
        </w:rPr>
        <w:br/>
        <w:t>  Sustainability and Travel with Purpose 2030</w:t>
      </w:r>
      <w:r w:rsidRPr="00581F12">
        <w:rPr>
          <w:rFonts w:ascii="Arial" w:hAnsi="Arial" w:cs="Arial"/>
          <w:sz w:val="24"/>
          <w:szCs w:val="24"/>
        </w:rPr>
        <w:br/>
        <w:t>   Workplace Culture and Employee Engagement Enhancements</w:t>
      </w:r>
      <w:r w:rsidRPr="00581F12">
        <w:rPr>
          <w:rFonts w:ascii="Arial" w:hAnsi="Arial" w:cs="Arial"/>
          <w:sz w:val="24"/>
          <w:szCs w:val="24"/>
        </w:rPr>
        <w:br/>
        <w:t>  Effectiveness and Ongoing Challenges</w:t>
      </w:r>
    </w:p>
    <w:p w14:paraId="61C5FDDF" w14:textId="1B98F8ED" w:rsidR="003C0C29" w:rsidRPr="00581F12" w:rsidRDefault="003C0C29" w:rsidP="00581F12">
      <w:pPr>
        <w:numPr>
          <w:ilvl w:val="0"/>
          <w:numId w:val="1"/>
        </w:numPr>
        <w:spacing w:after="160" w:line="360" w:lineRule="auto"/>
        <w:rPr>
          <w:rFonts w:ascii="Arial" w:hAnsi="Arial" w:cs="Arial"/>
          <w:sz w:val="24"/>
          <w:szCs w:val="24"/>
        </w:rPr>
      </w:pPr>
      <w:r w:rsidRPr="00581F12">
        <w:rPr>
          <w:rFonts w:ascii="Arial" w:hAnsi="Arial" w:cs="Arial"/>
          <w:sz w:val="24"/>
          <w:szCs w:val="24"/>
        </w:rPr>
        <w:t>Overview of Hilton’s Strategic Direction</w:t>
      </w:r>
      <w:r w:rsidR="008D641A" w:rsidRPr="00581F12">
        <w:rPr>
          <w:rFonts w:ascii="Arial" w:hAnsi="Arial" w:cs="Arial"/>
          <w:sz w:val="24"/>
          <w:szCs w:val="24"/>
        </w:rPr>
        <w:t>………………………………….</w:t>
      </w:r>
      <w:r w:rsidR="00DB73EA">
        <w:rPr>
          <w:rFonts w:ascii="Arial" w:hAnsi="Arial" w:cs="Arial"/>
          <w:sz w:val="24"/>
          <w:szCs w:val="24"/>
        </w:rPr>
        <w:t>8</w:t>
      </w:r>
      <w:r w:rsidRPr="00581F12">
        <w:rPr>
          <w:rFonts w:ascii="Arial" w:hAnsi="Arial" w:cs="Arial"/>
          <w:sz w:val="24"/>
          <w:szCs w:val="24"/>
        </w:rPr>
        <w:br/>
        <w:t>  Global Expansion Strategy</w:t>
      </w:r>
      <w:r w:rsidRPr="00581F12">
        <w:rPr>
          <w:rFonts w:ascii="Arial" w:hAnsi="Arial" w:cs="Arial"/>
          <w:sz w:val="24"/>
          <w:szCs w:val="24"/>
        </w:rPr>
        <w:br/>
        <w:t xml:space="preserve">  Digital Innovation and </w:t>
      </w:r>
      <w:r w:rsidR="00C0531E" w:rsidRPr="00581F12">
        <w:rPr>
          <w:rFonts w:ascii="Arial" w:hAnsi="Arial" w:cs="Arial"/>
          <w:sz w:val="24"/>
          <w:szCs w:val="24"/>
        </w:rPr>
        <w:t>Personalization</w:t>
      </w:r>
      <w:r w:rsidRPr="00581F12">
        <w:rPr>
          <w:rFonts w:ascii="Arial" w:hAnsi="Arial" w:cs="Arial"/>
          <w:sz w:val="24"/>
          <w:szCs w:val="24"/>
        </w:rPr>
        <w:br/>
        <w:t>  Sustainability Strategy and ESG Goals</w:t>
      </w:r>
      <w:r w:rsidRPr="00581F12">
        <w:rPr>
          <w:rFonts w:ascii="Arial" w:hAnsi="Arial" w:cs="Arial"/>
          <w:sz w:val="24"/>
          <w:szCs w:val="24"/>
        </w:rPr>
        <w:br/>
        <w:t xml:space="preserve">  Workforce Development and </w:t>
      </w:r>
      <w:r w:rsidR="00C0531E" w:rsidRPr="00581F12">
        <w:rPr>
          <w:rFonts w:ascii="Arial" w:hAnsi="Arial" w:cs="Arial"/>
          <w:sz w:val="24"/>
          <w:szCs w:val="24"/>
        </w:rPr>
        <w:t>Organizational</w:t>
      </w:r>
      <w:r w:rsidRPr="00581F12">
        <w:rPr>
          <w:rFonts w:ascii="Arial" w:hAnsi="Arial" w:cs="Arial"/>
          <w:sz w:val="24"/>
          <w:szCs w:val="24"/>
        </w:rPr>
        <w:t xml:space="preserve"> Culture</w:t>
      </w:r>
      <w:r w:rsidRPr="00581F12">
        <w:rPr>
          <w:rFonts w:ascii="Arial" w:hAnsi="Arial" w:cs="Arial"/>
          <w:sz w:val="24"/>
          <w:szCs w:val="24"/>
        </w:rPr>
        <w:br/>
        <w:t>  Challenges and Future Considerations</w:t>
      </w:r>
    </w:p>
    <w:p w14:paraId="03A9490E" w14:textId="70C4FBA3" w:rsidR="003C0C29" w:rsidRPr="00581F12" w:rsidRDefault="003C0C29" w:rsidP="00581F12">
      <w:pPr>
        <w:numPr>
          <w:ilvl w:val="0"/>
          <w:numId w:val="1"/>
        </w:numPr>
        <w:spacing w:after="160" w:line="360" w:lineRule="auto"/>
        <w:rPr>
          <w:rFonts w:ascii="Arial" w:hAnsi="Arial" w:cs="Arial"/>
          <w:sz w:val="24"/>
          <w:szCs w:val="24"/>
        </w:rPr>
      </w:pPr>
      <w:r w:rsidRPr="00581F12">
        <w:rPr>
          <w:rFonts w:ascii="Arial" w:hAnsi="Arial" w:cs="Arial"/>
          <w:sz w:val="24"/>
          <w:szCs w:val="24"/>
        </w:rPr>
        <w:t>Conclusion and Recommendations</w:t>
      </w:r>
      <w:r w:rsidR="008D641A" w:rsidRPr="00581F12">
        <w:rPr>
          <w:rFonts w:ascii="Arial" w:hAnsi="Arial" w:cs="Arial"/>
          <w:sz w:val="24"/>
          <w:szCs w:val="24"/>
        </w:rPr>
        <w:t>…………………………………….</w:t>
      </w:r>
      <w:r w:rsidR="00A34A4E">
        <w:rPr>
          <w:rFonts w:ascii="Arial" w:hAnsi="Arial" w:cs="Arial"/>
          <w:sz w:val="24"/>
          <w:szCs w:val="24"/>
        </w:rPr>
        <w:t>10</w:t>
      </w:r>
      <w:r w:rsidRPr="00581F12">
        <w:rPr>
          <w:rFonts w:ascii="Arial" w:hAnsi="Arial" w:cs="Arial"/>
          <w:sz w:val="24"/>
          <w:szCs w:val="24"/>
        </w:rPr>
        <w:br/>
        <w:t>  Conclusion</w:t>
      </w:r>
      <w:r w:rsidRPr="00581F12">
        <w:rPr>
          <w:rFonts w:ascii="Arial" w:hAnsi="Arial" w:cs="Arial"/>
          <w:sz w:val="24"/>
          <w:szCs w:val="24"/>
        </w:rPr>
        <w:br/>
        <w:t>  Recommendations</w:t>
      </w:r>
      <w:r w:rsidRPr="00581F12">
        <w:rPr>
          <w:rFonts w:ascii="Arial" w:hAnsi="Arial" w:cs="Arial"/>
          <w:sz w:val="24"/>
          <w:szCs w:val="24"/>
        </w:rPr>
        <w:br/>
      </w:r>
    </w:p>
    <w:p w14:paraId="106446ED" w14:textId="77777777" w:rsidR="003C0C29" w:rsidRDefault="003C0C29" w:rsidP="003C0C29">
      <w:pPr>
        <w:rPr>
          <w:rFonts w:ascii="Arial" w:hAnsi="Arial" w:cs="Arial"/>
        </w:rPr>
      </w:pPr>
    </w:p>
    <w:p w14:paraId="7201A559" w14:textId="77777777" w:rsidR="003C0C29" w:rsidRDefault="003C0C29" w:rsidP="003C0C29">
      <w:pPr>
        <w:rPr>
          <w:rFonts w:ascii="Arial" w:hAnsi="Arial" w:cs="Arial"/>
        </w:rPr>
      </w:pPr>
    </w:p>
    <w:p w14:paraId="44312A76" w14:textId="77777777" w:rsidR="003C0C29" w:rsidRDefault="003C0C29" w:rsidP="003C0C29">
      <w:pPr>
        <w:rPr>
          <w:rFonts w:ascii="Arial" w:hAnsi="Arial" w:cs="Arial"/>
        </w:rPr>
      </w:pPr>
    </w:p>
    <w:p w14:paraId="2D36D6B2" w14:textId="77777777" w:rsidR="003C0C29" w:rsidRDefault="003C0C29" w:rsidP="003C0C29">
      <w:pPr>
        <w:rPr>
          <w:rFonts w:ascii="Arial" w:hAnsi="Arial" w:cs="Arial"/>
        </w:rPr>
      </w:pPr>
    </w:p>
    <w:p w14:paraId="2BD73EBC" w14:textId="77777777" w:rsidR="003C0C29" w:rsidRDefault="003C0C29" w:rsidP="003C0C29">
      <w:pPr>
        <w:rPr>
          <w:rFonts w:ascii="Arial" w:hAnsi="Arial" w:cs="Arial"/>
        </w:rPr>
      </w:pPr>
    </w:p>
    <w:p w14:paraId="6DFA0B25" w14:textId="77777777" w:rsidR="002E6925" w:rsidRDefault="002E6925" w:rsidP="003C0C29">
      <w:pPr>
        <w:rPr>
          <w:rFonts w:ascii="Arial" w:hAnsi="Arial" w:cs="Arial"/>
        </w:rPr>
      </w:pPr>
    </w:p>
    <w:p w14:paraId="2292FA66" w14:textId="39F4A43F"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1. Introduction</w:t>
      </w:r>
      <w:r w:rsidRPr="00FC50AF">
        <w:rPr>
          <w:rFonts w:ascii="Arial" w:eastAsia="Times New Roman" w:hAnsi="Arial" w:cs="Arial"/>
          <w:sz w:val="24"/>
          <w:szCs w:val="24"/>
          <w:lang w:val="en-GB" w:eastAsia="en-GB"/>
        </w:rPr>
        <w:br/>
        <w:t xml:space="preserve">As a flagship brand of Hilton Worldwide Holdings Inc., Hilton Hotels &amp; Resorts stands globally as a hospitality leader, with over 8,400 properties in 140 countries (Hilton, 2025). Founded in 1919 by Conrad Hilton, the organisation grew through a diverse portfolio catering to leisure and business markets and occupies a place in luxury to midscale segments (Mullins, 2023). The report will </w:t>
      </w:r>
      <w:proofErr w:type="spellStart"/>
      <w:r w:rsidRPr="00FC50AF">
        <w:rPr>
          <w:rFonts w:ascii="Arial" w:eastAsia="Times New Roman" w:hAnsi="Arial" w:cs="Arial"/>
          <w:sz w:val="24"/>
          <w:szCs w:val="24"/>
          <w:lang w:val="en-GB" w:eastAsia="en-GB"/>
        </w:rPr>
        <w:t>analyze</w:t>
      </w:r>
      <w:proofErr w:type="spellEnd"/>
      <w:r w:rsidRPr="00FC50AF">
        <w:rPr>
          <w:rFonts w:ascii="Arial" w:eastAsia="Times New Roman" w:hAnsi="Arial" w:cs="Arial"/>
          <w:sz w:val="24"/>
          <w:szCs w:val="24"/>
          <w:lang w:val="en-GB" w:eastAsia="en-GB"/>
        </w:rPr>
        <w:t xml:space="preserve"> Hilton's corporate structure, culture, goals, and corporate strategy, referencing some key frameworks in organisational behaviour (Huczynski &amp; Buchanan, 2019). It will end with recommendations built on sustaining Hilton's market status in comparison to some competitors, such as Marriott International and Hyatt Hotels. The analysis further explores how Hilton’s extensive brand portfolio and technological investments help it remain adaptive in an evolving global marketplace.</w:t>
      </w:r>
    </w:p>
    <w:p w14:paraId="7B9CF125"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2. Organisational Structure, Culture, and Goals</w:t>
      </w:r>
    </w:p>
    <w:p w14:paraId="4EDC0D54"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Organisational Structure</w:t>
      </w:r>
    </w:p>
    <w:p w14:paraId="6AF83724"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Roughly 90% of Hilton's properties follow a franchise or management contract, reflecting a decentralized model (Boddy, 2017). This approach enables rapid global expansion while limiting capital expenditure (Hilton, 2024). A centralized corporate leadership team, led by CEO Christopher J. </w:t>
      </w:r>
      <w:proofErr w:type="spellStart"/>
      <w:r w:rsidRPr="00FC50AF">
        <w:rPr>
          <w:rFonts w:ascii="Arial" w:eastAsia="Times New Roman" w:hAnsi="Arial" w:cs="Arial"/>
          <w:sz w:val="24"/>
          <w:szCs w:val="24"/>
          <w:lang w:val="en-GB" w:eastAsia="en-GB"/>
        </w:rPr>
        <w:t>Nassetta</w:t>
      </w:r>
      <w:proofErr w:type="spellEnd"/>
      <w:r w:rsidRPr="00FC50AF">
        <w:rPr>
          <w:rFonts w:ascii="Arial" w:eastAsia="Times New Roman" w:hAnsi="Arial" w:cs="Arial"/>
          <w:sz w:val="24"/>
          <w:szCs w:val="24"/>
          <w:lang w:val="en-GB" w:eastAsia="en-GB"/>
        </w:rPr>
        <w:t>, sets overarching objectives, while regional divisions (Americas, EMEA, APAC) adapt these goals to local market demands (Huczynski &amp; Buchanan, 2019). Although maintaining uniform brand standards is complex, this structure grants the flexibility to respond quickly to local consumer trends.</w:t>
      </w:r>
    </w:p>
    <w:p w14:paraId="4F6841EF"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At the hotel level, Hilton usually employs a functional structure, with department heads—front office, housekeeping, food and beverages, and finance—reporting to their respective functional managers (Mullins, 2019). Compared to Marriott’s more uniform global structure, Hilton’s decentralized model can introduce variability in service delivery, yet it encourages agility and local customization (Buchanan &amp; Huczynski, 2007).</w:t>
      </w:r>
    </w:p>
    <w:p w14:paraId="6DB6505A"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Corporate Culture</w:t>
      </w:r>
    </w:p>
    <w:p w14:paraId="0635876F"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Cameron and Quinn’s clan culture typology aligns with Hilton’s emphasis on collaboration, well-being, and superior service (Cameron &amp; Quinn, 2011). Core values like Hospitality, Integrity, Leadership, Teamwork, Ownership, and Now are operationalized through initiatives such as the Hilton Honors loyalty program (Hilton, 2025). Recognition and reward systems reinforce Herzberg’s motivators (Mullins &amp; Dosser, 2013), evidenced by Team Member Appreciation Week and The Heart of House Programme.</w:t>
      </w:r>
    </w:p>
    <w:p w14:paraId="4E994ED1" w14:textId="02FC0C3C"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Despite industry-wide </w:t>
      </w:r>
      <w:r w:rsidRPr="00FC50AF">
        <w:rPr>
          <w:rFonts w:ascii="Arial" w:eastAsia="Times New Roman" w:hAnsi="Arial" w:cs="Arial"/>
          <w:sz w:val="24"/>
          <w:szCs w:val="24"/>
          <w:lang w:val="en-GB" w:eastAsia="en-GB"/>
        </w:rPr>
        <w:t>labour</w:t>
      </w:r>
      <w:r w:rsidRPr="00FC50AF">
        <w:rPr>
          <w:rFonts w:ascii="Arial" w:eastAsia="Times New Roman" w:hAnsi="Arial" w:cs="Arial"/>
          <w:sz w:val="24"/>
          <w:szCs w:val="24"/>
          <w:lang w:val="en-GB" w:eastAsia="en-GB"/>
        </w:rPr>
        <w:t xml:space="preserve"> shortages, Hilton retains high rankings in workplace awards (Hilton, 2024), reflecting steady investment in training and retention (Armstrong, 2012). For franchise properties to mirror this culture, Hilton supplies standardized guidelines and ongoing mentorship. This holistic approach ensures staff at every property align with corporate values, reinforcing a sense of unity across the brand’s diverse geographic footprint.</w:t>
      </w:r>
    </w:p>
    <w:p w14:paraId="6A71892E"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Organizational Goals</w:t>
      </w:r>
    </w:p>
    <w:p w14:paraId="003816F2" w14:textId="3C354DEE"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Hilton’s Travel with Purpose 2030 framework outlines targets that include slashing carbon emissions, reducing single-use plastics, and adopting sustainable sourcing methods (Hilton, 2025). Franchise properties continue to face unique hurdles in meeting these standards (Adair, 2009). Financial benchmarks such as RevPAR and Guest Satisfaction Scores remain critical at the local level (Hilton, 2024). By intertwining sustainability aims with traditional financial performance indicators, Hilton incentivizes properties worldwide to uphold both profitability and stewardship.</w:t>
      </w:r>
    </w:p>
    <w:p w14:paraId="02D4E882"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3. Recent Change Initiatives</w:t>
      </w:r>
    </w:p>
    <w:p w14:paraId="3CE8653F"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Key Change Initiatives</w:t>
      </w:r>
    </w:p>
    <w:p w14:paraId="3A80F592"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To stay competitive and address evolving stakeholder expectations, Hilton has pursued three primary change initiatives:</w:t>
      </w:r>
    </w:p>
    <w:p w14:paraId="0059B7D6" w14:textId="77777777" w:rsidR="00FC50AF" w:rsidRPr="00FC50AF" w:rsidRDefault="00FC50AF" w:rsidP="00FC50AF">
      <w:pPr>
        <w:numPr>
          <w:ilvl w:val="0"/>
          <w:numId w:val="11"/>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Digital Transformation &amp; Contactless Technologies</w:t>
      </w:r>
    </w:p>
    <w:p w14:paraId="0CEE3F66" w14:textId="77777777" w:rsidR="00FC50AF" w:rsidRPr="00FC50AF" w:rsidRDefault="00FC50AF" w:rsidP="00FC50AF">
      <w:pPr>
        <w:numPr>
          <w:ilvl w:val="0"/>
          <w:numId w:val="11"/>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Sustainability &amp; Travel with Purpose 2030</w:t>
      </w:r>
    </w:p>
    <w:p w14:paraId="2B02D771" w14:textId="77777777" w:rsidR="00FC50AF" w:rsidRPr="00FC50AF" w:rsidRDefault="00FC50AF" w:rsidP="00FC50AF">
      <w:pPr>
        <w:numPr>
          <w:ilvl w:val="0"/>
          <w:numId w:val="11"/>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Workplace Culture and Employee Engagement Enhancements</w:t>
      </w:r>
    </w:p>
    <w:p w14:paraId="270FD26D"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Collectively, these initiatives have sharpened Hilton’s brand positioning, operational methods, and guest interactions (Hilton, 2024).</w:t>
      </w:r>
    </w:p>
    <w:p w14:paraId="250855A9"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Digital Transformation and Contactless Technology</w:t>
      </w:r>
    </w:p>
    <w:p w14:paraId="4BCAFD1D" w14:textId="58D16192"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Hilton’s digital transformation </w:t>
      </w:r>
      <w:r>
        <w:rPr>
          <w:rFonts w:ascii="Arial" w:eastAsia="Times New Roman" w:hAnsi="Arial" w:cs="Arial"/>
          <w:sz w:val="24"/>
          <w:szCs w:val="24"/>
          <w:lang w:val="en-GB" w:eastAsia="en-GB"/>
        </w:rPr>
        <w:t>focused</w:t>
      </w:r>
      <w:r w:rsidRPr="00FC50AF">
        <w:rPr>
          <w:rFonts w:ascii="Arial" w:eastAsia="Times New Roman" w:hAnsi="Arial" w:cs="Arial"/>
          <w:sz w:val="24"/>
          <w:szCs w:val="24"/>
          <w:lang w:val="en-GB" w:eastAsia="en-GB"/>
        </w:rPr>
        <w:t xml:space="preserve"> on the Hilton Honors Application, offering mobile booking, digital check-in, room selection, and Digital Key features (Hilton, 2025). This aligns with Kotter’s Eight-Step Model, demonstrating urgency for technological adaptation and rallying global properties behind a unified vision (Kotter, 1996). Over 80% of Hilton sites utilize Digital Key, quickening check-in and boosting guest convenience (Huczynski &amp; Buchanan, 2019).</w:t>
      </w:r>
    </w:p>
    <w:p w14:paraId="455D1305"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Though Hilton leads Marriott and IHG in mobile tech, Hyatt’s AI-based room service implies further expansion opportunities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 Meanwhile, reliance on digital platforms elevates cybersecurity risks, driving investments in AI-based fraud detection (Boddy, 2017). A next step could see Hilton unify reservations, loyalty data, and property services to build a fully integrated guest experience, potentially leveraging predictive analytics for personalized offers.</w:t>
      </w:r>
    </w:p>
    <w:p w14:paraId="1EAF81EE"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Sustainability and Travel with Purpose 2030</w:t>
      </w:r>
    </w:p>
    <w:p w14:paraId="4E185C81"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Hilton’s green initiatives embrace carbon reductions, elimination of plastic waste, and support for responsible sourcing (Hilton, 2025). Aligned with the Triple Bottom Line (Elkington, 1998), the company strives to balance profit with social and environmental responsibilities. While major chains like Accor and Marriott also enact robust ESG policies, Hilton focuses on differentiating itself through measurable targets and consistent reporting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w:t>
      </w:r>
    </w:p>
    <w:p w14:paraId="17A1A0ED"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Franchise compliance remains essential yet challenging, as owners may vary in resources or understanding of sustainable best practices (Mullins, 2023). Tools like </w:t>
      </w:r>
      <w:proofErr w:type="spellStart"/>
      <w:r w:rsidRPr="00FC50AF">
        <w:rPr>
          <w:rFonts w:ascii="Arial" w:eastAsia="Times New Roman" w:hAnsi="Arial" w:cs="Arial"/>
          <w:sz w:val="24"/>
          <w:szCs w:val="24"/>
          <w:lang w:val="en-GB" w:eastAsia="en-GB"/>
        </w:rPr>
        <w:t>LightStay</w:t>
      </w:r>
      <w:proofErr w:type="spellEnd"/>
      <w:r w:rsidRPr="00FC50AF">
        <w:rPr>
          <w:rFonts w:ascii="Arial" w:eastAsia="Times New Roman" w:hAnsi="Arial" w:cs="Arial"/>
          <w:sz w:val="24"/>
          <w:szCs w:val="24"/>
          <w:lang w:val="en-GB" w:eastAsia="en-GB"/>
        </w:rPr>
        <w:t>, Hilton’s in-house sustainability management platform, can help monitor key performance indicators, but consistent training and audits remain vital to scale eco-friendly measures across the brand’s global footprint.</w:t>
      </w:r>
    </w:p>
    <w:p w14:paraId="2EA75254"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Workplace Culture and Employee Engagement Enhancements</w:t>
      </w:r>
    </w:p>
    <w:p w14:paraId="640E3D20"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Hilton regularly features on top-employer lists, supported by </w:t>
      </w:r>
      <w:proofErr w:type="spellStart"/>
      <w:r w:rsidRPr="00FC50AF">
        <w:rPr>
          <w:rFonts w:ascii="Arial" w:eastAsia="Times New Roman" w:hAnsi="Arial" w:cs="Arial"/>
          <w:sz w:val="24"/>
          <w:szCs w:val="24"/>
          <w:lang w:val="en-GB" w:eastAsia="en-GB"/>
        </w:rPr>
        <w:t>Thrive@Hilton’s</w:t>
      </w:r>
      <w:proofErr w:type="spellEnd"/>
      <w:r w:rsidRPr="00FC50AF">
        <w:rPr>
          <w:rFonts w:ascii="Arial" w:eastAsia="Times New Roman" w:hAnsi="Arial" w:cs="Arial"/>
          <w:sz w:val="24"/>
          <w:szCs w:val="24"/>
          <w:lang w:val="en-GB" w:eastAsia="en-GB"/>
        </w:rPr>
        <w:t xml:space="preserve"> emphasis on work-life balance, mental wellness, and career development (Bybee, 2022). D&amp;I programs, including Women in Leadership and regional Diversity Councils, cultivate broad-based inclusion (Hilton, 2025). Such efforts resonate with Maslow’s higher-level needs (Maslow, 1943), encouraging personal and professional growth across the workforce.</w:t>
      </w:r>
    </w:p>
    <w:p w14:paraId="114BE1F3" w14:textId="7ECE2024"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Hospitality </w:t>
      </w:r>
      <w:r w:rsidRPr="00FC50AF">
        <w:rPr>
          <w:rFonts w:ascii="Arial" w:eastAsia="Times New Roman" w:hAnsi="Arial" w:cs="Arial"/>
          <w:sz w:val="24"/>
          <w:szCs w:val="24"/>
          <w:lang w:val="en-GB" w:eastAsia="en-GB"/>
        </w:rPr>
        <w:t>labour</w:t>
      </w:r>
      <w:r w:rsidRPr="00FC50AF">
        <w:rPr>
          <w:rFonts w:ascii="Arial" w:eastAsia="Times New Roman" w:hAnsi="Arial" w:cs="Arial"/>
          <w:sz w:val="24"/>
          <w:szCs w:val="24"/>
          <w:lang w:val="en-GB" w:eastAsia="en-GB"/>
        </w:rPr>
        <w:t xml:space="preserve"> shortages persist, highlighting the need for AI-driven recruitment and workforce planning (Mullins, 2019). By developing comprehensive onboarding structures and continuous learning, Hilton aims to lower turnover and ensure consistent service standards. This holistic approach is particularly important in a franchise-heavy model, where aligning diverse property owners and staff can be an ongoing process.</w:t>
      </w:r>
    </w:p>
    <w:p w14:paraId="2727DB48"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Effectiveness and Ongoing Challenges</w:t>
      </w:r>
    </w:p>
    <w:p w14:paraId="7F8BB0A4" w14:textId="62FAA2AC"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Digital transformation, sustainability, and culture-building efforts have strengthened Hilton’s brand equity and operational resilience (Hilton, 2024). Yet franchise oversight, shifting </w:t>
      </w:r>
      <w:r>
        <w:rPr>
          <w:rFonts w:ascii="Arial" w:eastAsia="Times New Roman" w:hAnsi="Arial" w:cs="Arial"/>
          <w:sz w:val="24"/>
          <w:szCs w:val="24"/>
          <w:lang w:val="en-GB" w:eastAsia="en-GB"/>
        </w:rPr>
        <w:t>guest</w:t>
      </w:r>
      <w:r w:rsidRPr="00FC50AF">
        <w:rPr>
          <w:rFonts w:ascii="Arial" w:eastAsia="Times New Roman" w:hAnsi="Arial" w:cs="Arial"/>
          <w:sz w:val="24"/>
          <w:szCs w:val="24"/>
          <w:lang w:val="en-GB" w:eastAsia="en-GB"/>
        </w:rPr>
        <w:t xml:space="preserve"> expectations, and global economic instability pose enduring challenges (Armstrong, 2021). Hilton’s adoption of Lewin’s Change Management Model—Unfreeze, Change, </w:t>
      </w:r>
      <w:r w:rsidRPr="00FC50AF">
        <w:rPr>
          <w:rFonts w:ascii="Arial" w:eastAsia="Times New Roman" w:hAnsi="Arial" w:cs="Arial"/>
          <w:sz w:val="24"/>
          <w:szCs w:val="24"/>
          <w:lang w:val="en-GB" w:eastAsia="en-GB"/>
        </w:rPr>
        <w:t>refreeze</w:t>
      </w:r>
      <w:r w:rsidRPr="00FC50AF">
        <w:rPr>
          <w:rFonts w:ascii="Arial" w:eastAsia="Times New Roman" w:hAnsi="Arial" w:cs="Arial"/>
          <w:sz w:val="24"/>
          <w:szCs w:val="24"/>
          <w:lang w:val="en-GB" w:eastAsia="en-GB"/>
        </w:rPr>
        <w:t>—can embed these improvements within everyday operations (Lewin, 1947). Transparent communication channels, well-publicized milestones, and regular progress evaluations support sustained momentum.</w:t>
      </w:r>
    </w:p>
    <w:p w14:paraId="2D047ACA"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4. Overview of Hilton’s Strategic Direction</w:t>
      </w:r>
    </w:p>
    <w:p w14:paraId="1FE770ED"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Global Expansion Strategy</w:t>
      </w:r>
    </w:p>
    <w:p w14:paraId="0CE3E9E6"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Hilton’s expansion targets high-growth territories such as China, India, and parts of the Middle East and Africa (Hilton, 2025). Market development is pursued via joint ventures and local partnerships, reflecting Ansoff’s Matrix principles (Ansoff, 1957). While this strategy taps new revenue streams, geopolitical and cultural nuances require robust contingency plans (Mullins, 2023). Brand diversification—from luxury properties like </w:t>
      </w:r>
      <w:r w:rsidRPr="00FC50AF">
        <w:rPr>
          <w:rFonts w:ascii="Arial" w:eastAsia="Times New Roman" w:hAnsi="Arial" w:cs="Arial"/>
          <w:sz w:val="24"/>
          <w:szCs w:val="24"/>
          <w:lang w:val="en-GB" w:eastAsia="en-GB"/>
        </w:rPr>
        <w:lastRenderedPageBreak/>
        <w:t>Conrad and Waldorf Astoria to focused-service brands like Hampton by Hilton—enables wide-ranging market penetration.</w:t>
      </w:r>
    </w:p>
    <w:p w14:paraId="1E90E011"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Digital Innovation and Personalisation</w:t>
      </w:r>
    </w:p>
    <w:p w14:paraId="36F0B8E7" w14:textId="714898CB"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Hilton employs a digital-first mindset, underpinned by the Hilton Honors App and Connected Room technology (Hilton, 2024). Such capabilities bolster the Resource-Based View, wherein proprietary systems can form a sustainable competitive edge (Barney, 1991). By harnessing guest data, Hilton </w:t>
      </w:r>
      <w:r>
        <w:rPr>
          <w:rFonts w:ascii="Arial" w:eastAsia="Times New Roman" w:hAnsi="Arial" w:cs="Arial"/>
          <w:sz w:val="24"/>
          <w:szCs w:val="24"/>
          <w:lang w:val="en-GB" w:eastAsia="en-GB"/>
        </w:rPr>
        <w:t>made</w:t>
      </w:r>
      <w:r w:rsidRPr="00FC50AF">
        <w:rPr>
          <w:rFonts w:ascii="Arial" w:eastAsia="Times New Roman" w:hAnsi="Arial" w:cs="Arial"/>
          <w:sz w:val="24"/>
          <w:szCs w:val="24"/>
          <w:lang w:val="en-GB" w:eastAsia="en-GB"/>
        </w:rPr>
        <w:t xml:space="preserve"> promotions and services to individual preferences. Although Hyatt and Accor utilize AI-powered chatbots, Hilton’s edge in user-friendly app experiences can reinforce customer loyalty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xml:space="preserve">, 2024). Future </w:t>
      </w:r>
      <w:r w:rsidRPr="00FC50AF">
        <w:rPr>
          <w:rFonts w:ascii="Arial" w:eastAsia="Times New Roman" w:hAnsi="Arial" w:cs="Arial"/>
          <w:sz w:val="24"/>
          <w:szCs w:val="24"/>
          <w:lang w:val="en-GB" w:eastAsia="en-GB"/>
        </w:rPr>
        <w:t>endeavours</w:t>
      </w:r>
      <w:r w:rsidRPr="00FC50AF">
        <w:rPr>
          <w:rFonts w:ascii="Arial" w:eastAsia="Times New Roman" w:hAnsi="Arial" w:cs="Arial"/>
          <w:sz w:val="24"/>
          <w:szCs w:val="24"/>
          <w:lang w:val="en-GB" w:eastAsia="en-GB"/>
        </w:rPr>
        <w:t xml:space="preserve"> may include augmented reality tours and advanced analytics to further personalize each guest’s journey.</w:t>
      </w:r>
    </w:p>
    <w:p w14:paraId="4BF24FC2"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Sustainability Strategy and ESG Goals</w:t>
      </w:r>
    </w:p>
    <w:p w14:paraId="29EA9726"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Hilton’s Travel with Purpose 2030 Roadmap showcases Stakeholder Theory in action, emphasizing carbon and water reduction, ethical sourcing, and community engagement (Freeman, 1984; Hilton, 2025). As more consumers and investors demand ESG accountability, sustainability stands as a core organizational priority (Mullins, 2019). Marriott and Accor continue to step up their eco-focused efforts, urging Hilton to maintain demonstrable leadership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 Transparent reporting and partnerships with NGO experts bolster Hilton’s credibility, differentiating the brand in a crowded marketplace.</w:t>
      </w:r>
    </w:p>
    <w:p w14:paraId="27B56632"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Workforce Development and Organisational Culture</w:t>
      </w:r>
    </w:p>
    <w:p w14:paraId="751E5A63" w14:textId="325D4103"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Hilton’s investment in leadership programs, diversity initiatives, and flexible work arrangements aims to deepen employee engagement and satisfaction (Armstrong, 2021; Bybee, 2022). Nonetheless, </w:t>
      </w:r>
      <w:r w:rsidRPr="00FC50AF">
        <w:rPr>
          <w:rFonts w:ascii="Arial" w:eastAsia="Times New Roman" w:hAnsi="Arial" w:cs="Arial"/>
          <w:sz w:val="24"/>
          <w:szCs w:val="24"/>
          <w:lang w:val="en-GB" w:eastAsia="en-GB"/>
        </w:rPr>
        <w:t>labour</w:t>
      </w:r>
      <w:r w:rsidRPr="00FC50AF">
        <w:rPr>
          <w:rFonts w:ascii="Arial" w:eastAsia="Times New Roman" w:hAnsi="Arial" w:cs="Arial"/>
          <w:sz w:val="24"/>
          <w:szCs w:val="24"/>
          <w:lang w:val="en-GB" w:eastAsia="en-GB"/>
        </w:rPr>
        <w:t xml:space="preserve"> shortfalls and high turnover rates necessitate strategic automation. Partnerships with hospitality schools and technical academies can feed a recruitment pipeline, while cross-functional rotations build versatile skill sets (Mullins, 2019). Harnessing these measures can help Hilton maintain its service quality despite fluid </w:t>
      </w:r>
      <w:r w:rsidRPr="00FC50AF">
        <w:rPr>
          <w:rFonts w:ascii="Arial" w:eastAsia="Times New Roman" w:hAnsi="Arial" w:cs="Arial"/>
          <w:sz w:val="24"/>
          <w:szCs w:val="24"/>
          <w:lang w:val="en-GB" w:eastAsia="en-GB"/>
        </w:rPr>
        <w:t>labour</w:t>
      </w:r>
      <w:r w:rsidRPr="00FC50AF">
        <w:rPr>
          <w:rFonts w:ascii="Arial" w:eastAsia="Times New Roman" w:hAnsi="Arial" w:cs="Arial"/>
          <w:sz w:val="24"/>
          <w:szCs w:val="24"/>
          <w:lang w:val="en-GB" w:eastAsia="en-GB"/>
        </w:rPr>
        <w:t xml:space="preserve"> conditions.</w:t>
      </w:r>
    </w:p>
    <w:p w14:paraId="287E7A15"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Challenges and Future Considerations</w:t>
      </w:r>
    </w:p>
    <w:p w14:paraId="171E43AF"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Hilton’s strategic blueprint addresses expansion, tech innovation, sustainability, and workforce engagement (Hilton, 2024), yet:</w:t>
      </w:r>
    </w:p>
    <w:p w14:paraId="7F17520F" w14:textId="77777777" w:rsidR="00FC50AF" w:rsidRPr="00FC50AF" w:rsidRDefault="00FC50AF" w:rsidP="00FC50AF">
      <w:pPr>
        <w:numPr>
          <w:ilvl w:val="0"/>
          <w:numId w:val="12"/>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Economic Instability: Currency fluctuations and inflation can dampen travel demand (Mullins, 2023).</w:t>
      </w:r>
    </w:p>
    <w:p w14:paraId="3CB40036" w14:textId="77777777" w:rsidR="00FC50AF" w:rsidRPr="00FC50AF" w:rsidRDefault="00FC50AF" w:rsidP="00FC50AF">
      <w:pPr>
        <w:numPr>
          <w:ilvl w:val="0"/>
          <w:numId w:val="12"/>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Competitive Pressures: Rival hoteliers invest heavily in AI, ESG, and global footprints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w:t>
      </w:r>
    </w:p>
    <w:p w14:paraId="6078EDB5" w14:textId="77777777" w:rsidR="00FC50AF" w:rsidRPr="00FC50AF" w:rsidRDefault="00FC50AF" w:rsidP="00FC50AF">
      <w:pPr>
        <w:numPr>
          <w:ilvl w:val="0"/>
          <w:numId w:val="12"/>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Franchise Compliance: Varied ownership structures complicate consistency (Hilton, 2024).</w:t>
      </w:r>
    </w:p>
    <w:p w14:paraId="4497D434" w14:textId="4AD888C3"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Navigating public health events, like pandemics, also remains a concern. Careful scenario planning, agile marketing, and efficient operational processes can minimize disruptions. Maintaining robust franchise guidelines backed by ongoing support ensures that brand values endure across global properties. Indeed, the ability to pivot quickly—such as deploying contactless services during crises—demonstrates Hilton’s resilience and fosters trust among both guests and franchise partners.</w:t>
      </w:r>
    </w:p>
    <w:p w14:paraId="0FB4B0C0"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5. Conclusion</w:t>
      </w:r>
    </w:p>
    <w:p w14:paraId="21ED71C5"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Macroeconomic instability, fierce competition, and workforce shortages will remain challenges for Hilton. Refining franchise oversight, increasing technological investments, and cultivating advanced human resource practices are crucial for sustaining Hilton’s industry leadership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 Leveraging its decentralized organizational model, global brand presence, and established cultural ethos, Hilton is well-positioned to maintain momentum in evolving markets (Hilton, 2024).</w:t>
      </w:r>
    </w:p>
    <w:p w14:paraId="2D325900"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 xml:space="preserve">While decentralized structures can invite inconsistencies, Hilton’s consistent emphasis on shared values and common operational standards has forged a cohesive brand identity (Mullins, 2023). The Travel with Purpose 2030 framework underscores a profound commitment to sustainability, resonating with emerging consumer and investor </w:t>
      </w:r>
      <w:r w:rsidRPr="00FC50AF">
        <w:rPr>
          <w:rFonts w:ascii="Arial" w:eastAsia="Times New Roman" w:hAnsi="Arial" w:cs="Arial"/>
          <w:sz w:val="24"/>
          <w:szCs w:val="24"/>
          <w:lang w:val="en-GB" w:eastAsia="en-GB"/>
        </w:rPr>
        <w:lastRenderedPageBreak/>
        <w:t>expectations (Elkington, 1998). Balancing profitability with ethical considerations will define Hilton’s capacity to remain relevant in the coming decades.</w:t>
      </w:r>
    </w:p>
    <w:p w14:paraId="7F8D24F2"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As travel preferences shift toward unique, eco-friendly, and tech-enhanced experiences, Hilton’s initiatives in digital personalization, loyalty rewards, and local partnerships set the stage for continued success. Leadership development programs that broaden skill sets and strengthen corporate culture will be equally vital for long-term resilience. Through proactive planning, strategic alliances, and adaptive operations, Hilton appears poised to navigate changing market landscapes while preserving its core promise of exceptional hospitality.</w:t>
      </w:r>
    </w:p>
    <w:p w14:paraId="64CF50D9"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Further Competitor Comparisons</w:t>
      </w:r>
    </w:p>
    <w:p w14:paraId="1C6882C7" w14:textId="52664149"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While Marriott remains Hilton’s closest rival in terms of scale, Hyatt’s rapid growth in AI-driven services highlights the competitive importance of continuous tech upgrades. Accor’s broad brand portfolio in Europe and Asia adds another layer of rivalry, especially as the global travel market recovers. Hilton’s success against these competitors will hinge on seamless integration of technology, robust franchise governance, and transparent sustainability reporting. By learning from peers’ best practices—such as Accor’s advanced loyalty segmentation or Marriott’s global marketing prowess—Hilton can refine its own processes and maintain a leadership position.</w:t>
      </w:r>
    </w:p>
    <w:p w14:paraId="706DD44C"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Recommendations</w:t>
      </w:r>
    </w:p>
    <w:p w14:paraId="40766531"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a. Strengthen Digital Transformation</w:t>
      </w:r>
    </w:p>
    <w:p w14:paraId="1914CCC3" w14:textId="77777777" w:rsidR="00FC50AF" w:rsidRPr="00FC50AF" w:rsidRDefault="00FC50AF" w:rsidP="00FC50AF">
      <w:pPr>
        <w:numPr>
          <w:ilvl w:val="0"/>
          <w:numId w:val="13"/>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Expand AI-enabled analytics for personalized guest interactions</w:t>
      </w:r>
    </w:p>
    <w:p w14:paraId="4E002503" w14:textId="77777777" w:rsidR="00FC50AF" w:rsidRPr="00FC50AF" w:rsidRDefault="00FC50AF" w:rsidP="00FC50AF">
      <w:pPr>
        <w:numPr>
          <w:ilvl w:val="0"/>
          <w:numId w:val="13"/>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Develop AI-driven chatbots to support round-the-clock inquiries</w:t>
      </w:r>
    </w:p>
    <w:p w14:paraId="7698CB90" w14:textId="77777777" w:rsidR="00FC50AF" w:rsidRPr="00FC50AF" w:rsidRDefault="00FC50AF" w:rsidP="00FC50AF">
      <w:pPr>
        <w:numPr>
          <w:ilvl w:val="0"/>
          <w:numId w:val="13"/>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Bolster cybersecurity measures to protect guest data (Boddy, 2017)</w:t>
      </w:r>
    </w:p>
    <w:p w14:paraId="5EC64D98"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b. Expand at a Local Scale Globally</w:t>
      </w:r>
    </w:p>
    <w:p w14:paraId="789BAAD7" w14:textId="77777777" w:rsidR="00FC50AF" w:rsidRPr="00FC50AF" w:rsidRDefault="00FC50AF" w:rsidP="00FC50AF">
      <w:pPr>
        <w:numPr>
          <w:ilvl w:val="0"/>
          <w:numId w:val="14"/>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Forge alliances with regional stakeholders for culturally appropriate service</w:t>
      </w:r>
    </w:p>
    <w:p w14:paraId="06F5E628" w14:textId="77777777" w:rsidR="00FC50AF" w:rsidRPr="00FC50AF" w:rsidRDefault="00FC50AF" w:rsidP="00FC50AF">
      <w:pPr>
        <w:numPr>
          <w:ilvl w:val="0"/>
          <w:numId w:val="14"/>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lastRenderedPageBreak/>
        <w:t>Deploy tiered pricing models reflecting local economic conditions (Hilton, 2025)</w:t>
      </w:r>
    </w:p>
    <w:p w14:paraId="228B3D50" w14:textId="77777777" w:rsidR="00FC50AF" w:rsidRPr="00FC50AF" w:rsidRDefault="00FC50AF" w:rsidP="00FC50AF">
      <w:pPr>
        <w:numPr>
          <w:ilvl w:val="0"/>
          <w:numId w:val="14"/>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Enhance risk management frameworks to address geopolitical and economic uncertainties (Mullins, 2023)</w:t>
      </w:r>
    </w:p>
    <w:p w14:paraId="52BBE30E"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c. Improve Compliance and Standards Within Franchising</w:t>
      </w:r>
    </w:p>
    <w:p w14:paraId="0D026462" w14:textId="77777777" w:rsidR="00FC50AF" w:rsidRPr="00FC50AF" w:rsidRDefault="00FC50AF" w:rsidP="00FC50AF">
      <w:pPr>
        <w:numPr>
          <w:ilvl w:val="0"/>
          <w:numId w:val="15"/>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Link franchise fees to meeting sustainability and tech benchmarks</w:t>
      </w:r>
    </w:p>
    <w:p w14:paraId="2FD1C457" w14:textId="77777777" w:rsidR="00FC50AF" w:rsidRPr="00FC50AF" w:rsidRDefault="00FC50AF" w:rsidP="00FC50AF">
      <w:pPr>
        <w:numPr>
          <w:ilvl w:val="0"/>
          <w:numId w:val="15"/>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Provide regular property audits and structured training (Armstrong, 2021)</w:t>
      </w:r>
    </w:p>
    <w:p w14:paraId="1D66150D" w14:textId="77777777" w:rsidR="00FC50AF" w:rsidRPr="00FC50AF" w:rsidRDefault="00FC50AF" w:rsidP="00FC50AF">
      <w:pPr>
        <w:numPr>
          <w:ilvl w:val="0"/>
          <w:numId w:val="15"/>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Incentivize standard adoption through performance-based bonuses (Adair, 2009)</w:t>
      </w:r>
    </w:p>
    <w:p w14:paraId="70424639"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d. Counter Workforce Shortages with Automation and Development</w:t>
      </w:r>
    </w:p>
    <w:p w14:paraId="398CE2E2" w14:textId="77777777" w:rsidR="00FC50AF" w:rsidRPr="00FC50AF" w:rsidRDefault="00FC50AF" w:rsidP="00FC50AF">
      <w:pPr>
        <w:numPr>
          <w:ilvl w:val="0"/>
          <w:numId w:val="16"/>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Automate repetitive tasks in housekeeping and front-desk functions</w:t>
      </w:r>
    </w:p>
    <w:p w14:paraId="6CE8BA69" w14:textId="77777777" w:rsidR="00FC50AF" w:rsidRPr="00FC50AF" w:rsidRDefault="00FC50AF" w:rsidP="00FC50AF">
      <w:pPr>
        <w:numPr>
          <w:ilvl w:val="0"/>
          <w:numId w:val="16"/>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Implement AI-based workforce forecasting (</w:t>
      </w:r>
      <w:proofErr w:type="spellStart"/>
      <w:r w:rsidRPr="00FC50AF">
        <w:rPr>
          <w:rFonts w:ascii="Arial" w:eastAsia="Times New Roman" w:hAnsi="Arial" w:cs="Arial"/>
          <w:sz w:val="24"/>
          <w:szCs w:val="24"/>
          <w:lang w:val="en-GB" w:eastAsia="en-GB"/>
        </w:rPr>
        <w:t>PitchGrade</w:t>
      </w:r>
      <w:proofErr w:type="spellEnd"/>
      <w:r w:rsidRPr="00FC50AF">
        <w:rPr>
          <w:rFonts w:ascii="Arial" w:eastAsia="Times New Roman" w:hAnsi="Arial" w:cs="Arial"/>
          <w:sz w:val="24"/>
          <w:szCs w:val="24"/>
          <w:lang w:val="en-GB" w:eastAsia="en-GB"/>
        </w:rPr>
        <w:t>, 2024)</w:t>
      </w:r>
    </w:p>
    <w:p w14:paraId="374444D5" w14:textId="77777777" w:rsidR="00FC50AF" w:rsidRPr="00FC50AF" w:rsidRDefault="00FC50AF" w:rsidP="00FC50AF">
      <w:pPr>
        <w:numPr>
          <w:ilvl w:val="0"/>
          <w:numId w:val="16"/>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Foster robust career progression paths to improve retention (Bybee, 2022)</w:t>
      </w:r>
    </w:p>
    <w:p w14:paraId="51116E6D"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e. Strengthen Sustainability and ESG Programs</w:t>
      </w:r>
    </w:p>
    <w:p w14:paraId="24C63DA4" w14:textId="77777777" w:rsidR="00FC50AF" w:rsidRPr="00FC50AF" w:rsidRDefault="00FC50AF" w:rsidP="00FC50AF">
      <w:pPr>
        <w:numPr>
          <w:ilvl w:val="0"/>
          <w:numId w:val="17"/>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Invest in renewable energy sources across managed and franchised hotels</w:t>
      </w:r>
    </w:p>
    <w:p w14:paraId="64378196" w14:textId="77777777" w:rsidR="00FC50AF" w:rsidRPr="00FC50AF" w:rsidRDefault="00FC50AF" w:rsidP="00FC50AF">
      <w:pPr>
        <w:numPr>
          <w:ilvl w:val="0"/>
          <w:numId w:val="17"/>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Offer guests carbon-offset or eco-friendly travel packages (Freeman, 1984)</w:t>
      </w:r>
    </w:p>
    <w:p w14:paraId="40733C7F" w14:textId="77777777" w:rsidR="00FC50AF" w:rsidRPr="00FC50AF" w:rsidRDefault="00FC50AF" w:rsidP="00FC50AF">
      <w:pPr>
        <w:numPr>
          <w:ilvl w:val="0"/>
          <w:numId w:val="17"/>
        </w:num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Introduce bulk dispensers and biodegradable materials brand-wide (Hilton, 2025)</w:t>
      </w:r>
    </w:p>
    <w:p w14:paraId="1FE4A849" w14:textId="77777777" w:rsidR="00FC50AF" w:rsidRPr="00FC50AF" w:rsidRDefault="00FC50AF" w:rsidP="00FC50AF">
      <w:pPr>
        <w:spacing w:line="360" w:lineRule="auto"/>
        <w:jc w:val="both"/>
        <w:rPr>
          <w:rFonts w:ascii="Arial" w:eastAsia="Times New Roman" w:hAnsi="Arial" w:cs="Arial"/>
          <w:sz w:val="24"/>
          <w:szCs w:val="24"/>
          <w:lang w:val="en-GB" w:eastAsia="en-GB"/>
        </w:rPr>
      </w:pPr>
      <w:r w:rsidRPr="00FC50AF">
        <w:rPr>
          <w:rFonts w:ascii="Arial" w:eastAsia="Times New Roman" w:hAnsi="Arial" w:cs="Arial"/>
          <w:sz w:val="24"/>
          <w:szCs w:val="24"/>
          <w:lang w:val="en-GB" w:eastAsia="en-GB"/>
        </w:rPr>
        <w:t>By prioritizing technological evolution, local responsiveness, brand-wide compliance, employee development, and sustainability leadership, Hilton can stay at the forefront of an ever-competitive hospitality sector. A cohesive strategy built on these pillars should allow Hilton to sustain its reputation for high-quality guest experiences and ethical stewardship in a world where corporate responsibility and innovation increasingly go hand in hand.</w:t>
      </w:r>
    </w:p>
    <w:p w14:paraId="2A4BC2BC" w14:textId="77777777" w:rsidR="00FC50AF" w:rsidRDefault="00FC50AF" w:rsidP="00540092">
      <w:pPr>
        <w:rPr>
          <w:rFonts w:ascii="Arial" w:hAnsi="Arial" w:cs="Arial"/>
        </w:rPr>
      </w:pPr>
    </w:p>
    <w:p w14:paraId="6CF245AB" w14:textId="77777777" w:rsidR="00FC50AF" w:rsidRDefault="00FC50AF" w:rsidP="00540092">
      <w:pPr>
        <w:rPr>
          <w:rFonts w:ascii="Arial" w:hAnsi="Arial" w:cs="Arial"/>
        </w:rPr>
      </w:pPr>
    </w:p>
    <w:p w14:paraId="11B500D2" w14:textId="77777777" w:rsidR="00FC50AF" w:rsidRDefault="00FC50AF" w:rsidP="00540092">
      <w:pPr>
        <w:rPr>
          <w:rFonts w:ascii="Arial" w:hAnsi="Arial" w:cs="Arial"/>
        </w:rPr>
      </w:pPr>
    </w:p>
    <w:p w14:paraId="4863379F" w14:textId="25679467" w:rsidR="00540092" w:rsidRPr="0026340B" w:rsidRDefault="00540092" w:rsidP="00540092">
      <w:pPr>
        <w:rPr>
          <w:rFonts w:ascii="Arial" w:hAnsi="Arial" w:cs="Arial"/>
        </w:rPr>
      </w:pPr>
      <w:r w:rsidRPr="0026340B">
        <w:rPr>
          <w:rFonts w:ascii="Arial" w:hAnsi="Arial" w:cs="Arial"/>
        </w:rPr>
        <w:lastRenderedPageBreak/>
        <w:t xml:space="preserve">References </w:t>
      </w:r>
    </w:p>
    <w:p w14:paraId="21599CB0" w14:textId="77777777" w:rsidR="00540092" w:rsidRPr="0026340B" w:rsidRDefault="00540092" w:rsidP="00540092">
      <w:pPr>
        <w:rPr>
          <w:rFonts w:ascii="Arial" w:hAnsi="Arial" w:cs="Arial"/>
        </w:rPr>
      </w:pPr>
      <w:r w:rsidRPr="0026340B">
        <w:rPr>
          <w:rFonts w:ascii="Arial" w:hAnsi="Arial" w:cs="Arial"/>
        </w:rPr>
        <w:t>Books &amp; Journals</w:t>
      </w:r>
    </w:p>
    <w:p w14:paraId="05DCE22F" w14:textId="7777777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Adair, J. (2009) </w:t>
      </w:r>
      <w:r w:rsidRPr="0026340B">
        <w:rPr>
          <w:rFonts w:ascii="Arial" w:hAnsi="Arial" w:cs="Arial"/>
          <w:i/>
          <w:iCs/>
        </w:rPr>
        <w:t>The Inspirational Leader</w:t>
      </w:r>
      <w:r w:rsidRPr="0026340B">
        <w:rPr>
          <w:rFonts w:ascii="Arial" w:hAnsi="Arial" w:cs="Arial"/>
        </w:rPr>
        <w:t xml:space="preserve"> (2nd Ed), London: Kogan Page.</w:t>
      </w:r>
    </w:p>
    <w:p w14:paraId="05DDDB2D" w14:textId="7777777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Armstrong, M. (2012) </w:t>
      </w:r>
      <w:r w:rsidRPr="0026340B">
        <w:rPr>
          <w:rFonts w:ascii="Arial" w:hAnsi="Arial" w:cs="Arial"/>
          <w:i/>
          <w:iCs/>
        </w:rPr>
        <w:t>Armstrong’s Handbook of Management and Leadership</w:t>
      </w:r>
      <w:r w:rsidRPr="0026340B">
        <w:rPr>
          <w:rFonts w:ascii="Arial" w:hAnsi="Arial" w:cs="Arial"/>
        </w:rPr>
        <w:t xml:space="preserve"> (3rd Ed), London: Kogan Page.</w:t>
      </w:r>
    </w:p>
    <w:p w14:paraId="2B2E065F" w14:textId="7777777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Armstrong, M. (2021) </w:t>
      </w:r>
      <w:r w:rsidRPr="0026340B">
        <w:rPr>
          <w:rFonts w:ascii="Arial" w:hAnsi="Arial" w:cs="Arial"/>
          <w:i/>
          <w:iCs/>
        </w:rPr>
        <w:t>Armstrong's Handbook of Performance Management</w:t>
      </w:r>
      <w:r w:rsidRPr="0026340B">
        <w:rPr>
          <w:rFonts w:ascii="Arial" w:hAnsi="Arial" w:cs="Arial"/>
        </w:rPr>
        <w:t xml:space="preserve"> (7th Ed), London: Kogan Page.</w:t>
      </w:r>
    </w:p>
    <w:p w14:paraId="1FB726C2" w14:textId="7777777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Arnold, J. (2020) </w:t>
      </w:r>
      <w:r w:rsidRPr="0026340B">
        <w:rPr>
          <w:rFonts w:ascii="Arial" w:hAnsi="Arial" w:cs="Arial"/>
          <w:i/>
          <w:iCs/>
        </w:rPr>
        <w:t>Work Psychology</w:t>
      </w:r>
      <w:r w:rsidRPr="0026340B">
        <w:rPr>
          <w:rFonts w:ascii="Arial" w:hAnsi="Arial" w:cs="Arial"/>
        </w:rPr>
        <w:t xml:space="preserve"> (7th Ed), Harlow: Pearson Education Limited.</w:t>
      </w:r>
    </w:p>
    <w:p w14:paraId="50569573" w14:textId="7777777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Boddy, D. (2017) </w:t>
      </w:r>
      <w:r w:rsidRPr="0026340B">
        <w:rPr>
          <w:rFonts w:ascii="Arial" w:hAnsi="Arial" w:cs="Arial"/>
          <w:i/>
          <w:iCs/>
        </w:rPr>
        <w:t>Management: An Introduction</w:t>
      </w:r>
      <w:r w:rsidRPr="0026340B">
        <w:rPr>
          <w:rFonts w:ascii="Arial" w:hAnsi="Arial" w:cs="Arial"/>
        </w:rPr>
        <w:t xml:space="preserve"> (7th Ed), Harlow: Pearson.</w:t>
      </w:r>
    </w:p>
    <w:p w14:paraId="24B046BA" w14:textId="6CAE5411"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Buchanan, D. &amp; Huczynski, A. (2007)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i/>
          <w:iCs/>
        </w:rPr>
        <w:t>: An Introductory Text</w:t>
      </w:r>
      <w:r w:rsidRPr="0026340B">
        <w:rPr>
          <w:rFonts w:ascii="Arial" w:hAnsi="Arial" w:cs="Arial"/>
        </w:rPr>
        <w:t xml:space="preserve"> (6th Ed), Harlow: Prentice Hall.</w:t>
      </w:r>
    </w:p>
    <w:p w14:paraId="19962145" w14:textId="063CE6A2"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Huczynski, A. &amp; Buchanan, D. (2019)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rPr>
        <w:t xml:space="preserve"> (10th Ed), Harlow: Pearson.</w:t>
      </w:r>
    </w:p>
    <w:p w14:paraId="2F87036C" w14:textId="14DBA007"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Mullins, L. &amp; Dosser, P. (2013) </w:t>
      </w:r>
      <w:r w:rsidRPr="0026340B">
        <w:rPr>
          <w:rFonts w:ascii="Arial" w:hAnsi="Arial" w:cs="Arial"/>
          <w:i/>
          <w:iCs/>
        </w:rPr>
        <w:t xml:space="preserve">Hospitality Management and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rPr>
        <w:t xml:space="preserve"> (5th Ed), Harlow: Pearson.</w:t>
      </w:r>
    </w:p>
    <w:p w14:paraId="699B1847" w14:textId="3D80CF12"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Mullins, L. (2019)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i/>
          <w:iCs/>
        </w:rPr>
        <w:t xml:space="preserve"> in the Workplace</w:t>
      </w:r>
      <w:r w:rsidRPr="0026340B">
        <w:rPr>
          <w:rFonts w:ascii="Arial" w:hAnsi="Arial" w:cs="Arial"/>
        </w:rPr>
        <w:t xml:space="preserve"> (12th Ed), Harlow: Pearson.</w:t>
      </w:r>
    </w:p>
    <w:p w14:paraId="7DFF5805" w14:textId="4236496F"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Mullins, L. (2023) </w:t>
      </w:r>
      <w:r w:rsidRPr="0026340B">
        <w:rPr>
          <w:rFonts w:ascii="Arial" w:hAnsi="Arial" w:cs="Arial"/>
          <w:i/>
          <w:iCs/>
        </w:rPr>
        <w:t xml:space="preserve">Management and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rPr>
        <w:t xml:space="preserve"> (13th Ed), Harlow: Pearson.</w:t>
      </w:r>
    </w:p>
    <w:p w14:paraId="47E0BE2A" w14:textId="5EAC834C"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Robbins, S. &amp; Judge, T. (2017) </w:t>
      </w:r>
      <w:r w:rsidRPr="0026340B">
        <w:rPr>
          <w:rFonts w:ascii="Arial" w:hAnsi="Arial" w:cs="Arial"/>
          <w:i/>
          <w:iCs/>
        </w:rPr>
        <w:t xml:space="preserve">Organizational </w:t>
      </w:r>
      <w:r w:rsidR="00C0531E" w:rsidRPr="0026340B">
        <w:rPr>
          <w:rFonts w:ascii="Arial" w:hAnsi="Arial" w:cs="Arial"/>
          <w:i/>
          <w:iCs/>
        </w:rPr>
        <w:t>Behavior</w:t>
      </w:r>
      <w:r w:rsidRPr="0026340B">
        <w:rPr>
          <w:rFonts w:ascii="Arial" w:hAnsi="Arial" w:cs="Arial"/>
        </w:rPr>
        <w:t xml:space="preserve"> (17th Ed), Harlow: Pearson Education Limited.</w:t>
      </w:r>
    </w:p>
    <w:p w14:paraId="13EC1EF6" w14:textId="2AE79DAB" w:rsidR="00540092" w:rsidRPr="0026340B" w:rsidRDefault="00540092" w:rsidP="00540092">
      <w:pPr>
        <w:numPr>
          <w:ilvl w:val="0"/>
          <w:numId w:val="2"/>
        </w:numPr>
        <w:spacing w:after="160" w:line="278" w:lineRule="auto"/>
        <w:rPr>
          <w:rFonts w:ascii="Arial" w:hAnsi="Arial" w:cs="Arial"/>
        </w:rPr>
      </w:pPr>
      <w:r w:rsidRPr="0026340B">
        <w:rPr>
          <w:rFonts w:ascii="Arial" w:hAnsi="Arial" w:cs="Arial"/>
        </w:rPr>
        <w:t xml:space="preserve">Rollinson, D. et al. (2008) </w:t>
      </w:r>
      <w:r w:rsidR="00C0531E" w:rsidRPr="0026340B">
        <w:rPr>
          <w:rFonts w:ascii="Arial" w:hAnsi="Arial" w:cs="Arial"/>
          <w:i/>
          <w:iCs/>
        </w:rPr>
        <w:t>Organizational</w:t>
      </w:r>
      <w:r w:rsidRPr="0026340B">
        <w:rPr>
          <w:rFonts w:ascii="Arial" w:hAnsi="Arial" w:cs="Arial"/>
          <w:i/>
          <w:iCs/>
        </w:rPr>
        <w:t xml:space="preserve"> </w:t>
      </w:r>
      <w:r w:rsidR="00C0531E" w:rsidRPr="0026340B">
        <w:rPr>
          <w:rFonts w:ascii="Arial" w:hAnsi="Arial" w:cs="Arial"/>
          <w:i/>
          <w:iCs/>
        </w:rPr>
        <w:t>Behavior</w:t>
      </w:r>
      <w:r w:rsidRPr="0026340B">
        <w:rPr>
          <w:rFonts w:ascii="Arial" w:hAnsi="Arial" w:cs="Arial"/>
          <w:i/>
          <w:iCs/>
        </w:rPr>
        <w:t xml:space="preserve"> and Analysis</w:t>
      </w:r>
      <w:r w:rsidRPr="0026340B">
        <w:rPr>
          <w:rFonts w:ascii="Arial" w:hAnsi="Arial" w:cs="Arial"/>
        </w:rPr>
        <w:t xml:space="preserve"> (4th Ed), Harlow: Addison-Wesley Longman.</w:t>
      </w:r>
    </w:p>
    <w:p w14:paraId="646C84B4" w14:textId="77777777" w:rsidR="00540092" w:rsidRPr="0026340B" w:rsidRDefault="00540092" w:rsidP="00540092">
      <w:pPr>
        <w:rPr>
          <w:rFonts w:ascii="Arial" w:hAnsi="Arial" w:cs="Arial"/>
        </w:rPr>
      </w:pPr>
      <w:r w:rsidRPr="0026340B">
        <w:rPr>
          <w:rFonts w:ascii="Arial" w:hAnsi="Arial" w:cs="Arial"/>
        </w:rPr>
        <w:t>Reports &amp; Online Sources</w:t>
      </w:r>
    </w:p>
    <w:p w14:paraId="322BD637" w14:textId="77777777" w:rsidR="00540092" w:rsidRPr="0026340B" w:rsidRDefault="00540092" w:rsidP="00540092">
      <w:pPr>
        <w:numPr>
          <w:ilvl w:val="0"/>
          <w:numId w:val="3"/>
        </w:numPr>
        <w:spacing w:after="160" w:line="278" w:lineRule="auto"/>
        <w:rPr>
          <w:rFonts w:ascii="Arial" w:hAnsi="Arial" w:cs="Arial"/>
        </w:rPr>
      </w:pPr>
      <w:r w:rsidRPr="0026340B">
        <w:rPr>
          <w:rFonts w:ascii="Arial" w:hAnsi="Arial" w:cs="Arial"/>
        </w:rPr>
        <w:t xml:space="preserve">Hilton (2025) </w:t>
      </w:r>
      <w:r w:rsidRPr="0026340B">
        <w:rPr>
          <w:rFonts w:ascii="Arial" w:hAnsi="Arial" w:cs="Arial"/>
          <w:i/>
          <w:iCs/>
        </w:rPr>
        <w:t>Annual Report &amp; Sustainability Strategy</w:t>
      </w:r>
      <w:r w:rsidRPr="0026340B">
        <w:rPr>
          <w:rFonts w:ascii="Arial" w:hAnsi="Arial" w:cs="Arial"/>
        </w:rPr>
        <w:t xml:space="preserve">. Available at: </w:t>
      </w:r>
      <w:hyperlink r:id="rId8" w:tgtFrame="_new" w:history="1">
        <w:r w:rsidRPr="0026340B">
          <w:rPr>
            <w:rStyle w:val="Hyperlink"/>
            <w:rFonts w:ascii="Arial" w:hAnsi="Arial" w:cs="Arial"/>
          </w:rPr>
          <w:t>https://stories.hilton.com</w:t>
        </w:r>
      </w:hyperlink>
      <w:r w:rsidRPr="0026340B">
        <w:rPr>
          <w:rFonts w:ascii="Arial" w:hAnsi="Arial" w:cs="Arial"/>
        </w:rPr>
        <w:t xml:space="preserve"> [Accessed </w:t>
      </w:r>
      <w:r>
        <w:rPr>
          <w:rFonts w:ascii="Arial" w:hAnsi="Arial" w:cs="Arial"/>
        </w:rPr>
        <w:t>09</w:t>
      </w:r>
      <w:r w:rsidRPr="0026340B">
        <w:rPr>
          <w:rFonts w:ascii="Arial" w:hAnsi="Arial" w:cs="Arial"/>
        </w:rPr>
        <w:t xml:space="preserve"> Mar. 2025].</w:t>
      </w:r>
    </w:p>
    <w:p w14:paraId="56C5DA3D" w14:textId="0FF440E2" w:rsidR="00540092" w:rsidRPr="0026340B" w:rsidRDefault="00540092" w:rsidP="00540092">
      <w:pPr>
        <w:numPr>
          <w:ilvl w:val="0"/>
          <w:numId w:val="3"/>
        </w:numPr>
        <w:spacing w:after="160" w:line="278" w:lineRule="auto"/>
        <w:rPr>
          <w:rFonts w:ascii="Arial" w:hAnsi="Arial" w:cs="Arial"/>
        </w:rPr>
      </w:pPr>
      <w:r w:rsidRPr="0026340B">
        <w:rPr>
          <w:rFonts w:ascii="Arial" w:hAnsi="Arial" w:cs="Arial"/>
        </w:rPr>
        <w:t xml:space="preserve">Bybee, N. (2022) </w:t>
      </w:r>
      <w:r w:rsidRPr="0026340B">
        <w:rPr>
          <w:rFonts w:ascii="Arial" w:hAnsi="Arial" w:cs="Arial"/>
          <w:i/>
          <w:iCs/>
        </w:rPr>
        <w:t>How Hilton Keeps Its Employees Happy</w:t>
      </w:r>
      <w:r w:rsidRPr="0026340B">
        <w:rPr>
          <w:rFonts w:ascii="Arial" w:hAnsi="Arial" w:cs="Arial"/>
        </w:rPr>
        <w:t xml:space="preserve">. Available at: </w:t>
      </w:r>
      <w:hyperlink r:id="rId9" w:tgtFrame="_new" w:history="1">
        <w:r w:rsidRPr="0026340B">
          <w:rPr>
            <w:rStyle w:val="Hyperlink"/>
            <w:rFonts w:ascii="Arial" w:hAnsi="Arial" w:cs="Arial"/>
          </w:rPr>
          <w:t>https://www.linkedin.com/pulse</w:t>
        </w:r>
      </w:hyperlink>
      <w:r w:rsidRPr="0026340B">
        <w:rPr>
          <w:rFonts w:ascii="Arial" w:hAnsi="Arial" w:cs="Arial"/>
        </w:rPr>
        <w:t xml:space="preserve"> [</w:t>
      </w:r>
      <w:r w:rsidR="00214B23" w:rsidRPr="0026340B">
        <w:rPr>
          <w:rFonts w:ascii="Arial" w:hAnsi="Arial" w:cs="Arial"/>
        </w:rPr>
        <w:t>Accessed 1</w:t>
      </w:r>
      <w:r w:rsidR="00214B23">
        <w:rPr>
          <w:rFonts w:ascii="Arial" w:hAnsi="Arial" w:cs="Arial"/>
        </w:rPr>
        <w:t>0</w:t>
      </w:r>
      <w:r w:rsidR="00214B23" w:rsidRPr="0026340B">
        <w:rPr>
          <w:rFonts w:ascii="Arial" w:hAnsi="Arial" w:cs="Arial"/>
        </w:rPr>
        <w:t xml:space="preserve"> Mar</w:t>
      </w:r>
      <w:r w:rsidR="00214B23">
        <w:rPr>
          <w:rFonts w:ascii="Arial" w:hAnsi="Arial" w:cs="Arial"/>
        </w:rPr>
        <w:t xml:space="preserve">ch </w:t>
      </w:r>
      <w:r w:rsidR="00214B23" w:rsidRPr="0026340B">
        <w:rPr>
          <w:rFonts w:ascii="Arial" w:hAnsi="Arial" w:cs="Arial"/>
        </w:rPr>
        <w:t>2025</w:t>
      </w:r>
      <w:r w:rsidR="00214B23">
        <w:rPr>
          <w:rFonts w:ascii="Arial" w:hAnsi="Arial" w:cs="Arial"/>
        </w:rPr>
        <w:t>]</w:t>
      </w:r>
    </w:p>
    <w:p w14:paraId="7F524354" w14:textId="4D249851" w:rsidR="00540092" w:rsidRPr="0026340B" w:rsidRDefault="00540092" w:rsidP="00540092">
      <w:pPr>
        <w:numPr>
          <w:ilvl w:val="0"/>
          <w:numId w:val="3"/>
        </w:numPr>
        <w:spacing w:after="160" w:line="278" w:lineRule="auto"/>
        <w:rPr>
          <w:rFonts w:ascii="Arial" w:hAnsi="Arial" w:cs="Arial"/>
        </w:rPr>
      </w:pPr>
      <w:r w:rsidRPr="0026340B">
        <w:rPr>
          <w:rFonts w:ascii="Arial" w:hAnsi="Arial" w:cs="Arial"/>
        </w:rPr>
        <w:t xml:space="preserve">Lamo, E. (2019) </w:t>
      </w:r>
      <w:r w:rsidRPr="0026340B">
        <w:rPr>
          <w:rFonts w:ascii="Arial" w:hAnsi="Arial" w:cs="Arial"/>
          <w:i/>
          <w:iCs/>
        </w:rPr>
        <w:t>The Center of Success: A Case Study on Hilton’s Company Culture</w:t>
      </w:r>
      <w:r w:rsidRPr="0026340B">
        <w:rPr>
          <w:rFonts w:ascii="Arial" w:hAnsi="Arial" w:cs="Arial"/>
        </w:rPr>
        <w:t xml:space="preserve">, California Polytechnic State University. Available at: </w:t>
      </w:r>
      <w:hyperlink r:id="rId10" w:tgtFrame="_new" w:history="1">
        <w:r w:rsidRPr="0026340B">
          <w:rPr>
            <w:rStyle w:val="Hyperlink"/>
            <w:rFonts w:ascii="Arial" w:hAnsi="Arial" w:cs="Arial"/>
          </w:rPr>
          <w:t>https://digitalcommons.calpoly.edu</w:t>
        </w:r>
      </w:hyperlink>
      <w:r w:rsidRPr="0026340B">
        <w:rPr>
          <w:rFonts w:ascii="Arial" w:hAnsi="Arial" w:cs="Arial"/>
        </w:rPr>
        <w:t xml:space="preserve"> </w:t>
      </w:r>
      <w:r w:rsidR="00214B23" w:rsidRPr="0026340B">
        <w:rPr>
          <w:rFonts w:ascii="Arial" w:hAnsi="Arial" w:cs="Arial"/>
        </w:rPr>
        <w:t>Accessed 1</w:t>
      </w:r>
      <w:r w:rsidR="00214B23">
        <w:rPr>
          <w:rFonts w:ascii="Arial" w:hAnsi="Arial" w:cs="Arial"/>
        </w:rPr>
        <w:t xml:space="preserve">3 </w:t>
      </w:r>
      <w:r w:rsidR="00214B23" w:rsidRPr="0026340B">
        <w:rPr>
          <w:rFonts w:ascii="Arial" w:hAnsi="Arial" w:cs="Arial"/>
        </w:rPr>
        <w:t>Mar</w:t>
      </w:r>
      <w:r w:rsidR="00214B23">
        <w:rPr>
          <w:rFonts w:ascii="Arial" w:hAnsi="Arial" w:cs="Arial"/>
        </w:rPr>
        <w:t xml:space="preserve">ch </w:t>
      </w:r>
      <w:r w:rsidR="00214B23" w:rsidRPr="0026340B">
        <w:rPr>
          <w:rFonts w:ascii="Arial" w:hAnsi="Arial" w:cs="Arial"/>
        </w:rPr>
        <w:t>2025</w:t>
      </w:r>
      <w:r w:rsidR="00214B23">
        <w:rPr>
          <w:rFonts w:ascii="Arial" w:hAnsi="Arial" w:cs="Arial"/>
        </w:rPr>
        <w:t>]</w:t>
      </w:r>
    </w:p>
    <w:p w14:paraId="11EDE04F" w14:textId="0B0F6CFB" w:rsidR="00540092" w:rsidRPr="0026340B" w:rsidRDefault="00540092" w:rsidP="00540092">
      <w:pPr>
        <w:numPr>
          <w:ilvl w:val="0"/>
          <w:numId w:val="3"/>
        </w:numPr>
        <w:spacing w:after="160" w:line="278" w:lineRule="auto"/>
        <w:rPr>
          <w:rFonts w:ascii="Arial" w:hAnsi="Arial" w:cs="Arial"/>
        </w:rPr>
      </w:pPr>
      <w:proofErr w:type="spellStart"/>
      <w:r w:rsidRPr="0026340B">
        <w:rPr>
          <w:rFonts w:ascii="Arial" w:hAnsi="Arial" w:cs="Arial"/>
        </w:rPr>
        <w:t>PitchGrade</w:t>
      </w:r>
      <w:proofErr w:type="spellEnd"/>
      <w:r w:rsidRPr="0026340B">
        <w:rPr>
          <w:rFonts w:ascii="Arial" w:hAnsi="Arial" w:cs="Arial"/>
        </w:rPr>
        <w:t xml:space="preserve"> (2024) </w:t>
      </w:r>
      <w:r w:rsidRPr="0026340B">
        <w:rPr>
          <w:rFonts w:ascii="Arial" w:hAnsi="Arial" w:cs="Arial"/>
          <w:i/>
          <w:iCs/>
        </w:rPr>
        <w:t>Hilton Worldwide: Business Model, SWOT Analysis, and Competitors</w:t>
      </w:r>
      <w:r w:rsidRPr="0026340B">
        <w:rPr>
          <w:rFonts w:ascii="Arial" w:hAnsi="Arial" w:cs="Arial"/>
        </w:rPr>
        <w:t xml:space="preserve">. Available at: </w:t>
      </w:r>
      <w:hyperlink r:id="rId11" w:tgtFrame="_new" w:history="1">
        <w:r w:rsidRPr="0026340B">
          <w:rPr>
            <w:rStyle w:val="Hyperlink"/>
            <w:rFonts w:ascii="Arial" w:hAnsi="Arial" w:cs="Arial"/>
          </w:rPr>
          <w:t>https://pitchgrade.com</w:t>
        </w:r>
      </w:hyperlink>
      <w:r w:rsidRPr="0026340B">
        <w:rPr>
          <w:rFonts w:ascii="Arial" w:hAnsi="Arial" w:cs="Arial"/>
        </w:rPr>
        <w:t xml:space="preserve"> </w:t>
      </w:r>
      <w:r w:rsidR="00214B23" w:rsidRPr="0026340B">
        <w:rPr>
          <w:rFonts w:ascii="Arial" w:hAnsi="Arial" w:cs="Arial"/>
        </w:rPr>
        <w:t>Accessed 1</w:t>
      </w:r>
      <w:r w:rsidR="00214B23">
        <w:rPr>
          <w:rFonts w:ascii="Arial" w:hAnsi="Arial" w:cs="Arial"/>
        </w:rPr>
        <w:t>0</w:t>
      </w:r>
      <w:r w:rsidR="00214B23" w:rsidRPr="0026340B">
        <w:rPr>
          <w:rFonts w:ascii="Arial" w:hAnsi="Arial" w:cs="Arial"/>
        </w:rPr>
        <w:t xml:space="preserve"> Mar</w:t>
      </w:r>
      <w:r w:rsidR="00214B23">
        <w:rPr>
          <w:rFonts w:ascii="Arial" w:hAnsi="Arial" w:cs="Arial"/>
        </w:rPr>
        <w:t xml:space="preserve">ch </w:t>
      </w:r>
      <w:r w:rsidR="00214B23" w:rsidRPr="0026340B">
        <w:rPr>
          <w:rFonts w:ascii="Arial" w:hAnsi="Arial" w:cs="Arial"/>
        </w:rPr>
        <w:t>2025</w:t>
      </w:r>
    </w:p>
    <w:p w14:paraId="6DC2F4AA" w14:textId="2869CF55" w:rsidR="00540092" w:rsidRPr="0026340B" w:rsidRDefault="00540092" w:rsidP="00540092">
      <w:pPr>
        <w:numPr>
          <w:ilvl w:val="0"/>
          <w:numId w:val="3"/>
        </w:numPr>
        <w:spacing w:after="160" w:line="278" w:lineRule="auto"/>
        <w:rPr>
          <w:rFonts w:ascii="Arial" w:hAnsi="Arial" w:cs="Arial"/>
        </w:rPr>
      </w:pPr>
      <w:r w:rsidRPr="0026340B">
        <w:rPr>
          <w:rFonts w:ascii="Arial" w:hAnsi="Arial" w:cs="Arial"/>
        </w:rPr>
        <w:lastRenderedPageBreak/>
        <w:t xml:space="preserve">The Strategy Story (2024) </w:t>
      </w:r>
      <w:r w:rsidRPr="0026340B">
        <w:rPr>
          <w:rFonts w:ascii="Arial" w:hAnsi="Arial" w:cs="Arial"/>
          <w:i/>
          <w:iCs/>
        </w:rPr>
        <w:t>Hilton SWOT Analysis</w:t>
      </w:r>
      <w:r w:rsidRPr="0026340B">
        <w:rPr>
          <w:rFonts w:ascii="Arial" w:hAnsi="Arial" w:cs="Arial"/>
        </w:rPr>
        <w:t xml:space="preserve">. Available at: </w:t>
      </w:r>
      <w:hyperlink r:id="rId12" w:tgtFrame="_new" w:history="1">
        <w:r w:rsidRPr="0026340B">
          <w:rPr>
            <w:rStyle w:val="Hyperlink"/>
            <w:rFonts w:ascii="Arial" w:hAnsi="Arial" w:cs="Arial"/>
          </w:rPr>
          <w:t>https://thestrategystory.com</w:t>
        </w:r>
      </w:hyperlink>
      <w:r w:rsidRPr="0026340B">
        <w:rPr>
          <w:rFonts w:ascii="Arial" w:hAnsi="Arial" w:cs="Arial"/>
        </w:rPr>
        <w:t xml:space="preserve"> [</w:t>
      </w:r>
      <w:r w:rsidR="00214B23" w:rsidRPr="0026340B">
        <w:rPr>
          <w:rFonts w:ascii="Arial" w:hAnsi="Arial" w:cs="Arial"/>
        </w:rPr>
        <w:t>Accessed 1</w:t>
      </w:r>
      <w:r w:rsidR="00214B23">
        <w:rPr>
          <w:rFonts w:ascii="Arial" w:hAnsi="Arial" w:cs="Arial"/>
        </w:rPr>
        <w:t>1</w:t>
      </w:r>
      <w:r w:rsidR="00214B23" w:rsidRPr="0026340B">
        <w:rPr>
          <w:rFonts w:ascii="Arial" w:hAnsi="Arial" w:cs="Arial"/>
        </w:rPr>
        <w:t xml:space="preserve"> Mar</w:t>
      </w:r>
      <w:r w:rsidR="00214B23">
        <w:rPr>
          <w:rFonts w:ascii="Arial" w:hAnsi="Arial" w:cs="Arial"/>
        </w:rPr>
        <w:t xml:space="preserve">ch </w:t>
      </w:r>
      <w:r w:rsidR="00214B23" w:rsidRPr="0026340B">
        <w:rPr>
          <w:rFonts w:ascii="Arial" w:hAnsi="Arial" w:cs="Arial"/>
        </w:rPr>
        <w:t>2025</w:t>
      </w:r>
      <w:r w:rsidR="00214B23">
        <w:rPr>
          <w:rFonts w:ascii="Arial" w:hAnsi="Arial" w:cs="Arial"/>
        </w:rPr>
        <w:t>]</w:t>
      </w:r>
    </w:p>
    <w:p w14:paraId="6B30FFE9" w14:textId="77777777" w:rsidR="00540092" w:rsidRPr="0026340B" w:rsidRDefault="00540092" w:rsidP="00540092">
      <w:pPr>
        <w:numPr>
          <w:ilvl w:val="0"/>
          <w:numId w:val="3"/>
        </w:numPr>
        <w:spacing w:after="160" w:line="278" w:lineRule="auto"/>
        <w:rPr>
          <w:rFonts w:ascii="Arial" w:hAnsi="Arial" w:cs="Arial"/>
        </w:rPr>
      </w:pPr>
      <w:r w:rsidRPr="0026340B">
        <w:rPr>
          <w:rFonts w:ascii="Arial" w:hAnsi="Arial" w:cs="Arial"/>
        </w:rPr>
        <w:t xml:space="preserve">ResearchGate (2006) </w:t>
      </w:r>
      <w:r w:rsidRPr="0026340B">
        <w:rPr>
          <w:rFonts w:ascii="Arial" w:hAnsi="Arial" w:cs="Arial"/>
          <w:i/>
          <w:iCs/>
        </w:rPr>
        <w:t>Line Managers’ Views on Adopting HR Roles: The Case of Hilton UK Hotels</w:t>
      </w:r>
      <w:r w:rsidRPr="0026340B">
        <w:rPr>
          <w:rFonts w:ascii="Arial" w:hAnsi="Arial" w:cs="Arial"/>
        </w:rPr>
        <w:t xml:space="preserve">. Available at: </w:t>
      </w:r>
      <w:hyperlink r:id="rId13" w:tgtFrame="_new" w:history="1">
        <w:r w:rsidRPr="0026340B">
          <w:rPr>
            <w:rStyle w:val="Hyperlink"/>
            <w:rFonts w:ascii="Arial" w:hAnsi="Arial" w:cs="Arial"/>
          </w:rPr>
          <w:t>https://www.researchgate.net</w:t>
        </w:r>
      </w:hyperlink>
      <w:r w:rsidRPr="0026340B">
        <w:rPr>
          <w:rFonts w:ascii="Arial" w:hAnsi="Arial" w:cs="Arial"/>
        </w:rPr>
        <w:t xml:space="preserve"> [Accessed 1</w:t>
      </w:r>
      <w:r>
        <w:rPr>
          <w:rFonts w:ascii="Arial" w:hAnsi="Arial" w:cs="Arial"/>
        </w:rPr>
        <w:t>2</w:t>
      </w:r>
      <w:r w:rsidRPr="0026340B">
        <w:rPr>
          <w:rFonts w:ascii="Arial" w:hAnsi="Arial" w:cs="Arial"/>
        </w:rPr>
        <w:t xml:space="preserve"> Mar. 2025].</w:t>
      </w:r>
    </w:p>
    <w:p w14:paraId="7D9008F8" w14:textId="7AAF250B" w:rsidR="00214B23" w:rsidRDefault="00540092" w:rsidP="00540092">
      <w:pPr>
        <w:numPr>
          <w:ilvl w:val="0"/>
          <w:numId w:val="3"/>
        </w:numPr>
        <w:spacing w:after="160" w:line="278" w:lineRule="auto"/>
        <w:rPr>
          <w:rFonts w:ascii="Arial" w:hAnsi="Arial" w:cs="Arial"/>
        </w:rPr>
      </w:pPr>
      <w:r w:rsidRPr="00214B23">
        <w:rPr>
          <w:rFonts w:ascii="Arial" w:hAnsi="Arial" w:cs="Arial"/>
        </w:rPr>
        <w:t xml:space="preserve">Human Relations Journal (2024) </w:t>
      </w:r>
      <w:r w:rsidRPr="00214B23">
        <w:rPr>
          <w:rFonts w:ascii="Arial" w:hAnsi="Arial" w:cs="Arial"/>
          <w:i/>
          <w:iCs/>
        </w:rPr>
        <w:t xml:space="preserve">Current Trends in </w:t>
      </w:r>
      <w:r w:rsidR="00C0531E" w:rsidRPr="00214B23">
        <w:rPr>
          <w:rFonts w:ascii="Arial" w:hAnsi="Arial" w:cs="Arial"/>
          <w:i/>
          <w:iCs/>
        </w:rPr>
        <w:t>Organizational</w:t>
      </w:r>
      <w:r w:rsidRPr="00214B23">
        <w:rPr>
          <w:rFonts w:ascii="Arial" w:hAnsi="Arial" w:cs="Arial"/>
          <w:i/>
          <w:iCs/>
        </w:rPr>
        <w:t xml:space="preserve"> Culture &amp; Employee Satisfaction in Hospitality</w:t>
      </w:r>
      <w:r w:rsidRPr="00214B23">
        <w:rPr>
          <w:rFonts w:ascii="Arial" w:hAnsi="Arial" w:cs="Arial"/>
        </w:rPr>
        <w:t>. Available at: https://journals.sagepub.com [</w:t>
      </w:r>
      <w:r w:rsidR="00214B23" w:rsidRPr="0026340B">
        <w:rPr>
          <w:rFonts w:ascii="Arial" w:hAnsi="Arial" w:cs="Arial"/>
        </w:rPr>
        <w:t>Accessed 1</w:t>
      </w:r>
      <w:r w:rsidR="00214B23">
        <w:rPr>
          <w:rFonts w:ascii="Arial" w:hAnsi="Arial" w:cs="Arial"/>
        </w:rPr>
        <w:t>0</w:t>
      </w:r>
      <w:r w:rsidR="00214B23" w:rsidRPr="0026340B">
        <w:rPr>
          <w:rFonts w:ascii="Arial" w:hAnsi="Arial" w:cs="Arial"/>
        </w:rPr>
        <w:t xml:space="preserve"> Mar</w:t>
      </w:r>
      <w:r w:rsidR="00214B23">
        <w:rPr>
          <w:rFonts w:ascii="Arial" w:hAnsi="Arial" w:cs="Arial"/>
        </w:rPr>
        <w:t xml:space="preserve">ch </w:t>
      </w:r>
      <w:r w:rsidR="00214B23" w:rsidRPr="0026340B">
        <w:rPr>
          <w:rFonts w:ascii="Arial" w:hAnsi="Arial" w:cs="Arial"/>
        </w:rPr>
        <w:t>2025</w:t>
      </w:r>
      <w:r w:rsidR="00214B23">
        <w:rPr>
          <w:rFonts w:ascii="Arial" w:hAnsi="Arial" w:cs="Arial"/>
        </w:rPr>
        <w:t>]</w:t>
      </w:r>
    </w:p>
    <w:p w14:paraId="2EC792AF" w14:textId="39654836" w:rsidR="00540092" w:rsidRPr="00214B23" w:rsidRDefault="00540092" w:rsidP="00540092">
      <w:pPr>
        <w:numPr>
          <w:ilvl w:val="0"/>
          <w:numId w:val="3"/>
        </w:numPr>
        <w:spacing w:after="160" w:line="278" w:lineRule="auto"/>
        <w:rPr>
          <w:rFonts w:ascii="Arial" w:hAnsi="Arial" w:cs="Arial"/>
        </w:rPr>
      </w:pPr>
      <w:r w:rsidRPr="00214B23">
        <w:rPr>
          <w:rFonts w:ascii="Arial" w:hAnsi="Arial" w:cs="Arial"/>
        </w:rPr>
        <w:t xml:space="preserve">People Management Journal (2023) </w:t>
      </w:r>
      <w:r w:rsidRPr="00214B23">
        <w:rPr>
          <w:rFonts w:ascii="Arial" w:hAnsi="Arial" w:cs="Arial"/>
          <w:i/>
          <w:iCs/>
        </w:rPr>
        <w:t>Employee Retention Strategies in the Hospitality Industry</w:t>
      </w:r>
      <w:r w:rsidRPr="00214B23">
        <w:rPr>
          <w:rFonts w:ascii="Arial" w:hAnsi="Arial" w:cs="Arial"/>
        </w:rPr>
        <w:t xml:space="preserve">. Available at: </w:t>
      </w:r>
      <w:hyperlink r:id="rId14" w:tgtFrame="_new" w:history="1">
        <w:r w:rsidRPr="00214B23">
          <w:rPr>
            <w:rStyle w:val="Hyperlink"/>
            <w:rFonts w:ascii="Arial" w:hAnsi="Arial" w:cs="Arial"/>
          </w:rPr>
          <w:t>https://www.peoplemanagement.co.uk</w:t>
        </w:r>
      </w:hyperlink>
      <w:r w:rsidRPr="00214B23">
        <w:rPr>
          <w:rFonts w:ascii="Arial" w:hAnsi="Arial" w:cs="Arial"/>
        </w:rPr>
        <w:t xml:space="preserve"> [Accessed 1</w:t>
      </w:r>
      <w:r w:rsidR="00214B23" w:rsidRPr="00214B23">
        <w:rPr>
          <w:rFonts w:ascii="Arial" w:hAnsi="Arial" w:cs="Arial"/>
        </w:rPr>
        <w:t>4</w:t>
      </w:r>
      <w:r w:rsidRPr="00214B23">
        <w:rPr>
          <w:rFonts w:ascii="Arial" w:hAnsi="Arial" w:cs="Arial"/>
        </w:rPr>
        <w:t xml:space="preserve"> </w:t>
      </w:r>
      <w:r w:rsidR="00214B23" w:rsidRPr="00214B23">
        <w:rPr>
          <w:rFonts w:ascii="Arial" w:hAnsi="Arial" w:cs="Arial"/>
        </w:rPr>
        <w:t>March 2025</w:t>
      </w:r>
      <w:r w:rsidRPr="00214B23">
        <w:rPr>
          <w:rFonts w:ascii="Arial" w:hAnsi="Arial" w:cs="Arial"/>
        </w:rPr>
        <w:t>].</w:t>
      </w:r>
    </w:p>
    <w:p w14:paraId="395313C0" w14:textId="77777777" w:rsidR="00540092" w:rsidRPr="0026340B" w:rsidRDefault="00540092" w:rsidP="00540092">
      <w:pPr>
        <w:rPr>
          <w:rFonts w:ascii="Arial" w:hAnsi="Arial" w:cs="Arial"/>
        </w:rPr>
      </w:pPr>
    </w:p>
    <w:p w14:paraId="3E5FD1BB" w14:textId="77777777" w:rsidR="003C0C29" w:rsidRDefault="003C0C29" w:rsidP="003C0C29"/>
    <w:sectPr w:rsidR="003C0C29" w:rsidSect="008D641A">
      <w:footerReference w:type="default" r:id="rId1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80B52" w14:textId="77777777" w:rsidR="00277A01" w:rsidRDefault="00277A01" w:rsidP="008D641A">
      <w:pPr>
        <w:spacing w:after="0" w:line="240" w:lineRule="auto"/>
      </w:pPr>
      <w:r>
        <w:separator/>
      </w:r>
    </w:p>
  </w:endnote>
  <w:endnote w:type="continuationSeparator" w:id="0">
    <w:p w14:paraId="112628FD" w14:textId="77777777" w:rsidR="00277A01" w:rsidRDefault="00277A01" w:rsidP="008D6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049769"/>
      <w:docPartObj>
        <w:docPartGallery w:val="Page Numbers (Bottom of Page)"/>
        <w:docPartUnique/>
      </w:docPartObj>
    </w:sdtPr>
    <w:sdtEndPr>
      <w:rPr>
        <w:noProof/>
      </w:rPr>
    </w:sdtEndPr>
    <w:sdtContent>
      <w:p w14:paraId="67B0A6CB" w14:textId="43805503" w:rsidR="008D641A" w:rsidRDefault="008D64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777B32" w14:textId="77777777" w:rsidR="008D641A" w:rsidRDefault="008D64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9DF67" w14:textId="77777777" w:rsidR="00277A01" w:rsidRDefault="00277A01" w:rsidP="008D641A">
      <w:pPr>
        <w:spacing w:after="0" w:line="240" w:lineRule="auto"/>
      </w:pPr>
      <w:r>
        <w:separator/>
      </w:r>
    </w:p>
  </w:footnote>
  <w:footnote w:type="continuationSeparator" w:id="0">
    <w:p w14:paraId="3BB8D019" w14:textId="77777777" w:rsidR="00277A01" w:rsidRDefault="00277A01" w:rsidP="008D6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0BF7"/>
    <w:multiLevelType w:val="multilevel"/>
    <w:tmpl w:val="6016BC74"/>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 w15:restartNumberingAfterBreak="0">
    <w:nsid w:val="0AB86037"/>
    <w:multiLevelType w:val="multilevel"/>
    <w:tmpl w:val="C8026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26E7F"/>
    <w:multiLevelType w:val="multilevel"/>
    <w:tmpl w:val="88E08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F002D"/>
    <w:multiLevelType w:val="multilevel"/>
    <w:tmpl w:val="E2BCC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810B2"/>
    <w:multiLevelType w:val="multilevel"/>
    <w:tmpl w:val="4024F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265DC7"/>
    <w:multiLevelType w:val="multilevel"/>
    <w:tmpl w:val="B29A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9D435B"/>
    <w:multiLevelType w:val="multilevel"/>
    <w:tmpl w:val="8A42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B031C5"/>
    <w:multiLevelType w:val="multilevel"/>
    <w:tmpl w:val="439E6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3E66BA"/>
    <w:multiLevelType w:val="multilevel"/>
    <w:tmpl w:val="5522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A1755E"/>
    <w:multiLevelType w:val="multilevel"/>
    <w:tmpl w:val="C0CE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7C756A"/>
    <w:multiLevelType w:val="multilevel"/>
    <w:tmpl w:val="6B1A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B81DA0"/>
    <w:multiLevelType w:val="multilevel"/>
    <w:tmpl w:val="83D2A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6B2B09"/>
    <w:multiLevelType w:val="multilevel"/>
    <w:tmpl w:val="FFFFFFFF"/>
    <w:lvl w:ilvl="0">
      <w:start w:val="13"/>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3" w15:restartNumberingAfterBreak="0">
    <w:nsid w:val="6A9521C3"/>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4" w15:restartNumberingAfterBreak="0">
    <w:nsid w:val="70CD435E"/>
    <w:multiLevelType w:val="multilevel"/>
    <w:tmpl w:val="556A4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2A1026"/>
    <w:multiLevelType w:val="multilevel"/>
    <w:tmpl w:val="53B2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2240F7"/>
    <w:multiLevelType w:val="multilevel"/>
    <w:tmpl w:val="1200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818359">
    <w:abstractNumId w:val="0"/>
  </w:num>
  <w:num w:numId="2" w16cid:durableId="1048919158">
    <w:abstractNumId w:val="13"/>
  </w:num>
  <w:num w:numId="3" w16cid:durableId="940573078">
    <w:abstractNumId w:val="12"/>
  </w:num>
  <w:num w:numId="4" w16cid:durableId="534588059">
    <w:abstractNumId w:val="1"/>
  </w:num>
  <w:num w:numId="5" w16cid:durableId="121769903">
    <w:abstractNumId w:val="8"/>
  </w:num>
  <w:num w:numId="6" w16cid:durableId="1347320654">
    <w:abstractNumId w:val="11"/>
  </w:num>
  <w:num w:numId="7" w16cid:durableId="1734886573">
    <w:abstractNumId w:val="7"/>
  </w:num>
  <w:num w:numId="8" w16cid:durableId="513348954">
    <w:abstractNumId w:val="15"/>
  </w:num>
  <w:num w:numId="9" w16cid:durableId="1194418179">
    <w:abstractNumId w:val="9"/>
  </w:num>
  <w:num w:numId="10" w16cid:durableId="1338728409">
    <w:abstractNumId w:val="4"/>
  </w:num>
  <w:num w:numId="11" w16cid:durableId="1989163709">
    <w:abstractNumId w:val="5"/>
  </w:num>
  <w:num w:numId="12" w16cid:durableId="590817606">
    <w:abstractNumId w:val="3"/>
  </w:num>
  <w:num w:numId="13" w16cid:durableId="1183590013">
    <w:abstractNumId w:val="2"/>
  </w:num>
  <w:num w:numId="14" w16cid:durableId="1965766245">
    <w:abstractNumId w:val="6"/>
  </w:num>
  <w:num w:numId="15" w16cid:durableId="968171060">
    <w:abstractNumId w:val="14"/>
  </w:num>
  <w:num w:numId="16" w16cid:durableId="189029147">
    <w:abstractNumId w:val="10"/>
  </w:num>
  <w:num w:numId="17" w16cid:durableId="14608951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5938"/>
    <w:rsid w:val="00176862"/>
    <w:rsid w:val="001978D5"/>
    <w:rsid w:val="001F6399"/>
    <w:rsid w:val="00214B23"/>
    <w:rsid w:val="00277A01"/>
    <w:rsid w:val="002E6925"/>
    <w:rsid w:val="00325DB4"/>
    <w:rsid w:val="003350EB"/>
    <w:rsid w:val="003A314D"/>
    <w:rsid w:val="003C0C29"/>
    <w:rsid w:val="004511FC"/>
    <w:rsid w:val="004D1828"/>
    <w:rsid w:val="00540092"/>
    <w:rsid w:val="00581F12"/>
    <w:rsid w:val="00694357"/>
    <w:rsid w:val="00696E4F"/>
    <w:rsid w:val="00772DE0"/>
    <w:rsid w:val="00804715"/>
    <w:rsid w:val="00825563"/>
    <w:rsid w:val="008D641A"/>
    <w:rsid w:val="008F3BAB"/>
    <w:rsid w:val="00972FB8"/>
    <w:rsid w:val="00A34A4E"/>
    <w:rsid w:val="00A743D4"/>
    <w:rsid w:val="00A82BF8"/>
    <w:rsid w:val="00B529BF"/>
    <w:rsid w:val="00C0531E"/>
    <w:rsid w:val="00CA6AF7"/>
    <w:rsid w:val="00D2039F"/>
    <w:rsid w:val="00D53AF8"/>
    <w:rsid w:val="00DA21ED"/>
    <w:rsid w:val="00DB4AEE"/>
    <w:rsid w:val="00DB73EA"/>
    <w:rsid w:val="00E46974"/>
    <w:rsid w:val="00EA37A5"/>
    <w:rsid w:val="00EF0C21"/>
    <w:rsid w:val="00F55938"/>
    <w:rsid w:val="00FB2024"/>
    <w:rsid w:val="00FC50AF"/>
    <w:rsid w:val="00FC6EEC"/>
    <w:rsid w:val="00FD6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DF26864"/>
  <w15:docId w15:val="{979C4513-035B-47AA-9F17-9E266834C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938"/>
  </w:style>
  <w:style w:type="paragraph" w:styleId="Heading1">
    <w:name w:val="heading 1"/>
    <w:basedOn w:val="Normal"/>
    <w:next w:val="Normal"/>
    <w:link w:val="Heading1Char"/>
    <w:uiPriority w:val="9"/>
    <w:qFormat/>
    <w:rsid w:val="00F55938"/>
    <w:pPr>
      <w:keepNext/>
      <w:keepLines/>
      <w:spacing w:before="360" w:after="80" w:line="278" w:lineRule="auto"/>
      <w:outlineLvl w:val="0"/>
    </w:pPr>
    <w:rPr>
      <w:rFonts w:asciiTheme="majorHAnsi" w:eastAsiaTheme="majorEastAsia" w:hAnsiTheme="majorHAnsi" w:cstheme="majorBidi"/>
      <w:color w:val="365F91" w:themeColor="accent1" w:themeShade="BF"/>
      <w:kern w:val="2"/>
      <w:sz w:val="40"/>
      <w:szCs w:val="40"/>
      <w:lang w:val="en-GB"/>
    </w:rPr>
  </w:style>
  <w:style w:type="paragraph" w:styleId="Heading3">
    <w:name w:val="heading 3"/>
    <w:basedOn w:val="Normal"/>
    <w:next w:val="Normal"/>
    <w:link w:val="Heading3Char"/>
    <w:uiPriority w:val="9"/>
    <w:semiHidden/>
    <w:unhideWhenUsed/>
    <w:qFormat/>
    <w:rsid w:val="003350E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3350EB"/>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938"/>
    <w:rPr>
      <w:rFonts w:asciiTheme="majorHAnsi" w:eastAsiaTheme="majorEastAsia" w:hAnsiTheme="majorHAnsi" w:cstheme="majorBidi"/>
      <w:color w:val="365F91" w:themeColor="accent1" w:themeShade="BF"/>
      <w:kern w:val="2"/>
      <w:sz w:val="40"/>
      <w:szCs w:val="40"/>
      <w:lang w:val="en-GB"/>
    </w:rPr>
  </w:style>
  <w:style w:type="character" w:customStyle="1" w:styleId="NoSpacingChar">
    <w:name w:val="No Spacing Char"/>
    <w:basedOn w:val="DefaultParagraphFont"/>
    <w:link w:val="NoSpacing"/>
    <w:uiPriority w:val="1"/>
    <w:locked/>
    <w:rsid w:val="00F55938"/>
    <w:rPr>
      <w:rFonts w:ascii="Times New Roman" w:eastAsiaTheme="minorEastAsia" w:hAnsi="Times New Roman" w:cs="Times New Roman"/>
    </w:rPr>
  </w:style>
  <w:style w:type="paragraph" w:styleId="NoSpacing">
    <w:name w:val="No Spacing"/>
    <w:link w:val="NoSpacingChar"/>
    <w:uiPriority w:val="1"/>
    <w:qFormat/>
    <w:rsid w:val="00F55938"/>
    <w:pPr>
      <w:spacing w:after="0" w:line="240" w:lineRule="auto"/>
    </w:pPr>
    <w:rPr>
      <w:rFonts w:ascii="Times New Roman" w:eastAsiaTheme="minorEastAsia" w:hAnsi="Times New Roman" w:cs="Times New Roman"/>
    </w:rPr>
  </w:style>
  <w:style w:type="character" w:styleId="Hyperlink">
    <w:name w:val="Hyperlink"/>
    <w:basedOn w:val="DefaultParagraphFont"/>
    <w:uiPriority w:val="99"/>
    <w:unhideWhenUsed/>
    <w:rsid w:val="00F55938"/>
    <w:rPr>
      <w:color w:val="0000FF" w:themeColor="hyperlink"/>
      <w:u w:val="single"/>
    </w:rPr>
  </w:style>
  <w:style w:type="paragraph" w:styleId="BalloonText">
    <w:name w:val="Balloon Text"/>
    <w:basedOn w:val="Normal"/>
    <w:link w:val="BalloonTextChar"/>
    <w:uiPriority w:val="99"/>
    <w:semiHidden/>
    <w:unhideWhenUsed/>
    <w:rsid w:val="00F559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938"/>
    <w:rPr>
      <w:rFonts w:ascii="Tahoma" w:hAnsi="Tahoma" w:cs="Tahoma"/>
      <w:sz w:val="16"/>
      <w:szCs w:val="16"/>
    </w:rPr>
  </w:style>
  <w:style w:type="paragraph" w:styleId="Header">
    <w:name w:val="header"/>
    <w:basedOn w:val="Normal"/>
    <w:link w:val="HeaderChar"/>
    <w:uiPriority w:val="99"/>
    <w:unhideWhenUsed/>
    <w:rsid w:val="008D6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41A"/>
  </w:style>
  <w:style w:type="paragraph" w:styleId="Footer">
    <w:name w:val="footer"/>
    <w:basedOn w:val="Normal"/>
    <w:link w:val="FooterChar"/>
    <w:uiPriority w:val="99"/>
    <w:unhideWhenUsed/>
    <w:rsid w:val="008D6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41A"/>
  </w:style>
  <w:style w:type="character" w:customStyle="1" w:styleId="Heading3Char">
    <w:name w:val="Heading 3 Char"/>
    <w:basedOn w:val="DefaultParagraphFont"/>
    <w:link w:val="Heading3"/>
    <w:uiPriority w:val="9"/>
    <w:semiHidden/>
    <w:rsid w:val="003350EB"/>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3350EB"/>
    <w:rPr>
      <w:rFonts w:asciiTheme="majorHAnsi" w:eastAsiaTheme="majorEastAsia" w:hAnsiTheme="majorHAnsi" w:cstheme="majorBidi"/>
      <w:i/>
      <w:iCs/>
      <w:color w:val="365F91" w:themeColor="accent1" w:themeShade="BF"/>
    </w:rPr>
  </w:style>
  <w:style w:type="paragraph" w:styleId="NormalWeb">
    <w:name w:val="Normal (Web)"/>
    <w:basedOn w:val="Normal"/>
    <w:uiPriority w:val="99"/>
    <w:unhideWhenUsed/>
    <w:rsid w:val="003350E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350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6642076">
      <w:bodyDiv w:val="1"/>
      <w:marLeft w:val="0"/>
      <w:marRight w:val="0"/>
      <w:marTop w:val="0"/>
      <w:marBottom w:val="0"/>
      <w:divBdr>
        <w:top w:val="none" w:sz="0" w:space="0" w:color="auto"/>
        <w:left w:val="none" w:sz="0" w:space="0" w:color="auto"/>
        <w:bottom w:val="none" w:sz="0" w:space="0" w:color="auto"/>
        <w:right w:val="none" w:sz="0" w:space="0" w:color="auto"/>
      </w:divBdr>
    </w:div>
    <w:div w:id="1471557022">
      <w:bodyDiv w:val="1"/>
      <w:marLeft w:val="0"/>
      <w:marRight w:val="0"/>
      <w:marTop w:val="0"/>
      <w:marBottom w:val="0"/>
      <w:divBdr>
        <w:top w:val="none" w:sz="0" w:space="0" w:color="auto"/>
        <w:left w:val="none" w:sz="0" w:space="0" w:color="auto"/>
        <w:bottom w:val="none" w:sz="0" w:space="0" w:color="auto"/>
        <w:right w:val="none" w:sz="0" w:space="0" w:color="auto"/>
      </w:divBdr>
    </w:div>
    <w:div w:id="1951738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 TargetMode="External"/><Relationship Id="rId13" Type="http://schemas.openxmlformats.org/officeDocument/2006/relationships/hyperlink" Target="https://www.researchgate.net" TargetMode="Externa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thestrategystory.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itchgrade.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talcommons.calpoly.edu" TargetMode="External"/><Relationship Id="rId4" Type="http://schemas.openxmlformats.org/officeDocument/2006/relationships/webSettings" Target="webSettings.xml"/><Relationship Id="rId9" Type="http://schemas.openxmlformats.org/officeDocument/2006/relationships/hyperlink" Target="https://www.linkedin.com/pulse" TargetMode="External"/><Relationship Id="rId14" Type="http://schemas.openxmlformats.org/officeDocument/2006/relationships/hyperlink" Target="https://www.peoplemanagemen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14</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28</cp:revision>
  <dcterms:created xsi:type="dcterms:W3CDTF">2025-03-05T11:11:00Z</dcterms:created>
  <dcterms:modified xsi:type="dcterms:W3CDTF">2025-03-14T23:14:00Z</dcterms:modified>
</cp:coreProperties>
</file>