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93650" w14:textId="338E972F" w:rsidR="0012624F" w:rsidRDefault="0012624F" w:rsidP="008C3431">
      <w:pPr>
        <w:jc w:val="center"/>
        <w:rPr>
          <w:rFonts w:ascii="Times New Roman" w:hAnsi="Times New Roman" w:cs="Times New Roman"/>
          <w:sz w:val="32"/>
          <w:szCs w:val="32"/>
        </w:rPr>
      </w:pPr>
      <w:r>
        <w:rPr>
          <w:rFonts w:ascii="Times New Roman" w:hAnsi="Times New Roman" w:cs="Times New Roman"/>
          <w:sz w:val="32"/>
          <w:szCs w:val="32"/>
        </w:rPr>
        <w:t xml:space="preserve">Lenuta Raducanu </w:t>
      </w:r>
    </w:p>
    <w:p w14:paraId="4B7B2AAB" w14:textId="583726EA" w:rsidR="0012624F" w:rsidRDefault="0012624F" w:rsidP="008C3431">
      <w:pPr>
        <w:jc w:val="center"/>
        <w:rPr>
          <w:rFonts w:ascii="Times New Roman" w:hAnsi="Times New Roman" w:cs="Times New Roman"/>
          <w:sz w:val="32"/>
          <w:szCs w:val="32"/>
        </w:rPr>
      </w:pPr>
      <w:r>
        <w:rPr>
          <w:rFonts w:ascii="Times New Roman" w:hAnsi="Times New Roman" w:cs="Times New Roman"/>
          <w:sz w:val="32"/>
          <w:szCs w:val="32"/>
        </w:rPr>
        <w:t>HPHP 5901 Sex, Sexuality and Gender</w:t>
      </w:r>
    </w:p>
    <w:p w14:paraId="1F7C002A" w14:textId="31827B9E" w:rsidR="0012624F" w:rsidRDefault="0012624F" w:rsidP="008C3431">
      <w:pPr>
        <w:jc w:val="center"/>
        <w:rPr>
          <w:rFonts w:ascii="Times New Roman" w:hAnsi="Times New Roman" w:cs="Times New Roman"/>
          <w:sz w:val="32"/>
          <w:szCs w:val="32"/>
        </w:rPr>
      </w:pPr>
      <w:r>
        <w:rPr>
          <w:rFonts w:ascii="Times New Roman" w:hAnsi="Times New Roman" w:cs="Times New Roman"/>
          <w:sz w:val="32"/>
          <w:szCs w:val="32"/>
        </w:rPr>
        <w:t xml:space="preserve">Essay </w:t>
      </w:r>
    </w:p>
    <w:p w14:paraId="37D4A1F6" w14:textId="77777777" w:rsidR="0012624F" w:rsidRDefault="0012624F" w:rsidP="008C3431">
      <w:pPr>
        <w:jc w:val="center"/>
        <w:rPr>
          <w:rFonts w:ascii="Times New Roman" w:hAnsi="Times New Roman" w:cs="Times New Roman"/>
          <w:sz w:val="32"/>
          <w:szCs w:val="32"/>
        </w:rPr>
      </w:pPr>
    </w:p>
    <w:p w14:paraId="4D9C213C" w14:textId="77777777" w:rsidR="0012624F" w:rsidRDefault="0012624F" w:rsidP="008C3431">
      <w:pPr>
        <w:jc w:val="center"/>
        <w:rPr>
          <w:rFonts w:ascii="Times New Roman" w:hAnsi="Times New Roman" w:cs="Times New Roman"/>
          <w:sz w:val="32"/>
          <w:szCs w:val="32"/>
        </w:rPr>
      </w:pPr>
    </w:p>
    <w:p w14:paraId="77CB854B" w14:textId="73563780" w:rsidR="00754349" w:rsidRPr="0012624F" w:rsidRDefault="008C3431" w:rsidP="008C3431">
      <w:pPr>
        <w:jc w:val="center"/>
        <w:rPr>
          <w:rFonts w:ascii="Times New Roman" w:hAnsi="Times New Roman" w:cs="Times New Roman"/>
          <w:sz w:val="32"/>
          <w:szCs w:val="32"/>
        </w:rPr>
      </w:pPr>
      <w:r w:rsidRPr="0012624F">
        <w:rPr>
          <w:rFonts w:ascii="Times New Roman" w:hAnsi="Times New Roman" w:cs="Times New Roman"/>
          <w:sz w:val="32"/>
          <w:szCs w:val="32"/>
        </w:rPr>
        <w:t>Power of Man: A Foucauldian Analysis of Digital “Real-Man” Discourse and the Discipline of Masculinity</w:t>
      </w:r>
    </w:p>
    <w:p w14:paraId="511FD6EB" w14:textId="77777777" w:rsidR="008C3431" w:rsidRDefault="008C3431" w:rsidP="008C3431">
      <w:pPr>
        <w:jc w:val="center"/>
      </w:pPr>
    </w:p>
    <w:p w14:paraId="05FDEFA6" w14:textId="62BF0125" w:rsidR="008C3431" w:rsidRDefault="008C3431" w:rsidP="008C3431">
      <w:pPr>
        <w:pStyle w:val="NormalWeb"/>
      </w:pPr>
      <w:r>
        <w:t xml:space="preserve">As we consider current thinking on "masculinity" through the lens of modern culture; specifically digital </w:t>
      </w:r>
      <w:r w:rsidR="0012624F">
        <w:t>media “</w:t>
      </w:r>
      <w:r>
        <w:t xml:space="preserve">advice" videos, self-help podcasts, online dating advice and lifestyle coaches claiming to help men achieve the status of "high value", "dominant", "disciplined", or "real". I will use Michel Foucault's analytical tools to examine this singular cultural </w:t>
      </w:r>
      <w:r w:rsidR="0012624F">
        <w:t>development, the</w:t>
      </w:r>
      <w:r>
        <w:t xml:space="preserve"> digital "</w:t>
      </w:r>
      <w:r w:rsidR="0012624F">
        <w:t>real man</w:t>
      </w:r>
      <w:r>
        <w:t>" discourse.</w:t>
      </w:r>
    </w:p>
    <w:p w14:paraId="79DF6C06" w14:textId="0DCDB41B" w:rsidR="008C3431" w:rsidRDefault="008C3431" w:rsidP="008C3431">
      <w:pPr>
        <w:pStyle w:val="NormalWeb"/>
      </w:pPr>
      <w:r>
        <w:t>Foucault provides a valuable framework for this examination as he repositions our analysis of masculinity from being a stable internal essence to one that has been socially constructed via the effects of power/knowledge, institutional practice, and subjectification. While prior approaches have tended to view masculine dominance solely as either individual attitude or interpersonal aggression; a Foucauldian perspective asks how masculinity comes to be thought of, desired, and mandatory via the discourses and techniques that organize bodies, pleasures, aspirations, and self-interpretations.</w:t>
      </w:r>
      <w:r w:rsidR="00210980">
        <w:rPr>
          <w:rStyle w:val="FootnoteReference"/>
        </w:rPr>
        <w:footnoteReference w:id="1"/>
      </w:r>
    </w:p>
    <w:p w14:paraId="0B402646" w14:textId="1F4AFF59" w:rsidR="008C3431" w:rsidRDefault="008C3431" w:rsidP="008C3431">
      <w:pPr>
        <w:pStyle w:val="NormalWeb"/>
      </w:pPr>
      <w:r>
        <w:t>In my argument, I contend that digital "</w:t>
      </w:r>
      <w:r w:rsidR="0012624F">
        <w:t>real man</w:t>
      </w:r>
      <w:r>
        <w:t>" discourse functions as a modern apparatus (</w:t>
      </w:r>
      <w:r w:rsidR="0012624F">
        <w:t>dispositive</w:t>
      </w:r>
      <w:r>
        <w:t xml:space="preserve">) that disseminates the standardizing of normative masculine values and </w:t>
      </w:r>
      <w:proofErr w:type="gramStart"/>
      <w:r>
        <w:t>recruits</w:t>
      </w:r>
      <w:proofErr w:type="gramEnd"/>
      <w:r>
        <w:t xml:space="preserve"> men into self-regulatory processes. It does so through three interlocking mechanisms. First, it creates a regime of truth about what men are and should be (strong, in control, sexually successful, emotionally restrained, entrepreneurially independent)</w:t>
      </w:r>
      <w:r w:rsidR="00210980">
        <w:rPr>
          <w:rStyle w:val="FootnoteReference"/>
        </w:rPr>
        <w:footnoteReference w:id="2"/>
      </w:r>
      <w:r>
        <w:t xml:space="preserve">; second, it organizes disciplinary power through the prescription of routines, measurement systems, and corrective practices to optimize the male body and </w:t>
      </w:r>
      <w:r w:rsidR="0062707D">
        <w:t>behaviour</w:t>
      </w:r>
      <w:r>
        <w:t xml:space="preserve"> (gym regimes, productivity schedules, "rules" of dating and leadership)</w:t>
      </w:r>
      <w:r w:rsidR="00210980">
        <w:rPr>
          <w:rStyle w:val="FootnoteReference"/>
        </w:rPr>
        <w:t>3</w:t>
      </w:r>
      <w:r>
        <w:t>; third, it generates a panopticon-like environment where men learn to survey both themselves and one another through metrics, visibility, and peer commentary and thereby replace overt coercion with self-policing.</w:t>
      </w:r>
      <w:r w:rsidR="00210980">
        <w:rPr>
          <w:rStyle w:val="FootnoteReference"/>
        </w:rPr>
        <w:t>4</w:t>
      </w:r>
      <w:r>
        <w:t xml:space="preserve">As such, while digital "real-man" discourse is not just an opinion on gender, it is an everyday technology of subjectivation where men are rendered intelligible to themselves and others based upon the degree to which they align their bodies and </w:t>
      </w:r>
      <w:r w:rsidR="0062707D">
        <w:t>behaviours</w:t>
      </w:r>
      <w:r>
        <w:t xml:space="preserve"> with a circulating norm.</w:t>
      </w:r>
    </w:p>
    <w:p w14:paraId="7C670CC4" w14:textId="4B5AA99B" w:rsidR="008C3431" w:rsidRPr="0062707D" w:rsidRDefault="008C3431" w:rsidP="008C3431">
      <w:pPr>
        <w:rPr>
          <w:rFonts w:ascii="Times New Roman" w:hAnsi="Times New Roman" w:cs="Times New Roman"/>
          <w:b/>
          <w:bCs/>
          <w:sz w:val="28"/>
          <w:szCs w:val="28"/>
        </w:rPr>
      </w:pPr>
      <w:r w:rsidRPr="0062707D">
        <w:rPr>
          <w:rFonts w:ascii="Times New Roman" w:hAnsi="Times New Roman" w:cs="Times New Roman"/>
          <w:b/>
          <w:bCs/>
          <w:sz w:val="28"/>
          <w:szCs w:val="28"/>
        </w:rPr>
        <w:t>Foucault’s toolkit: discourse, discipline, and subjectivation</w:t>
      </w:r>
    </w:p>
    <w:p w14:paraId="1010E157" w14:textId="62C85A95" w:rsidR="008C3431" w:rsidRDefault="008C3431" w:rsidP="008C3431">
      <w:pPr>
        <w:pStyle w:val="NormalWeb"/>
      </w:pPr>
      <w:r>
        <w:lastRenderedPageBreak/>
        <w:t>The primary focus for Foucault is the understanding of "power" is that power is not limited to law, repression, or the State. Power is productive: it creates knowledge, generates classifications of people, and organizes action.</w:t>
      </w:r>
      <w:r w:rsidR="00210980">
        <w:rPr>
          <w:rStyle w:val="FootnoteReference"/>
        </w:rPr>
        <w:t>5</w:t>
      </w:r>
      <w:r>
        <w:t>This has implications for "masculinity" since "man" is not only a biological classification, but a socially constructed category of identity that has been stabilized through various discourses that establish norms of what is "normal," and what is considered "deviant." Discourses, according to Foucault, do not simply describe reality; they create what can be spoken, who can speak, what will be recognized as credible evidence, and what types of identities are recognized as valid.</w:t>
      </w:r>
      <w:r w:rsidR="00210980">
        <w:rPr>
          <w:rStyle w:val="FootnoteReference"/>
        </w:rPr>
        <w:t>6</w:t>
      </w:r>
      <w:r w:rsidR="00210980">
        <w:t xml:space="preserve"> </w:t>
      </w:r>
      <w:r>
        <w:t>Therefore, when applying Foucault's theory to the production and maintenance of "gender," it can be understood that "masculinity" is created and sustained through repeated descriptions, evaluations, and prescriptions that are perceived as natural because they have become part of everyday language and "common sense."</w:t>
      </w:r>
    </w:p>
    <w:p w14:paraId="72A188FD" w14:textId="69B2A8D7" w:rsidR="008C3431" w:rsidRDefault="008C3431" w:rsidP="008C3431">
      <w:pPr>
        <w:pStyle w:val="NormalWeb"/>
      </w:pPr>
      <w:r>
        <w:t>It is disciplinary power that is critical to this process. In Discipline and Punish, Foucault described modern forms of disciplinary power as a series of micro-techniques used to train the body through routines, schedules, exams, and norms.</w:t>
      </w:r>
      <w:r w:rsidR="00210980">
        <w:rPr>
          <w:rStyle w:val="FootnoteReference"/>
        </w:rPr>
        <w:t>7</w:t>
      </w:r>
      <w:r>
        <w:t xml:space="preserve"> These techniques produce "docile bodies": not weak bodies, but rather bodies that are useful, predictable, and economically/socially optimized.</w:t>
      </w:r>
      <w:r w:rsidR="00210980">
        <w:t xml:space="preserve"> </w:t>
      </w:r>
      <w:r w:rsidR="00210980">
        <w:rPr>
          <w:rStyle w:val="FootnoteReference"/>
        </w:rPr>
        <w:t>8</w:t>
      </w:r>
      <w:r w:rsidR="00210980">
        <w:t xml:space="preserve"> </w:t>
      </w:r>
      <w:r>
        <w:t xml:space="preserve">Norms serve as a principal instrument of discipline by establishing standards for </w:t>
      </w:r>
      <w:r w:rsidR="0062707D">
        <w:t>behaviour</w:t>
      </w:r>
      <w:r>
        <w:t xml:space="preserve"> and inducing individuals to evaluate their actions based upon these established standards.</w:t>
      </w:r>
      <w:r w:rsidR="00210980">
        <w:rPr>
          <w:rStyle w:val="FootnoteReference"/>
        </w:rPr>
        <w:t>9</w:t>
      </w:r>
    </w:p>
    <w:p w14:paraId="3A114F91" w14:textId="6853C752" w:rsidR="008C3431" w:rsidRDefault="008C3431" w:rsidP="008C3431">
      <w:pPr>
        <w:pStyle w:val="NormalWeb"/>
      </w:pPr>
      <w:proofErr w:type="spellStart"/>
      <w:r>
        <w:t>Panopticism</w:t>
      </w:r>
      <w:proofErr w:type="spellEnd"/>
      <w:r>
        <w:t xml:space="preserve"> is another method of discipline. </w:t>
      </w:r>
      <w:proofErr w:type="spellStart"/>
      <w:r>
        <w:t>Panopticism</w:t>
      </w:r>
      <w:proofErr w:type="spellEnd"/>
      <w:r>
        <w:t xml:space="preserve"> refers to the notion that individuals will voluntarily observe and police themselves due to the fact that they are aware that they may be observed at any time, either by a human observer or through digital means.</w:t>
      </w:r>
      <w:r w:rsidR="0012624F">
        <w:rPr>
          <w:rStyle w:val="FootnoteReference"/>
        </w:rPr>
        <w:t>1</w:t>
      </w:r>
      <w:r w:rsidR="0012624F">
        <w:t xml:space="preserve">0 </w:t>
      </w:r>
      <w:r>
        <w:t xml:space="preserve">While </w:t>
      </w:r>
      <w:proofErr w:type="spellStart"/>
      <w:r>
        <w:t>panopticism</w:t>
      </w:r>
      <w:proofErr w:type="spellEnd"/>
      <w:r>
        <w:t xml:space="preserve"> was initially conceived as a physical model of a prison system (where prisoners were visible to prison guards), it is now more accurately conceptualized as a logic of governance where individuals are conditioned to anticipate evaluation and therefore monitor themselves.</w:t>
      </w:r>
      <w:r w:rsidR="0012624F">
        <w:rPr>
          <w:rStyle w:val="EndnoteReference"/>
        </w:rPr>
        <w:endnoteReference w:id="1"/>
      </w:r>
      <w:r>
        <w:t xml:space="preserve"> The digital environment enhances this form of self-regulation by providing a mechanism through which conduct can be measured and made </w:t>
      </w:r>
      <w:proofErr w:type="spellStart"/>
      <w:r>
        <w:t>publically</w:t>
      </w:r>
      <w:proofErr w:type="spellEnd"/>
      <w:r>
        <w:t xml:space="preserve"> visible ("followers", "likes", "progress photos", "before/after" transformations).12</w:t>
      </w:r>
    </w:p>
    <w:p w14:paraId="452638AE" w14:textId="77777777" w:rsidR="008C3431" w:rsidRDefault="008C3431" w:rsidP="008C3431">
      <w:pPr>
        <w:pStyle w:val="NormalWeb"/>
      </w:pPr>
      <w:r>
        <w:t>Finally, Foucault's later work on ethics and "technologies of the self" explains why men would choose to engage in self-demanding forms of masculine discipline.13 According to Foucault, individuals are not only constrained by power; they are also participants in shaping themselves using the available cultural scripts.14 The digital environment provides exactly that type of script for becoming a certain type of man, and frames it as self-control and liberation.15 From a Foucauldian perspective, this is not contradictory; it is the way in which modern forms of power operate — by making governmentality congruent with aspirations.</w:t>
      </w:r>
    </w:p>
    <w:p w14:paraId="1C88321F" w14:textId="04784D5D" w:rsidR="008C3431" w:rsidRPr="0062707D" w:rsidRDefault="008C3431" w:rsidP="008C3431">
      <w:pPr>
        <w:rPr>
          <w:rFonts w:ascii="Times New Roman" w:hAnsi="Times New Roman" w:cs="Times New Roman"/>
          <w:b/>
          <w:bCs/>
          <w:sz w:val="28"/>
          <w:szCs w:val="28"/>
        </w:rPr>
      </w:pPr>
      <w:r w:rsidRPr="0062707D">
        <w:rPr>
          <w:rFonts w:ascii="Times New Roman" w:hAnsi="Times New Roman" w:cs="Times New Roman"/>
          <w:b/>
          <w:bCs/>
          <w:sz w:val="28"/>
          <w:szCs w:val="28"/>
        </w:rPr>
        <w:t>Digital “</w:t>
      </w:r>
      <w:proofErr w:type="gramStart"/>
      <w:r w:rsidRPr="0062707D">
        <w:rPr>
          <w:rFonts w:ascii="Times New Roman" w:hAnsi="Times New Roman" w:cs="Times New Roman"/>
          <w:b/>
          <w:bCs/>
          <w:sz w:val="28"/>
          <w:szCs w:val="28"/>
        </w:rPr>
        <w:t>real-man</w:t>
      </w:r>
      <w:proofErr w:type="gramEnd"/>
      <w:r w:rsidRPr="0062707D">
        <w:rPr>
          <w:rFonts w:ascii="Times New Roman" w:hAnsi="Times New Roman" w:cs="Times New Roman"/>
          <w:b/>
          <w:bCs/>
          <w:sz w:val="28"/>
          <w:szCs w:val="28"/>
        </w:rPr>
        <w:t>” discourse as an apparatus of masculine normativity</w:t>
      </w:r>
    </w:p>
    <w:p w14:paraId="726D93C2" w14:textId="77777777" w:rsidR="008C3431" w:rsidRDefault="008C3431" w:rsidP="008C3431">
      <w:pPr>
        <w:pStyle w:val="NormalWeb"/>
      </w:pPr>
      <w:r>
        <w:t xml:space="preserve">The primary focus for Foucault is the understanding of "power" is that power is not limited to law, repression, or the State. Power is productive: it creates knowledge, generates classifications of people, and organizes action.5 This has implications for "masculinity" since "man" is not only a biological classification, but a socially constructed category of identity that has been stabilized through various discourses that establish norms of what is "normal," and what is considered "deviant." Discourses, according to Foucault, do not simply describe reality; they create what can be spoken, who can speak, what will be recognized as credible evidence, and what types of identities are recognized as valid.6 Therefore, when applying Foucault's theory to the production and maintenance of "gender," it can be understood that </w:t>
      </w:r>
      <w:r>
        <w:lastRenderedPageBreak/>
        <w:t>"masculinity" is created and sustained through repeated descriptions, evaluations, and prescriptions that are perceived as natural because they have become part of everyday language and "common sense."</w:t>
      </w:r>
    </w:p>
    <w:p w14:paraId="27824046" w14:textId="31928917" w:rsidR="008C3431" w:rsidRDefault="008C3431" w:rsidP="0062707D">
      <w:pPr>
        <w:pStyle w:val="NormalWeb"/>
      </w:pPr>
      <w:r>
        <w:t xml:space="preserve">It is disciplinary power that is critical to this process. In Discipline and Punish, Foucault described modern forms of disciplinary power as a series of micro-techniques used to train the body through routines, schedules, exams, and norms.7 These techniques produce "docile bodies": not weak bodies, but rather bodies that are useful, predictable, and economically/socially optimized.8 Norms serve as a principal instrument of discipline by establishing standards for </w:t>
      </w:r>
      <w:r w:rsidR="0062707D">
        <w:t>behaviour</w:t>
      </w:r>
      <w:r>
        <w:t xml:space="preserve"> and inducing individuals to evaluate their actions based </w:t>
      </w:r>
    </w:p>
    <w:p w14:paraId="059020E0" w14:textId="508DC36C" w:rsidR="008C3431" w:rsidRPr="0062707D" w:rsidRDefault="008C3431" w:rsidP="008C3431">
      <w:pPr>
        <w:rPr>
          <w:rFonts w:ascii="Times New Roman" w:hAnsi="Times New Roman" w:cs="Times New Roman"/>
          <w:b/>
          <w:bCs/>
          <w:sz w:val="28"/>
          <w:szCs w:val="28"/>
        </w:rPr>
      </w:pPr>
      <w:r w:rsidRPr="0062707D">
        <w:rPr>
          <w:rFonts w:ascii="Times New Roman" w:hAnsi="Times New Roman" w:cs="Times New Roman"/>
          <w:b/>
          <w:bCs/>
          <w:sz w:val="28"/>
          <w:szCs w:val="28"/>
        </w:rPr>
        <w:t>Disciplining the body: optimisation, routine, and the “useful man”</w:t>
      </w:r>
    </w:p>
    <w:p w14:paraId="7CADF86D" w14:textId="77777777" w:rsidR="00210980" w:rsidRDefault="00210980" w:rsidP="00210980">
      <w:pPr>
        <w:pStyle w:val="NormalWeb"/>
      </w:pPr>
      <w:r>
        <w:t>The main area of digital masculinity discourse is the disciplined male body. In this sense, the body is treated as a project and can be changed through the process of diet, training and "grind" routines. These processes illustrate very well the concepts described by Foucault as disciplines - timetables, repeated exercises, continuous measurement, continuous demands for improvement. Here men are asked to audit themselves, using measurements (body fat percentage, lifts, daily routine, sleep, testosterone "enhancements") to turn their bodies into objects of both calculation and correction.</w:t>
      </w:r>
    </w:p>
    <w:p w14:paraId="39205872" w14:textId="77777777" w:rsidR="00210980" w:rsidRDefault="00210980" w:rsidP="00210980">
      <w:pPr>
        <w:pStyle w:val="NormalWeb"/>
      </w:pPr>
      <w:r>
        <w:t>In this sense, the norm acts as a technology of power. The "Ideal Man" is not only admired but built as a standard from which men are ranked. As such, digital masculinity discourse creates a hierarchical form of masculinity - some men are acknowledged as more completely "men" than other men. Connell's theory of hegemonic masculinity illustrates this hierarchical ranking of men - cultural ideals of masculinity legitimize male dominance, yet also marginalize subordinate forms of masculinity (e.g., men perceived as being too soft, not enough straight, not enough successful).¹⁴ Moreover, digital discourse commonly increases this hierarchy by connecting men's legitimacy to visible signs - muscle mass, wealth, sexual access - thereby transforming masculinity into a competitive economy.</w:t>
      </w:r>
    </w:p>
    <w:p w14:paraId="28EDE827" w14:textId="40E5DC32" w:rsidR="00210980" w:rsidRDefault="00210980" w:rsidP="00210980">
      <w:pPr>
        <w:pStyle w:val="NormalWeb"/>
      </w:pPr>
      <w:r>
        <w:t xml:space="preserve">Similarly, Bourdieu asserts that gender domination persists through embodied dispositions and social </w:t>
      </w:r>
      <w:r w:rsidR="0062707D">
        <w:t>recognition. ¹</w:t>
      </w:r>
      <w:r>
        <w:t xml:space="preserve">⁵ Masculinity is not only demonstrated, but it must be recognized by others. Digital platforms institutionalize this type of recognition by making approval quantifiable. "Before and after" photos, "glow-ups", and demonstrations of performance do not simply represent an individual's </w:t>
      </w:r>
      <w:r w:rsidR="0062707D">
        <w:t>identity but</w:t>
      </w:r>
      <w:r>
        <w:t xml:space="preserve"> also request judgment and further reinforce a system in which masculine value is measurable. As such, the disciplinary effect is expected: the more men accept the standards, the more they will be governed by those standards.</w:t>
      </w:r>
    </w:p>
    <w:p w14:paraId="49EFF8BC" w14:textId="77777777" w:rsidR="00210980" w:rsidRPr="0062707D" w:rsidRDefault="00210980" w:rsidP="00210980">
      <w:pPr>
        <w:pStyle w:val="NormalWeb"/>
        <w:rPr>
          <w:b/>
          <w:bCs/>
        </w:rPr>
      </w:pPr>
      <w:r w:rsidRPr="0062707D">
        <w:rPr>
          <w:b/>
          <w:bCs/>
        </w:rPr>
        <w:t xml:space="preserve">Surveillance and </w:t>
      </w:r>
      <w:proofErr w:type="spellStart"/>
      <w:r w:rsidRPr="0062707D">
        <w:rPr>
          <w:b/>
          <w:bCs/>
        </w:rPr>
        <w:t>Panopticism</w:t>
      </w:r>
      <w:proofErr w:type="spellEnd"/>
      <w:r w:rsidRPr="0062707D">
        <w:rPr>
          <w:b/>
          <w:bCs/>
        </w:rPr>
        <w:t xml:space="preserve"> of Platforms</w:t>
      </w:r>
    </w:p>
    <w:p w14:paraId="1626129A" w14:textId="2D8D43EA" w:rsidR="00210980" w:rsidRDefault="00210980" w:rsidP="00210980">
      <w:pPr>
        <w:pStyle w:val="NormalWeb"/>
      </w:pPr>
      <w:r>
        <w:t xml:space="preserve">Digital culture amplifies </w:t>
      </w:r>
      <w:proofErr w:type="spellStart"/>
      <w:r>
        <w:t>panopticism</w:t>
      </w:r>
      <w:proofErr w:type="spellEnd"/>
      <w:r>
        <w:t xml:space="preserve"> </w:t>
      </w:r>
      <w:r w:rsidR="0062707D">
        <w:t>because</w:t>
      </w:r>
      <w:r>
        <w:t xml:space="preserve"> surveillance is both ambient and interactive. Men do not require one authority figure to monitor them; the comments section, peer group, and algorithmic exposure establish an environment in which masculinity is continuously evaluated. In Foucault's panopticon, conformity occurs because individuals can be </w:t>
      </w:r>
      <w:r w:rsidR="0062707D">
        <w:t>seen and</w:t>
      </w:r>
      <w:r>
        <w:t xml:space="preserve"> therefore must believe that they are being </w:t>
      </w:r>
      <w:r w:rsidR="0062707D">
        <w:t>judged. ¹</w:t>
      </w:r>
      <w:r>
        <w:t>⁶ Thus, on digital platforms, men understand that specific types of performance (e.g., stoicism, dominance, sexual confidence, contempt for weakness) receive rewards of attention while others are punished with ridicule or invisibility. The audience functions as a means of discipline.</w:t>
      </w:r>
    </w:p>
    <w:p w14:paraId="4DA44A4D" w14:textId="77777777" w:rsidR="00210980" w:rsidRDefault="00210980" w:rsidP="00210980">
      <w:pPr>
        <w:pStyle w:val="NormalWeb"/>
      </w:pPr>
      <w:r>
        <w:lastRenderedPageBreak/>
        <w:t>Moreover, this is a mechanism of self-surveillance. Men begin to expect judgment and anticipate it: "Would I appear weak if I expressed anxiety?" "Will I be respected if I show vulnerability?" "Should I portray my relationship as control over you instead of care for you?" The point is not that all men accept these norms; rather, the discourse establishes a field of potential actions and potential punishments. Resistance to these norms is also framed by the norm, since the norm defines what is considered acceptable and worthy of recognition.</w:t>
      </w:r>
    </w:p>
    <w:p w14:paraId="32C35A31" w14:textId="29992B5B" w:rsidR="00210980" w:rsidRDefault="00210980" w:rsidP="00210980">
      <w:pPr>
        <w:pStyle w:val="NormalWeb"/>
      </w:pPr>
      <w:r>
        <w:t xml:space="preserve">For example, Goffman's research on the presentation of self </w:t>
      </w:r>
      <w:r w:rsidR="0062707D">
        <w:t>clarifies</w:t>
      </w:r>
      <w:r>
        <w:t xml:space="preserve"> how men perform identities in digital </w:t>
      </w:r>
      <w:r w:rsidR="0062707D">
        <w:t>environments. ¹</w:t>
      </w:r>
      <w:r>
        <w:t>⁷ Social life involves managing impressions and sustaining identities through performance in front of audiences. Digital masculinity discourse provides scripts for this performance, teaching men about posture, speech, style and interpersonal strategies. However, whereas Goffman emphasizes the dramaturgical aspects of interactions, Foucault examines the politics of this process - creating governable subjects through normalization. Combined, they help us understand that men are not simply being themselves on-line; they are performing in a disciplinary economy of visibility.</w:t>
      </w:r>
    </w:p>
    <w:p w14:paraId="238FAE17" w14:textId="77777777" w:rsidR="00210980" w:rsidRPr="0062707D" w:rsidRDefault="00210980" w:rsidP="00210980">
      <w:pPr>
        <w:pStyle w:val="NormalWeb"/>
        <w:rPr>
          <w:b/>
          <w:bCs/>
          <w:sz w:val="28"/>
          <w:szCs w:val="28"/>
        </w:rPr>
      </w:pPr>
      <w:r w:rsidRPr="0062707D">
        <w:rPr>
          <w:b/>
          <w:bCs/>
          <w:sz w:val="28"/>
          <w:szCs w:val="28"/>
        </w:rPr>
        <w:t>The construction of "truth" about men and women in relation to their sexuality and the act of confession</w:t>
      </w:r>
    </w:p>
    <w:p w14:paraId="5A166891" w14:textId="52E92E34" w:rsidR="00210980" w:rsidRDefault="00210980" w:rsidP="00210980">
      <w:pPr>
        <w:pStyle w:val="NormalWeb"/>
      </w:pPr>
      <w:r>
        <w:t>From a Foucauldian point of view, a specific claim made in digital "</w:t>
      </w:r>
      <w:r w:rsidR="0062707D">
        <w:t>real man</w:t>
      </w:r>
      <w:r>
        <w:t xml:space="preserve">" discourse that gender relations can be controlled through technique represents a truth regime. This truth regime permits certain individuals (e.g., coaches, "relationship strategists") to speak as authority </w:t>
      </w:r>
      <w:r w:rsidR="0062707D">
        <w:t>figures and</w:t>
      </w:r>
      <w:r>
        <w:t xml:space="preserve"> defines a vocabulary that legitimates the differences between the sexes as part of the natural order of things as opposed to a culturally constructed </w:t>
      </w:r>
      <w:r w:rsidR="0062707D">
        <w:t>reality. ¹</w:t>
      </w:r>
      <w:r>
        <w:t>⁸</w:t>
      </w:r>
    </w:p>
    <w:p w14:paraId="28B67611" w14:textId="1392253A" w:rsidR="00210980" w:rsidRDefault="00210980" w:rsidP="00210980">
      <w:pPr>
        <w:pStyle w:val="NormalWeb"/>
      </w:pPr>
      <w:r>
        <w:t xml:space="preserve">Another significant aspect of Foucault's understanding of confession is that modern subjectivities are being asked to reveal truths about themselves especially when it comes to sex using frameworks that determine what constitutes "truth."¹⁹ Men are often requested to provide confessional accounts e.g., rejection, pornography consumption, jealousy, or perceived ineptness and subsequently receive a diagnosis ("weak frame," "low value") followed by a prescription for self-improvement (i.e., discipline, control, abstinence, "self-improvement"). Thus, while these confessional accounts may help address male insecurity, they produce a very particular type of male self-awareness: a man must learn to manage his sexual impulses, audit his own body, and regulate the outcome of </w:t>
      </w:r>
      <w:r w:rsidR="0062707D">
        <w:t>all</w:t>
      </w:r>
      <w:r>
        <w:t xml:space="preserve"> his relationships.</w:t>
      </w:r>
    </w:p>
    <w:p w14:paraId="7ADC3986" w14:textId="075EE05F" w:rsidR="00210980" w:rsidRDefault="00210980" w:rsidP="00210980">
      <w:pPr>
        <w:pStyle w:val="NormalWeb"/>
      </w:pPr>
      <w:r>
        <w:t xml:space="preserve">In addition to reinforcing this critique, Butler's theory of gender performativity demonstrates that the appearance of natural gender occurs through social constraints and policing, via repetitive performances of the appropriate acts that define </w:t>
      </w:r>
      <w:r w:rsidR="0062707D">
        <w:t>gender. ²</w:t>
      </w:r>
      <w:r>
        <w:t>⁰ Digital masculinity discourse instructs men as to which acts constitute masculinity, and which acts would undermine that masculinity. Repeatedly performing "</w:t>
      </w:r>
      <w:r w:rsidR="0062707D">
        <w:t>real man</w:t>
      </w:r>
      <w:r>
        <w:t xml:space="preserve">" tropes (i.e., stoicism, control, emotional repression) helps solidify gender as a norm and disciplines those unable or unwilling to perform it. Consequently, the phenomenon produces results not only for individual men, but for gender </w:t>
      </w:r>
      <w:r w:rsidR="0062707D">
        <w:t>relations, since</w:t>
      </w:r>
      <w:r>
        <w:t xml:space="preserve"> it reinforces a cultural grammar in which caring, mutual responsiveness, and vulnerability are feminized and denigrated.</w:t>
      </w:r>
    </w:p>
    <w:p w14:paraId="6D97B13A" w14:textId="77777777" w:rsidR="00210980" w:rsidRPr="0062707D" w:rsidRDefault="00210980" w:rsidP="00210980">
      <w:pPr>
        <w:pStyle w:val="NormalWeb"/>
        <w:rPr>
          <w:b/>
          <w:bCs/>
          <w:sz w:val="28"/>
          <w:szCs w:val="28"/>
        </w:rPr>
      </w:pPr>
      <w:r w:rsidRPr="0062707D">
        <w:rPr>
          <w:b/>
          <w:bCs/>
          <w:sz w:val="28"/>
          <w:szCs w:val="28"/>
        </w:rPr>
        <w:t>Constraints, Resistances, and the Ethics of Masculine Self-Formation</w:t>
      </w:r>
    </w:p>
    <w:p w14:paraId="6F76FF78" w14:textId="22751668" w:rsidR="00210980" w:rsidRDefault="00210980" w:rsidP="00210980">
      <w:pPr>
        <w:pStyle w:val="NormalWeb"/>
      </w:pPr>
      <w:r>
        <w:t xml:space="preserve">A Foucauldian analysis should not culminate in depicting men as passive victims of discourse. Wherever there exists power, there also exist resistant </w:t>
      </w:r>
      <w:r w:rsidR="0062707D">
        <w:t>forces. ²</w:t>
      </w:r>
      <w:r>
        <w:t xml:space="preserve">¹ Digital masculinity </w:t>
      </w:r>
      <w:r>
        <w:lastRenderedPageBreak/>
        <w:t xml:space="preserve">culture is internally heterogeneous, and many pieces of digital content explicitly advocate for men's mental health, relationship accountability, and emotional awareness. Furthermore, feminist and queer critiques whether scholarly, clinical, or popular present counter-narratives that promote a notion of masculinity as pluralistic and negotiable as opposed to unitary and </w:t>
      </w:r>
      <w:r w:rsidR="0062707D">
        <w:t>obligatory. ²</w:t>
      </w:r>
      <w:r>
        <w:t>²</w:t>
      </w:r>
    </w:p>
    <w:p w14:paraId="4333931B" w14:textId="2AA3203C" w:rsidR="00210980" w:rsidRDefault="00210980" w:rsidP="00210980">
      <w:pPr>
        <w:pStyle w:val="NormalWeb"/>
      </w:pPr>
      <w:r>
        <w:t xml:space="preserve">Additionally, Foucault's later work on ethics provides a useful framework for further inquiry: instead of simply asking "Does masculinity oppress?", we might ask "What types of self-relations and freedoms are possible within a field of power?"²³ If men are invited to participate in self-formation, the ethical imperative is to scrutinize the norms embedded in that process of self-formation. Are men able to develop greater capacities for recognizing one another mutually and engaging in caring </w:t>
      </w:r>
      <w:r w:rsidR="0062707D">
        <w:t>behaviour</w:t>
      </w:r>
      <w:r>
        <w:t xml:space="preserve">, or do they remain tied to the project of domination as a means of defining themselves? Because the same language of discipline and self-control can be used to achieve different ends: developing a sense of personal responsibility and relational </w:t>
      </w:r>
      <w:r w:rsidR="0062707D">
        <w:t>integrity or</w:t>
      </w:r>
      <w:r>
        <w:t xml:space="preserve"> practicing punitive self-control and loathing of vulnerability.</w:t>
      </w:r>
    </w:p>
    <w:p w14:paraId="2C9F5E08" w14:textId="792574B6" w:rsidR="00210980" w:rsidRDefault="00210980" w:rsidP="00210980">
      <w:pPr>
        <w:pStyle w:val="NormalWeb"/>
      </w:pPr>
      <w:r>
        <w:t xml:space="preserve">For education purposes, this means that students need to have a critical gender literacy. Students should be able to identify how common-sense assertions regarding gender function as discursive practices that serve </w:t>
      </w:r>
      <w:r w:rsidR="0062707D">
        <w:t>interests</w:t>
      </w:r>
      <w:r>
        <w:t xml:space="preserve"> and generate effects. However, a Foucauldian methodology does not necessitate a complete rejection of masculinity; it demands that we examine how masculinity is created, which bodies are marginalized within that creation, and which possibilities are foreclosed.</w:t>
      </w:r>
    </w:p>
    <w:p w14:paraId="65B7F324" w14:textId="77777777" w:rsidR="00210980" w:rsidRPr="0062707D" w:rsidRDefault="00210980" w:rsidP="00210980">
      <w:pPr>
        <w:pStyle w:val="NormalWeb"/>
        <w:rPr>
          <w:b/>
          <w:bCs/>
        </w:rPr>
      </w:pPr>
      <w:r w:rsidRPr="0062707D">
        <w:rPr>
          <w:b/>
          <w:bCs/>
        </w:rPr>
        <w:t>In conclusion,</w:t>
      </w:r>
    </w:p>
    <w:p w14:paraId="5CF78A90" w14:textId="0C7F1653" w:rsidR="00210980" w:rsidRDefault="00210980" w:rsidP="00210980">
      <w:pPr>
        <w:pStyle w:val="NormalWeb"/>
      </w:pPr>
      <w:r>
        <w:t xml:space="preserve">digital "real man" discourse is a social phenomenon for creating masculinity (not just through formal authority) and is the result of dispersed forms of power/knowledge. By using Foucault's methods of analysis, we find that this discourse acts as a mechanism of subjectivation: it creates a regime of truth regarding what is acceptable for men, uses disciplinary practices to normalize male bodies and </w:t>
      </w:r>
      <w:r w:rsidR="0062707D">
        <w:t>behaviours</w:t>
      </w:r>
      <w:r>
        <w:t xml:space="preserve">, and provides a panopticon structure allowing men to police both their own </w:t>
      </w:r>
      <w:r w:rsidR="0062707D">
        <w:t>behaviour</w:t>
      </w:r>
      <w:r>
        <w:t xml:space="preserve"> and the </w:t>
      </w:r>
      <w:r w:rsidR="0062707D">
        <w:t>behaviour</w:t>
      </w:r>
      <w:r>
        <w:t xml:space="preserve"> of other men. This discourse also creates a confessional experience with respect to sexuality, where sexuality is the most important area of masculine truth and the men involved are bound to an unending process of measuring and improving themselves.</w:t>
      </w:r>
    </w:p>
    <w:p w14:paraId="1F8B9207" w14:textId="77777777" w:rsidR="00210980" w:rsidRDefault="00210980" w:rsidP="00210980">
      <w:pPr>
        <w:pStyle w:val="NormalWeb"/>
      </w:pPr>
      <w:r>
        <w:t>Ultimately, if masculinity is a social project that men are invited or pressured into, Foucault's work makes apparent the ways in which the invitation to join that project has persuasive force: the offer of self-control, the threat of being stigmatized, the appeal of recognition, and the daily measures of digital visibility. While understanding how the persuasion works will not eliminate the persuasive force, it will provide the opportunity to critically assess the persuasion and choose an ethically responsible course of action. Since masculinity is created through norms, it can also be re-created through new norms that are less based on domination and more focused on mutualism, accountability, and human well-being.</w:t>
      </w:r>
    </w:p>
    <w:p w14:paraId="7D0EFAFC" w14:textId="77777777" w:rsidR="00210980" w:rsidRPr="00210980" w:rsidRDefault="00210980" w:rsidP="00210980">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10980">
        <w:rPr>
          <w:rFonts w:ascii="Times New Roman" w:eastAsia="Times New Roman" w:hAnsi="Times New Roman" w:cs="Times New Roman"/>
          <w:b/>
          <w:bCs/>
          <w:kern w:val="0"/>
          <w:sz w:val="36"/>
          <w:szCs w:val="36"/>
          <w:lang w:eastAsia="en-GB"/>
          <w14:ligatures w14:val="none"/>
        </w:rPr>
        <w:t>Footnotes (MHRA)</w:t>
      </w:r>
    </w:p>
    <w:p w14:paraId="42BF7E99"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Michel Foucault, </w:t>
      </w:r>
      <w:r w:rsidRPr="00210980">
        <w:rPr>
          <w:rFonts w:ascii="Times New Roman" w:eastAsia="Times New Roman" w:hAnsi="Times New Roman" w:cs="Times New Roman"/>
          <w:i/>
          <w:iCs/>
          <w:kern w:val="0"/>
          <w:lang w:eastAsia="en-GB"/>
          <w14:ligatures w14:val="none"/>
        </w:rPr>
        <w:t>Power/Knowledge: Selected Interviews and Other Writings, 1972–1977</w:t>
      </w:r>
      <w:r w:rsidRPr="00210980">
        <w:rPr>
          <w:rFonts w:ascii="Times New Roman" w:eastAsia="Times New Roman" w:hAnsi="Times New Roman" w:cs="Times New Roman"/>
          <w:kern w:val="0"/>
          <w:lang w:eastAsia="en-GB"/>
          <w14:ligatures w14:val="none"/>
        </w:rPr>
        <w:t>, ed. by Colin Gordon (Brighton: Harvester, 1980).</w:t>
      </w:r>
    </w:p>
    <w:p w14:paraId="47688089"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lastRenderedPageBreak/>
        <w:t xml:space="preserve">Michel Foucault, </w:t>
      </w:r>
      <w:r w:rsidRPr="00210980">
        <w:rPr>
          <w:rFonts w:ascii="Times New Roman" w:eastAsia="Times New Roman" w:hAnsi="Times New Roman" w:cs="Times New Roman"/>
          <w:i/>
          <w:iCs/>
          <w:kern w:val="0"/>
          <w:lang w:eastAsia="en-GB"/>
          <w14:ligatures w14:val="none"/>
        </w:rPr>
        <w:t>The History of Sexuality, Volume 1: An Introduction</w:t>
      </w:r>
      <w:r w:rsidRPr="00210980">
        <w:rPr>
          <w:rFonts w:ascii="Times New Roman" w:eastAsia="Times New Roman" w:hAnsi="Times New Roman" w:cs="Times New Roman"/>
          <w:kern w:val="0"/>
          <w:lang w:eastAsia="en-GB"/>
          <w14:ligatures w14:val="none"/>
        </w:rPr>
        <w:t>, trans. by Robert Hurley (London: Penguin, 1990).</w:t>
      </w:r>
    </w:p>
    <w:p w14:paraId="0F17D027"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Michel Foucault, </w:t>
      </w:r>
      <w:r w:rsidRPr="00210980">
        <w:rPr>
          <w:rFonts w:ascii="Times New Roman" w:eastAsia="Times New Roman" w:hAnsi="Times New Roman" w:cs="Times New Roman"/>
          <w:i/>
          <w:iCs/>
          <w:kern w:val="0"/>
          <w:lang w:eastAsia="en-GB"/>
          <w14:ligatures w14:val="none"/>
        </w:rPr>
        <w:t>Discipline and Punish: The Birth of the Prison</w:t>
      </w:r>
      <w:r w:rsidRPr="00210980">
        <w:rPr>
          <w:rFonts w:ascii="Times New Roman" w:eastAsia="Times New Roman" w:hAnsi="Times New Roman" w:cs="Times New Roman"/>
          <w:kern w:val="0"/>
          <w:lang w:eastAsia="en-GB"/>
          <w14:ligatures w14:val="none"/>
        </w:rPr>
        <w:t>, trans. by Alan Sheridan (London: Penguin, 1991).</w:t>
      </w:r>
    </w:p>
    <w:p w14:paraId="1F992D7B"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Discipline and Punish</w:t>
      </w:r>
      <w:r w:rsidRPr="00210980">
        <w:rPr>
          <w:rFonts w:ascii="Times New Roman" w:eastAsia="Times New Roman" w:hAnsi="Times New Roman" w:cs="Times New Roman"/>
          <w:kern w:val="0"/>
          <w:lang w:eastAsia="en-GB"/>
          <w14:ligatures w14:val="none"/>
        </w:rPr>
        <w:t>.</w:t>
      </w:r>
    </w:p>
    <w:p w14:paraId="52727BD5"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Power/Knowledge</w:t>
      </w:r>
      <w:r w:rsidRPr="00210980">
        <w:rPr>
          <w:rFonts w:ascii="Times New Roman" w:eastAsia="Times New Roman" w:hAnsi="Times New Roman" w:cs="Times New Roman"/>
          <w:kern w:val="0"/>
          <w:lang w:eastAsia="en-GB"/>
          <w14:ligatures w14:val="none"/>
        </w:rPr>
        <w:t>.</w:t>
      </w:r>
    </w:p>
    <w:p w14:paraId="0D058468"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Michel Foucault, </w:t>
      </w:r>
      <w:r w:rsidRPr="00210980">
        <w:rPr>
          <w:rFonts w:ascii="Times New Roman" w:eastAsia="Times New Roman" w:hAnsi="Times New Roman" w:cs="Times New Roman"/>
          <w:i/>
          <w:iCs/>
          <w:kern w:val="0"/>
          <w:lang w:eastAsia="en-GB"/>
          <w14:ligatures w14:val="none"/>
        </w:rPr>
        <w:t>The Archaeology of Knowledge</w:t>
      </w:r>
      <w:r w:rsidRPr="00210980">
        <w:rPr>
          <w:rFonts w:ascii="Times New Roman" w:eastAsia="Times New Roman" w:hAnsi="Times New Roman" w:cs="Times New Roman"/>
          <w:kern w:val="0"/>
          <w:lang w:eastAsia="en-GB"/>
          <w14:ligatures w14:val="none"/>
        </w:rPr>
        <w:t>, trans. by A. M. Sheridan Smith (London: Routledge, 2002).</w:t>
      </w:r>
    </w:p>
    <w:p w14:paraId="27B53E15"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Discipline and Punish</w:t>
      </w:r>
      <w:r w:rsidRPr="00210980">
        <w:rPr>
          <w:rFonts w:ascii="Times New Roman" w:eastAsia="Times New Roman" w:hAnsi="Times New Roman" w:cs="Times New Roman"/>
          <w:kern w:val="0"/>
          <w:lang w:eastAsia="en-GB"/>
          <w14:ligatures w14:val="none"/>
        </w:rPr>
        <w:t>.</w:t>
      </w:r>
    </w:p>
    <w:p w14:paraId="6F1B7D39"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Discipline and Punish</w:t>
      </w:r>
      <w:r w:rsidRPr="00210980">
        <w:rPr>
          <w:rFonts w:ascii="Times New Roman" w:eastAsia="Times New Roman" w:hAnsi="Times New Roman" w:cs="Times New Roman"/>
          <w:kern w:val="0"/>
          <w:lang w:eastAsia="en-GB"/>
          <w14:ligatures w14:val="none"/>
        </w:rPr>
        <w:t>.</w:t>
      </w:r>
    </w:p>
    <w:p w14:paraId="0C9FEC7F"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Discipline and Punish</w:t>
      </w:r>
      <w:r w:rsidRPr="00210980">
        <w:rPr>
          <w:rFonts w:ascii="Times New Roman" w:eastAsia="Times New Roman" w:hAnsi="Times New Roman" w:cs="Times New Roman"/>
          <w:kern w:val="0"/>
          <w:lang w:eastAsia="en-GB"/>
          <w14:ligatures w14:val="none"/>
        </w:rPr>
        <w:t>.</w:t>
      </w:r>
    </w:p>
    <w:p w14:paraId="6E40701E"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Michel Foucault, </w:t>
      </w:r>
      <w:r w:rsidRPr="00210980">
        <w:rPr>
          <w:rFonts w:ascii="Times New Roman" w:eastAsia="Times New Roman" w:hAnsi="Times New Roman" w:cs="Times New Roman"/>
          <w:i/>
          <w:iCs/>
          <w:kern w:val="0"/>
          <w:lang w:eastAsia="en-GB"/>
          <w14:ligatures w14:val="none"/>
        </w:rPr>
        <w:t>The History of Sexuality, Volume 2: The Use of Pleasure</w:t>
      </w:r>
      <w:r w:rsidRPr="00210980">
        <w:rPr>
          <w:rFonts w:ascii="Times New Roman" w:eastAsia="Times New Roman" w:hAnsi="Times New Roman" w:cs="Times New Roman"/>
          <w:kern w:val="0"/>
          <w:lang w:eastAsia="en-GB"/>
          <w14:ligatures w14:val="none"/>
        </w:rPr>
        <w:t xml:space="preserve">, trans. by Robert Hurley (London: Penguin, 1992); Michel Foucault, </w:t>
      </w:r>
      <w:r w:rsidRPr="00210980">
        <w:rPr>
          <w:rFonts w:ascii="Times New Roman" w:eastAsia="Times New Roman" w:hAnsi="Times New Roman" w:cs="Times New Roman"/>
          <w:i/>
          <w:iCs/>
          <w:kern w:val="0"/>
          <w:lang w:eastAsia="en-GB"/>
          <w14:ligatures w14:val="none"/>
        </w:rPr>
        <w:t>The History of Sexuality, Volume 3: The Care of the Self</w:t>
      </w:r>
      <w:r w:rsidRPr="00210980">
        <w:rPr>
          <w:rFonts w:ascii="Times New Roman" w:eastAsia="Times New Roman" w:hAnsi="Times New Roman" w:cs="Times New Roman"/>
          <w:kern w:val="0"/>
          <w:lang w:eastAsia="en-GB"/>
          <w14:ligatures w14:val="none"/>
        </w:rPr>
        <w:t>, trans. by Robert Hurley (London: Penguin, 1990).</w:t>
      </w:r>
    </w:p>
    <w:p w14:paraId="391A20A4"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The Archaeology of Knowledge</w:t>
      </w:r>
      <w:r w:rsidRPr="00210980">
        <w:rPr>
          <w:rFonts w:ascii="Times New Roman" w:eastAsia="Times New Roman" w:hAnsi="Times New Roman" w:cs="Times New Roman"/>
          <w:kern w:val="0"/>
          <w:lang w:eastAsia="en-GB"/>
          <w14:ligatures w14:val="none"/>
        </w:rPr>
        <w:t>.</w:t>
      </w:r>
    </w:p>
    <w:p w14:paraId="3A63033A"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The History of Sexuality, Volume 1</w:t>
      </w:r>
      <w:r w:rsidRPr="00210980">
        <w:rPr>
          <w:rFonts w:ascii="Times New Roman" w:eastAsia="Times New Roman" w:hAnsi="Times New Roman" w:cs="Times New Roman"/>
          <w:kern w:val="0"/>
          <w:lang w:eastAsia="en-GB"/>
          <w14:ligatures w14:val="none"/>
        </w:rPr>
        <w:t>.</w:t>
      </w:r>
    </w:p>
    <w:p w14:paraId="037FA523"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Discipline and Punish</w:t>
      </w:r>
      <w:r w:rsidRPr="00210980">
        <w:rPr>
          <w:rFonts w:ascii="Times New Roman" w:eastAsia="Times New Roman" w:hAnsi="Times New Roman" w:cs="Times New Roman"/>
          <w:kern w:val="0"/>
          <w:lang w:eastAsia="en-GB"/>
          <w14:ligatures w14:val="none"/>
        </w:rPr>
        <w:t>.</w:t>
      </w:r>
    </w:p>
    <w:p w14:paraId="52EED3C1"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R. W. Connell, </w:t>
      </w:r>
      <w:r w:rsidRPr="00210980">
        <w:rPr>
          <w:rFonts w:ascii="Times New Roman" w:eastAsia="Times New Roman" w:hAnsi="Times New Roman" w:cs="Times New Roman"/>
          <w:i/>
          <w:iCs/>
          <w:kern w:val="0"/>
          <w:lang w:eastAsia="en-GB"/>
          <w14:ligatures w14:val="none"/>
        </w:rPr>
        <w:t>Masculinities</w:t>
      </w:r>
      <w:r w:rsidRPr="00210980">
        <w:rPr>
          <w:rFonts w:ascii="Times New Roman" w:eastAsia="Times New Roman" w:hAnsi="Times New Roman" w:cs="Times New Roman"/>
          <w:kern w:val="0"/>
          <w:lang w:eastAsia="en-GB"/>
          <w14:ligatures w14:val="none"/>
        </w:rPr>
        <w:t xml:space="preserve">, 2nd </w:t>
      </w:r>
      <w:proofErr w:type="spellStart"/>
      <w:r w:rsidRPr="00210980">
        <w:rPr>
          <w:rFonts w:ascii="Times New Roman" w:eastAsia="Times New Roman" w:hAnsi="Times New Roman" w:cs="Times New Roman"/>
          <w:kern w:val="0"/>
          <w:lang w:eastAsia="en-GB"/>
          <w14:ligatures w14:val="none"/>
        </w:rPr>
        <w:t>edn</w:t>
      </w:r>
      <w:proofErr w:type="spellEnd"/>
      <w:r w:rsidRPr="00210980">
        <w:rPr>
          <w:rFonts w:ascii="Times New Roman" w:eastAsia="Times New Roman" w:hAnsi="Times New Roman" w:cs="Times New Roman"/>
          <w:kern w:val="0"/>
          <w:lang w:eastAsia="en-GB"/>
          <w14:ligatures w14:val="none"/>
        </w:rPr>
        <w:t xml:space="preserve"> (Cambridge: Polity, 2005).</w:t>
      </w:r>
    </w:p>
    <w:p w14:paraId="2F3E7B1D"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Pierre Bourdieu, </w:t>
      </w:r>
      <w:r w:rsidRPr="00210980">
        <w:rPr>
          <w:rFonts w:ascii="Times New Roman" w:eastAsia="Times New Roman" w:hAnsi="Times New Roman" w:cs="Times New Roman"/>
          <w:i/>
          <w:iCs/>
          <w:kern w:val="0"/>
          <w:lang w:eastAsia="en-GB"/>
          <w14:ligatures w14:val="none"/>
        </w:rPr>
        <w:t>Masculine Domination</w:t>
      </w:r>
      <w:r w:rsidRPr="00210980">
        <w:rPr>
          <w:rFonts w:ascii="Times New Roman" w:eastAsia="Times New Roman" w:hAnsi="Times New Roman" w:cs="Times New Roman"/>
          <w:kern w:val="0"/>
          <w:lang w:eastAsia="en-GB"/>
          <w14:ligatures w14:val="none"/>
        </w:rPr>
        <w:t>, trans. by Richard Nice (Cambridge: Polity, 2001).</w:t>
      </w:r>
    </w:p>
    <w:p w14:paraId="0B05E5E0"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Discipline and Punish</w:t>
      </w:r>
      <w:r w:rsidRPr="00210980">
        <w:rPr>
          <w:rFonts w:ascii="Times New Roman" w:eastAsia="Times New Roman" w:hAnsi="Times New Roman" w:cs="Times New Roman"/>
          <w:kern w:val="0"/>
          <w:lang w:eastAsia="en-GB"/>
          <w14:ligatures w14:val="none"/>
        </w:rPr>
        <w:t>.</w:t>
      </w:r>
    </w:p>
    <w:p w14:paraId="7C5069C9"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Erving Goffman, </w:t>
      </w:r>
      <w:r w:rsidRPr="00210980">
        <w:rPr>
          <w:rFonts w:ascii="Times New Roman" w:eastAsia="Times New Roman" w:hAnsi="Times New Roman" w:cs="Times New Roman"/>
          <w:i/>
          <w:iCs/>
          <w:kern w:val="0"/>
          <w:lang w:eastAsia="en-GB"/>
          <w14:ligatures w14:val="none"/>
        </w:rPr>
        <w:t>The Presentation of Self in Everyday Life</w:t>
      </w:r>
      <w:r w:rsidRPr="00210980">
        <w:rPr>
          <w:rFonts w:ascii="Times New Roman" w:eastAsia="Times New Roman" w:hAnsi="Times New Roman" w:cs="Times New Roman"/>
          <w:kern w:val="0"/>
          <w:lang w:eastAsia="en-GB"/>
          <w14:ligatures w14:val="none"/>
        </w:rPr>
        <w:t xml:space="preserve"> (Edinburgh: University of Edinburgh Social Sciences Research Centre, 1956).</w:t>
      </w:r>
    </w:p>
    <w:p w14:paraId="33F732B1"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Power/Knowledge</w:t>
      </w:r>
      <w:r w:rsidRPr="00210980">
        <w:rPr>
          <w:rFonts w:ascii="Times New Roman" w:eastAsia="Times New Roman" w:hAnsi="Times New Roman" w:cs="Times New Roman"/>
          <w:kern w:val="0"/>
          <w:lang w:eastAsia="en-GB"/>
          <w14:ligatures w14:val="none"/>
        </w:rPr>
        <w:t>.</w:t>
      </w:r>
    </w:p>
    <w:p w14:paraId="2D606EB8"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The History of Sexuality, Volume 1</w:t>
      </w:r>
      <w:r w:rsidRPr="00210980">
        <w:rPr>
          <w:rFonts w:ascii="Times New Roman" w:eastAsia="Times New Roman" w:hAnsi="Times New Roman" w:cs="Times New Roman"/>
          <w:kern w:val="0"/>
          <w:lang w:eastAsia="en-GB"/>
          <w14:ligatures w14:val="none"/>
        </w:rPr>
        <w:t>.</w:t>
      </w:r>
    </w:p>
    <w:p w14:paraId="67844815"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Judith Butler, </w:t>
      </w:r>
      <w:r w:rsidRPr="00210980">
        <w:rPr>
          <w:rFonts w:ascii="Times New Roman" w:eastAsia="Times New Roman" w:hAnsi="Times New Roman" w:cs="Times New Roman"/>
          <w:i/>
          <w:iCs/>
          <w:kern w:val="0"/>
          <w:lang w:eastAsia="en-GB"/>
          <w14:ligatures w14:val="none"/>
        </w:rPr>
        <w:t>Gender Trouble: Feminism and the Subversion of Identity</w:t>
      </w:r>
      <w:r w:rsidRPr="00210980">
        <w:rPr>
          <w:rFonts w:ascii="Times New Roman" w:eastAsia="Times New Roman" w:hAnsi="Times New Roman" w:cs="Times New Roman"/>
          <w:kern w:val="0"/>
          <w:lang w:eastAsia="en-GB"/>
          <w14:ligatures w14:val="none"/>
        </w:rPr>
        <w:t xml:space="preserve"> (New York: Routledge, 1990).</w:t>
      </w:r>
    </w:p>
    <w:p w14:paraId="58CE3328"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The History of Sexuality, Volume 1</w:t>
      </w:r>
      <w:r w:rsidRPr="00210980">
        <w:rPr>
          <w:rFonts w:ascii="Times New Roman" w:eastAsia="Times New Roman" w:hAnsi="Times New Roman" w:cs="Times New Roman"/>
          <w:kern w:val="0"/>
          <w:lang w:eastAsia="en-GB"/>
          <w14:ligatures w14:val="none"/>
        </w:rPr>
        <w:t>.</w:t>
      </w:r>
    </w:p>
    <w:p w14:paraId="798D6416"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Connell, </w:t>
      </w:r>
      <w:r w:rsidRPr="00210980">
        <w:rPr>
          <w:rFonts w:ascii="Times New Roman" w:eastAsia="Times New Roman" w:hAnsi="Times New Roman" w:cs="Times New Roman"/>
          <w:i/>
          <w:iCs/>
          <w:kern w:val="0"/>
          <w:lang w:eastAsia="en-GB"/>
          <w14:ligatures w14:val="none"/>
        </w:rPr>
        <w:t>Masculinities</w:t>
      </w:r>
      <w:r w:rsidRPr="00210980">
        <w:rPr>
          <w:rFonts w:ascii="Times New Roman" w:eastAsia="Times New Roman" w:hAnsi="Times New Roman" w:cs="Times New Roman"/>
          <w:kern w:val="0"/>
          <w:lang w:eastAsia="en-GB"/>
          <w14:ligatures w14:val="none"/>
        </w:rPr>
        <w:t>.</w:t>
      </w:r>
    </w:p>
    <w:p w14:paraId="4045A909" w14:textId="77777777" w:rsidR="00210980" w:rsidRPr="00210980" w:rsidRDefault="00210980" w:rsidP="00210980">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w:t>
      </w:r>
      <w:r w:rsidRPr="00210980">
        <w:rPr>
          <w:rFonts w:ascii="Times New Roman" w:eastAsia="Times New Roman" w:hAnsi="Times New Roman" w:cs="Times New Roman"/>
          <w:i/>
          <w:iCs/>
          <w:kern w:val="0"/>
          <w:lang w:eastAsia="en-GB"/>
          <w14:ligatures w14:val="none"/>
        </w:rPr>
        <w:t>The Care of the Self</w:t>
      </w:r>
      <w:r w:rsidRPr="00210980">
        <w:rPr>
          <w:rFonts w:ascii="Times New Roman" w:eastAsia="Times New Roman" w:hAnsi="Times New Roman" w:cs="Times New Roman"/>
          <w:kern w:val="0"/>
          <w:lang w:eastAsia="en-GB"/>
          <w14:ligatures w14:val="none"/>
        </w:rPr>
        <w:t>.</w:t>
      </w:r>
    </w:p>
    <w:p w14:paraId="4B72A0A6" w14:textId="77777777" w:rsidR="00210980" w:rsidRPr="00210980" w:rsidRDefault="00210980" w:rsidP="00210980">
      <w:pPr>
        <w:spacing w:after="0"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pict w14:anchorId="1E494CAB">
          <v:rect id="_x0000_i1029" style="width:0;height:1.5pt" o:hralign="center" o:hrstd="t" o:hr="t" fillcolor="#a0a0a0" stroked="f"/>
        </w:pict>
      </w:r>
    </w:p>
    <w:p w14:paraId="0789ED1B" w14:textId="77777777" w:rsidR="00210980" w:rsidRPr="00210980" w:rsidRDefault="00210980" w:rsidP="00210980">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210980">
        <w:rPr>
          <w:rFonts w:ascii="Times New Roman" w:eastAsia="Times New Roman" w:hAnsi="Times New Roman" w:cs="Times New Roman"/>
          <w:b/>
          <w:bCs/>
          <w:kern w:val="0"/>
          <w:sz w:val="36"/>
          <w:szCs w:val="36"/>
          <w:lang w:eastAsia="en-GB"/>
          <w14:ligatures w14:val="none"/>
        </w:rPr>
        <w:t>Bibliography (MHRA)</w:t>
      </w:r>
    </w:p>
    <w:p w14:paraId="5159CE65" w14:textId="77777777" w:rsidR="00210980" w:rsidRPr="00210980" w:rsidRDefault="00210980" w:rsidP="002109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Bourdieu, Pierre, </w:t>
      </w:r>
      <w:r w:rsidRPr="00210980">
        <w:rPr>
          <w:rFonts w:ascii="Times New Roman" w:eastAsia="Times New Roman" w:hAnsi="Times New Roman" w:cs="Times New Roman"/>
          <w:i/>
          <w:iCs/>
          <w:kern w:val="0"/>
          <w:lang w:eastAsia="en-GB"/>
          <w14:ligatures w14:val="none"/>
        </w:rPr>
        <w:t>Masculine Domination</w:t>
      </w:r>
      <w:r w:rsidRPr="00210980">
        <w:rPr>
          <w:rFonts w:ascii="Times New Roman" w:eastAsia="Times New Roman" w:hAnsi="Times New Roman" w:cs="Times New Roman"/>
          <w:kern w:val="0"/>
          <w:lang w:eastAsia="en-GB"/>
          <w14:ligatures w14:val="none"/>
        </w:rPr>
        <w:t>, trans. by Richard Nice (Cambridge: Polity, 2001)</w:t>
      </w:r>
    </w:p>
    <w:p w14:paraId="7D4FCB42" w14:textId="77777777" w:rsidR="00210980" w:rsidRPr="00210980" w:rsidRDefault="00210980" w:rsidP="002109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Butler, Judith, </w:t>
      </w:r>
      <w:r w:rsidRPr="00210980">
        <w:rPr>
          <w:rFonts w:ascii="Times New Roman" w:eastAsia="Times New Roman" w:hAnsi="Times New Roman" w:cs="Times New Roman"/>
          <w:i/>
          <w:iCs/>
          <w:kern w:val="0"/>
          <w:lang w:eastAsia="en-GB"/>
          <w14:ligatures w14:val="none"/>
        </w:rPr>
        <w:t>Gender Trouble: Feminism and the Subversion of Identity</w:t>
      </w:r>
      <w:r w:rsidRPr="00210980">
        <w:rPr>
          <w:rFonts w:ascii="Times New Roman" w:eastAsia="Times New Roman" w:hAnsi="Times New Roman" w:cs="Times New Roman"/>
          <w:kern w:val="0"/>
          <w:lang w:eastAsia="en-GB"/>
          <w14:ligatures w14:val="none"/>
        </w:rPr>
        <w:t xml:space="preserve"> (New York: Routledge, 1990)</w:t>
      </w:r>
    </w:p>
    <w:p w14:paraId="7935A99F" w14:textId="77777777" w:rsidR="00210980" w:rsidRPr="00210980" w:rsidRDefault="00210980" w:rsidP="002109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Connell, R. W., </w:t>
      </w:r>
      <w:r w:rsidRPr="00210980">
        <w:rPr>
          <w:rFonts w:ascii="Times New Roman" w:eastAsia="Times New Roman" w:hAnsi="Times New Roman" w:cs="Times New Roman"/>
          <w:i/>
          <w:iCs/>
          <w:kern w:val="0"/>
          <w:lang w:eastAsia="en-GB"/>
          <w14:ligatures w14:val="none"/>
        </w:rPr>
        <w:t>Masculinities</w:t>
      </w:r>
      <w:r w:rsidRPr="00210980">
        <w:rPr>
          <w:rFonts w:ascii="Times New Roman" w:eastAsia="Times New Roman" w:hAnsi="Times New Roman" w:cs="Times New Roman"/>
          <w:kern w:val="0"/>
          <w:lang w:eastAsia="en-GB"/>
          <w14:ligatures w14:val="none"/>
        </w:rPr>
        <w:t xml:space="preserve">, 2nd </w:t>
      </w:r>
      <w:proofErr w:type="spellStart"/>
      <w:r w:rsidRPr="00210980">
        <w:rPr>
          <w:rFonts w:ascii="Times New Roman" w:eastAsia="Times New Roman" w:hAnsi="Times New Roman" w:cs="Times New Roman"/>
          <w:kern w:val="0"/>
          <w:lang w:eastAsia="en-GB"/>
          <w14:ligatures w14:val="none"/>
        </w:rPr>
        <w:t>edn</w:t>
      </w:r>
      <w:proofErr w:type="spellEnd"/>
      <w:r w:rsidRPr="00210980">
        <w:rPr>
          <w:rFonts w:ascii="Times New Roman" w:eastAsia="Times New Roman" w:hAnsi="Times New Roman" w:cs="Times New Roman"/>
          <w:kern w:val="0"/>
          <w:lang w:eastAsia="en-GB"/>
          <w14:ligatures w14:val="none"/>
        </w:rPr>
        <w:t xml:space="preserve"> (Cambridge: Polity, 2005)</w:t>
      </w:r>
    </w:p>
    <w:p w14:paraId="1AB92257" w14:textId="77777777" w:rsidR="00210980" w:rsidRPr="00210980" w:rsidRDefault="00210980" w:rsidP="002109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Foucault, Michel, </w:t>
      </w:r>
      <w:r w:rsidRPr="00210980">
        <w:rPr>
          <w:rFonts w:ascii="Times New Roman" w:eastAsia="Times New Roman" w:hAnsi="Times New Roman" w:cs="Times New Roman"/>
          <w:i/>
          <w:iCs/>
          <w:kern w:val="0"/>
          <w:lang w:eastAsia="en-GB"/>
          <w14:ligatures w14:val="none"/>
        </w:rPr>
        <w:t>The Archaeology of Knowledge</w:t>
      </w:r>
      <w:r w:rsidRPr="00210980">
        <w:rPr>
          <w:rFonts w:ascii="Times New Roman" w:eastAsia="Times New Roman" w:hAnsi="Times New Roman" w:cs="Times New Roman"/>
          <w:kern w:val="0"/>
          <w:lang w:eastAsia="en-GB"/>
          <w14:ligatures w14:val="none"/>
        </w:rPr>
        <w:t>, trans. by A. M. Sheridan Smith (London: Routledge, 2002)</w:t>
      </w:r>
    </w:p>
    <w:p w14:paraId="4B671489" w14:textId="002E8AD8" w:rsidR="00210980" w:rsidRPr="00210980" w:rsidRDefault="0062707D" w:rsidP="00210980">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t>
      </w:r>
      <w:r w:rsidR="00210980" w:rsidRPr="00210980">
        <w:rPr>
          <w:rFonts w:ascii="Times New Roman" w:eastAsia="Times New Roman" w:hAnsi="Times New Roman" w:cs="Times New Roman"/>
          <w:kern w:val="0"/>
          <w:lang w:eastAsia="en-GB"/>
          <w14:ligatures w14:val="none"/>
        </w:rPr>
        <w:t xml:space="preserve">, </w:t>
      </w:r>
      <w:r w:rsidR="00210980" w:rsidRPr="00210980">
        <w:rPr>
          <w:rFonts w:ascii="Times New Roman" w:eastAsia="Times New Roman" w:hAnsi="Times New Roman" w:cs="Times New Roman"/>
          <w:i/>
          <w:iCs/>
          <w:kern w:val="0"/>
          <w:lang w:eastAsia="en-GB"/>
          <w14:ligatures w14:val="none"/>
        </w:rPr>
        <w:t>Discipline and Punish: The Birth of the Prison</w:t>
      </w:r>
      <w:r w:rsidR="00210980" w:rsidRPr="00210980">
        <w:rPr>
          <w:rFonts w:ascii="Times New Roman" w:eastAsia="Times New Roman" w:hAnsi="Times New Roman" w:cs="Times New Roman"/>
          <w:kern w:val="0"/>
          <w:lang w:eastAsia="en-GB"/>
          <w14:ligatures w14:val="none"/>
        </w:rPr>
        <w:t>, trans. by Alan Sheridan (London: Penguin, 1991)</w:t>
      </w:r>
    </w:p>
    <w:p w14:paraId="4C8B96B3" w14:textId="73B34E88" w:rsidR="00210980" w:rsidRPr="00210980" w:rsidRDefault="0062707D" w:rsidP="00210980">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t>-</w:t>
      </w:r>
      <w:r w:rsidR="00210980" w:rsidRPr="00210980">
        <w:rPr>
          <w:rFonts w:ascii="Times New Roman" w:eastAsia="Times New Roman" w:hAnsi="Times New Roman" w:cs="Times New Roman"/>
          <w:kern w:val="0"/>
          <w:lang w:eastAsia="en-GB"/>
          <w14:ligatures w14:val="none"/>
        </w:rPr>
        <w:t xml:space="preserve">, </w:t>
      </w:r>
      <w:r w:rsidR="00210980" w:rsidRPr="00210980">
        <w:rPr>
          <w:rFonts w:ascii="Times New Roman" w:eastAsia="Times New Roman" w:hAnsi="Times New Roman" w:cs="Times New Roman"/>
          <w:i/>
          <w:iCs/>
          <w:kern w:val="0"/>
          <w:lang w:eastAsia="en-GB"/>
          <w14:ligatures w14:val="none"/>
        </w:rPr>
        <w:t>The History of Sexuality, Volume 1: An Introduction</w:t>
      </w:r>
      <w:r w:rsidR="00210980" w:rsidRPr="00210980">
        <w:rPr>
          <w:rFonts w:ascii="Times New Roman" w:eastAsia="Times New Roman" w:hAnsi="Times New Roman" w:cs="Times New Roman"/>
          <w:kern w:val="0"/>
          <w:lang w:eastAsia="en-GB"/>
          <w14:ligatures w14:val="none"/>
        </w:rPr>
        <w:t>, trans. by Robert Hurley (London: Penguin, 1990)</w:t>
      </w:r>
    </w:p>
    <w:p w14:paraId="22211D15" w14:textId="2433A6D2" w:rsidR="00210980" w:rsidRPr="00210980" w:rsidRDefault="0062707D" w:rsidP="00210980">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t>
      </w:r>
      <w:r w:rsidR="00210980" w:rsidRPr="00210980">
        <w:rPr>
          <w:rFonts w:ascii="Times New Roman" w:eastAsia="Times New Roman" w:hAnsi="Times New Roman" w:cs="Times New Roman"/>
          <w:kern w:val="0"/>
          <w:lang w:eastAsia="en-GB"/>
          <w14:ligatures w14:val="none"/>
        </w:rPr>
        <w:t xml:space="preserve">, </w:t>
      </w:r>
      <w:r w:rsidR="00210980" w:rsidRPr="00210980">
        <w:rPr>
          <w:rFonts w:ascii="Times New Roman" w:eastAsia="Times New Roman" w:hAnsi="Times New Roman" w:cs="Times New Roman"/>
          <w:i/>
          <w:iCs/>
          <w:kern w:val="0"/>
          <w:lang w:eastAsia="en-GB"/>
          <w14:ligatures w14:val="none"/>
        </w:rPr>
        <w:t>The History of Sexuality, Volume 2: The Use of Pleasure</w:t>
      </w:r>
      <w:r w:rsidR="00210980" w:rsidRPr="00210980">
        <w:rPr>
          <w:rFonts w:ascii="Times New Roman" w:eastAsia="Times New Roman" w:hAnsi="Times New Roman" w:cs="Times New Roman"/>
          <w:kern w:val="0"/>
          <w:lang w:eastAsia="en-GB"/>
          <w14:ligatures w14:val="none"/>
        </w:rPr>
        <w:t>, trans. by Robert Hurley (London: Penguin, 1992)</w:t>
      </w:r>
    </w:p>
    <w:p w14:paraId="6B65701D" w14:textId="158C614C" w:rsidR="00210980" w:rsidRPr="00210980" w:rsidRDefault="0062707D" w:rsidP="00210980">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t>
      </w:r>
      <w:r w:rsidR="00210980" w:rsidRPr="00210980">
        <w:rPr>
          <w:rFonts w:ascii="Times New Roman" w:eastAsia="Times New Roman" w:hAnsi="Times New Roman" w:cs="Times New Roman"/>
          <w:kern w:val="0"/>
          <w:lang w:eastAsia="en-GB"/>
          <w14:ligatures w14:val="none"/>
        </w:rPr>
        <w:t xml:space="preserve">, </w:t>
      </w:r>
      <w:r w:rsidR="00210980" w:rsidRPr="00210980">
        <w:rPr>
          <w:rFonts w:ascii="Times New Roman" w:eastAsia="Times New Roman" w:hAnsi="Times New Roman" w:cs="Times New Roman"/>
          <w:i/>
          <w:iCs/>
          <w:kern w:val="0"/>
          <w:lang w:eastAsia="en-GB"/>
          <w14:ligatures w14:val="none"/>
        </w:rPr>
        <w:t>The History of Sexuality, Volume 3: The Care of the Self</w:t>
      </w:r>
      <w:r w:rsidR="00210980" w:rsidRPr="00210980">
        <w:rPr>
          <w:rFonts w:ascii="Times New Roman" w:eastAsia="Times New Roman" w:hAnsi="Times New Roman" w:cs="Times New Roman"/>
          <w:kern w:val="0"/>
          <w:lang w:eastAsia="en-GB"/>
          <w14:ligatures w14:val="none"/>
        </w:rPr>
        <w:t>, trans. by Robert Hurley (London: Penguin, 1990)</w:t>
      </w:r>
    </w:p>
    <w:p w14:paraId="2D8AFF4C" w14:textId="609F0DB0" w:rsidR="00210980" w:rsidRPr="00210980" w:rsidRDefault="0062707D" w:rsidP="00210980">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t>
      </w:r>
      <w:r w:rsidR="00210980" w:rsidRPr="00210980">
        <w:rPr>
          <w:rFonts w:ascii="Times New Roman" w:eastAsia="Times New Roman" w:hAnsi="Times New Roman" w:cs="Times New Roman"/>
          <w:kern w:val="0"/>
          <w:lang w:eastAsia="en-GB"/>
          <w14:ligatures w14:val="none"/>
        </w:rPr>
        <w:t xml:space="preserve">, </w:t>
      </w:r>
      <w:r w:rsidR="00210980" w:rsidRPr="00210980">
        <w:rPr>
          <w:rFonts w:ascii="Times New Roman" w:eastAsia="Times New Roman" w:hAnsi="Times New Roman" w:cs="Times New Roman"/>
          <w:i/>
          <w:iCs/>
          <w:kern w:val="0"/>
          <w:lang w:eastAsia="en-GB"/>
          <w14:ligatures w14:val="none"/>
        </w:rPr>
        <w:t>Power/Knowledge: Selected Interviews and Other Writings, 1972–1977</w:t>
      </w:r>
      <w:r w:rsidR="00210980" w:rsidRPr="00210980">
        <w:rPr>
          <w:rFonts w:ascii="Times New Roman" w:eastAsia="Times New Roman" w:hAnsi="Times New Roman" w:cs="Times New Roman"/>
          <w:kern w:val="0"/>
          <w:lang w:eastAsia="en-GB"/>
          <w14:ligatures w14:val="none"/>
        </w:rPr>
        <w:t>, ed. by Colin Gordon (Brighton: Harvester, 1980)</w:t>
      </w:r>
    </w:p>
    <w:p w14:paraId="4870DCB4" w14:textId="77777777" w:rsidR="00210980" w:rsidRPr="00210980" w:rsidRDefault="00210980" w:rsidP="00210980">
      <w:pPr>
        <w:spacing w:before="100" w:beforeAutospacing="1" w:after="100" w:afterAutospacing="1" w:line="240" w:lineRule="auto"/>
        <w:rPr>
          <w:rFonts w:ascii="Times New Roman" w:eastAsia="Times New Roman" w:hAnsi="Times New Roman" w:cs="Times New Roman"/>
          <w:kern w:val="0"/>
          <w:lang w:eastAsia="en-GB"/>
          <w14:ligatures w14:val="none"/>
        </w:rPr>
      </w:pPr>
      <w:r w:rsidRPr="00210980">
        <w:rPr>
          <w:rFonts w:ascii="Times New Roman" w:eastAsia="Times New Roman" w:hAnsi="Times New Roman" w:cs="Times New Roman"/>
          <w:kern w:val="0"/>
          <w:lang w:eastAsia="en-GB"/>
          <w14:ligatures w14:val="none"/>
        </w:rPr>
        <w:t xml:space="preserve">Goffman, Erving, </w:t>
      </w:r>
      <w:r w:rsidRPr="00210980">
        <w:rPr>
          <w:rFonts w:ascii="Times New Roman" w:eastAsia="Times New Roman" w:hAnsi="Times New Roman" w:cs="Times New Roman"/>
          <w:i/>
          <w:iCs/>
          <w:kern w:val="0"/>
          <w:lang w:eastAsia="en-GB"/>
          <w14:ligatures w14:val="none"/>
        </w:rPr>
        <w:t>The Presentation of Self in Everyday Life</w:t>
      </w:r>
      <w:r w:rsidRPr="00210980">
        <w:rPr>
          <w:rFonts w:ascii="Times New Roman" w:eastAsia="Times New Roman" w:hAnsi="Times New Roman" w:cs="Times New Roman"/>
          <w:kern w:val="0"/>
          <w:lang w:eastAsia="en-GB"/>
          <w14:ligatures w14:val="none"/>
        </w:rPr>
        <w:t xml:space="preserve"> (Edinburgh: University of Edinburgh Social Sciences Research Centre, 1956)</w:t>
      </w:r>
    </w:p>
    <w:p w14:paraId="75C8351D" w14:textId="77777777" w:rsidR="00210980" w:rsidRDefault="00210980" w:rsidP="00210980">
      <w:pPr>
        <w:pStyle w:val="NormalWeb"/>
      </w:pPr>
    </w:p>
    <w:p w14:paraId="06ABD174" w14:textId="77777777" w:rsidR="00210980" w:rsidRDefault="00210980" w:rsidP="008C3431"/>
    <w:sectPr w:rsidR="002109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97C9B7" w14:textId="77777777" w:rsidR="00DE1009" w:rsidRDefault="00DE1009" w:rsidP="00210980">
      <w:pPr>
        <w:spacing w:after="0" w:line="240" w:lineRule="auto"/>
      </w:pPr>
      <w:r>
        <w:separator/>
      </w:r>
    </w:p>
  </w:endnote>
  <w:endnote w:type="continuationSeparator" w:id="0">
    <w:p w14:paraId="5403342E" w14:textId="77777777" w:rsidR="00DE1009" w:rsidRDefault="00DE1009" w:rsidP="00210980">
      <w:pPr>
        <w:spacing w:after="0" w:line="240" w:lineRule="auto"/>
      </w:pPr>
      <w:r>
        <w:continuationSeparator/>
      </w:r>
    </w:p>
  </w:endnote>
  <w:endnote w:id="1">
    <w:p w14:paraId="0117FEE4" w14:textId="4A150E8A" w:rsidR="0012624F" w:rsidRDefault="0012624F">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FB92D" w14:textId="77777777" w:rsidR="00DE1009" w:rsidRDefault="00DE1009" w:rsidP="00210980">
      <w:pPr>
        <w:spacing w:after="0" w:line="240" w:lineRule="auto"/>
      </w:pPr>
      <w:r>
        <w:separator/>
      </w:r>
    </w:p>
  </w:footnote>
  <w:footnote w:type="continuationSeparator" w:id="0">
    <w:p w14:paraId="79DEBD96" w14:textId="77777777" w:rsidR="00DE1009" w:rsidRDefault="00DE1009" w:rsidP="00210980">
      <w:pPr>
        <w:spacing w:after="0" w:line="240" w:lineRule="auto"/>
      </w:pPr>
      <w:r>
        <w:continuationSeparator/>
      </w:r>
    </w:p>
  </w:footnote>
  <w:footnote w:id="1">
    <w:p w14:paraId="2783339F" w14:textId="5761E6A9" w:rsidR="00210980" w:rsidRDefault="00210980">
      <w:pPr>
        <w:pStyle w:val="FootnoteText"/>
      </w:pPr>
    </w:p>
  </w:footnote>
  <w:footnote w:id="2">
    <w:p w14:paraId="2CA15760" w14:textId="6D7DED63" w:rsidR="00210980" w:rsidRDefault="0021098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021595"/>
    <w:multiLevelType w:val="multilevel"/>
    <w:tmpl w:val="314EC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1704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431"/>
    <w:rsid w:val="0012624F"/>
    <w:rsid w:val="001F11E9"/>
    <w:rsid w:val="00210980"/>
    <w:rsid w:val="00571953"/>
    <w:rsid w:val="0062707D"/>
    <w:rsid w:val="00754349"/>
    <w:rsid w:val="008C3431"/>
    <w:rsid w:val="00DE1009"/>
    <w:rsid w:val="00F861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40D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4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34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4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4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4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4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4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4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4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4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34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4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4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4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4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4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4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431"/>
    <w:rPr>
      <w:rFonts w:eastAsiaTheme="majorEastAsia" w:cstheme="majorBidi"/>
      <w:color w:val="272727" w:themeColor="text1" w:themeTint="D8"/>
    </w:rPr>
  </w:style>
  <w:style w:type="paragraph" w:styleId="Title">
    <w:name w:val="Title"/>
    <w:basedOn w:val="Normal"/>
    <w:next w:val="Normal"/>
    <w:link w:val="TitleChar"/>
    <w:uiPriority w:val="10"/>
    <w:qFormat/>
    <w:rsid w:val="008C34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4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4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4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431"/>
    <w:pPr>
      <w:spacing w:before="160"/>
      <w:jc w:val="center"/>
    </w:pPr>
    <w:rPr>
      <w:i/>
      <w:iCs/>
      <w:color w:val="404040" w:themeColor="text1" w:themeTint="BF"/>
    </w:rPr>
  </w:style>
  <w:style w:type="character" w:customStyle="1" w:styleId="QuoteChar">
    <w:name w:val="Quote Char"/>
    <w:basedOn w:val="DefaultParagraphFont"/>
    <w:link w:val="Quote"/>
    <w:uiPriority w:val="29"/>
    <w:rsid w:val="008C3431"/>
    <w:rPr>
      <w:i/>
      <w:iCs/>
      <w:color w:val="404040" w:themeColor="text1" w:themeTint="BF"/>
    </w:rPr>
  </w:style>
  <w:style w:type="paragraph" w:styleId="ListParagraph">
    <w:name w:val="List Paragraph"/>
    <w:basedOn w:val="Normal"/>
    <w:uiPriority w:val="34"/>
    <w:qFormat/>
    <w:rsid w:val="008C3431"/>
    <w:pPr>
      <w:ind w:left="720"/>
      <w:contextualSpacing/>
    </w:pPr>
  </w:style>
  <w:style w:type="character" w:styleId="IntenseEmphasis">
    <w:name w:val="Intense Emphasis"/>
    <w:basedOn w:val="DefaultParagraphFont"/>
    <w:uiPriority w:val="21"/>
    <w:qFormat/>
    <w:rsid w:val="008C3431"/>
    <w:rPr>
      <w:i/>
      <w:iCs/>
      <w:color w:val="0F4761" w:themeColor="accent1" w:themeShade="BF"/>
    </w:rPr>
  </w:style>
  <w:style w:type="paragraph" w:styleId="IntenseQuote">
    <w:name w:val="Intense Quote"/>
    <w:basedOn w:val="Normal"/>
    <w:next w:val="Normal"/>
    <w:link w:val="IntenseQuoteChar"/>
    <w:uiPriority w:val="30"/>
    <w:qFormat/>
    <w:rsid w:val="008C34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431"/>
    <w:rPr>
      <w:i/>
      <w:iCs/>
      <w:color w:val="0F4761" w:themeColor="accent1" w:themeShade="BF"/>
    </w:rPr>
  </w:style>
  <w:style w:type="character" w:styleId="IntenseReference">
    <w:name w:val="Intense Reference"/>
    <w:basedOn w:val="DefaultParagraphFont"/>
    <w:uiPriority w:val="32"/>
    <w:qFormat/>
    <w:rsid w:val="008C3431"/>
    <w:rPr>
      <w:b/>
      <w:bCs/>
      <w:smallCaps/>
      <w:color w:val="0F4761" w:themeColor="accent1" w:themeShade="BF"/>
      <w:spacing w:val="5"/>
    </w:rPr>
  </w:style>
  <w:style w:type="paragraph" w:styleId="NormalWeb">
    <w:name w:val="Normal (Web)"/>
    <w:basedOn w:val="Normal"/>
    <w:uiPriority w:val="99"/>
    <w:unhideWhenUsed/>
    <w:rsid w:val="008C343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FootnoteText">
    <w:name w:val="footnote text"/>
    <w:basedOn w:val="Normal"/>
    <w:link w:val="FootnoteTextChar"/>
    <w:uiPriority w:val="99"/>
    <w:semiHidden/>
    <w:unhideWhenUsed/>
    <w:rsid w:val="002109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0980"/>
    <w:rPr>
      <w:sz w:val="20"/>
      <w:szCs w:val="20"/>
    </w:rPr>
  </w:style>
  <w:style w:type="character" w:styleId="FootnoteReference">
    <w:name w:val="footnote reference"/>
    <w:basedOn w:val="DefaultParagraphFont"/>
    <w:uiPriority w:val="99"/>
    <w:semiHidden/>
    <w:unhideWhenUsed/>
    <w:rsid w:val="00210980"/>
    <w:rPr>
      <w:vertAlign w:val="superscript"/>
    </w:rPr>
  </w:style>
  <w:style w:type="paragraph" w:styleId="EndnoteText">
    <w:name w:val="endnote text"/>
    <w:basedOn w:val="Normal"/>
    <w:link w:val="EndnoteTextChar"/>
    <w:uiPriority w:val="99"/>
    <w:semiHidden/>
    <w:unhideWhenUsed/>
    <w:rsid w:val="0012624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2624F"/>
    <w:rPr>
      <w:sz w:val="20"/>
      <w:szCs w:val="20"/>
    </w:rPr>
  </w:style>
  <w:style w:type="character" w:styleId="EndnoteReference">
    <w:name w:val="endnote reference"/>
    <w:basedOn w:val="DefaultParagraphFont"/>
    <w:uiPriority w:val="99"/>
    <w:semiHidden/>
    <w:unhideWhenUsed/>
    <w:rsid w:val="0012624F"/>
    <w:rPr>
      <w:vertAlign w:val="superscript"/>
    </w:rPr>
  </w:style>
  <w:style w:type="paragraph" w:styleId="Header">
    <w:name w:val="header"/>
    <w:basedOn w:val="Normal"/>
    <w:link w:val="HeaderChar"/>
    <w:uiPriority w:val="99"/>
    <w:unhideWhenUsed/>
    <w:rsid w:val="001F11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11E9"/>
  </w:style>
  <w:style w:type="paragraph" w:styleId="Footer">
    <w:name w:val="footer"/>
    <w:basedOn w:val="Normal"/>
    <w:link w:val="FooterChar"/>
    <w:uiPriority w:val="99"/>
    <w:unhideWhenUsed/>
    <w:rsid w:val="001F11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1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BA0B3-CF4D-4361-8795-CEF80CBE9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2901</Words>
  <Characters>16538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2025-12-16T14:43:00Z</dcterms:created>
  <dcterms:modified xsi:type="dcterms:W3CDTF">2025-12-16T14:44:00Z</dcterms:modified>
</cp:coreProperties>
</file>