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B7BF44" w14:textId="77777777" w:rsidR="00BC27E2" w:rsidRPr="00E044BE" w:rsidRDefault="00BC27E2" w:rsidP="00E044BE">
      <w:pPr>
        <w:jc w:val="center"/>
        <w:rPr>
          <w:b/>
          <w:sz w:val="32"/>
          <w:szCs w:val="32"/>
          <w:u w:val="single"/>
        </w:rPr>
      </w:pPr>
      <w:bookmarkStart w:id="0" w:name="_GoBack"/>
      <w:bookmarkEnd w:id="0"/>
      <w:r w:rsidRPr="00E044BE">
        <w:rPr>
          <w:b/>
          <w:sz w:val="32"/>
          <w:szCs w:val="32"/>
          <w:u w:val="single"/>
        </w:rPr>
        <w:t>How can material objects have a social life?</w:t>
      </w:r>
    </w:p>
    <w:p w14:paraId="0B3140E3" w14:textId="77777777" w:rsidR="00BC27E2" w:rsidRDefault="00BC27E2"/>
    <w:p w14:paraId="262FF479" w14:textId="77777777" w:rsidR="00D42D18" w:rsidRDefault="00D42D18"/>
    <w:p w14:paraId="78157A5E" w14:textId="77777777" w:rsidR="00AB6BB6" w:rsidRDefault="00AB6BB6"/>
    <w:p w14:paraId="6B0452C5" w14:textId="20E67D1A" w:rsidR="00AB6BB6" w:rsidRPr="00AB6BB6" w:rsidRDefault="00AB6BB6" w:rsidP="00AB6BB6">
      <w:pPr>
        <w:spacing w:line="480" w:lineRule="auto"/>
      </w:pPr>
      <w:r>
        <w:t xml:space="preserve">When we consider material objects, it is hard to picture just how such objects can have a social life. It is common to associate a social life with the members of a society, not to the inanimate objects that make up the surroundings and environment of a society. This essay will begin by quickly exploring what an object is, before moving on to how such objects can come to have what we might picture as a social life. The essay will then explore briefly how the value of an object is embedded within the social relations that it represents. The next part will look at two examples of objects that have vivid social lives, the </w:t>
      </w:r>
      <w:proofErr w:type="spellStart"/>
      <w:r>
        <w:rPr>
          <w:i/>
        </w:rPr>
        <w:t>vaygu’a</w:t>
      </w:r>
      <w:proofErr w:type="spellEnd"/>
      <w:r>
        <w:t xml:space="preserve"> of the Kula ring, and the </w:t>
      </w:r>
      <w:proofErr w:type="spellStart"/>
      <w:r>
        <w:rPr>
          <w:i/>
        </w:rPr>
        <w:t>cuy</w:t>
      </w:r>
      <w:proofErr w:type="spellEnd"/>
      <w:r>
        <w:t xml:space="preserve"> of the </w:t>
      </w:r>
      <w:proofErr w:type="spellStart"/>
      <w:r w:rsidRPr="00C94F68">
        <w:t>Jimeño</w:t>
      </w:r>
      <w:proofErr w:type="spellEnd"/>
      <w:r>
        <w:t xml:space="preserve"> from the Ecuadorian Highlands, before offering a conclusion.</w:t>
      </w:r>
    </w:p>
    <w:p w14:paraId="18C27FBB" w14:textId="6D74FE76" w:rsidR="00D42D18" w:rsidRDefault="00D86923" w:rsidP="008946D9">
      <w:pPr>
        <w:spacing w:line="480" w:lineRule="auto"/>
        <w:ind w:firstLine="720"/>
        <w:jc w:val="both"/>
      </w:pPr>
      <w:r>
        <w:t>Just as we have relationships with the environment that we inhabit and the inhabitants that we share this space with</w:t>
      </w:r>
      <w:r w:rsidR="004369DE">
        <w:t xml:space="preserve">, the same can be said for the non-living materials that also surround us and inhabit our environment. </w:t>
      </w:r>
      <w:r w:rsidR="0014764C">
        <w:t xml:space="preserve"> The question of what, exactly, </w:t>
      </w:r>
      <w:r w:rsidR="0014764C" w:rsidRPr="0014764C">
        <w:rPr>
          <w:i/>
        </w:rPr>
        <w:t>is</w:t>
      </w:r>
      <w:r w:rsidR="0014764C">
        <w:t xml:space="preserve"> an object, </w:t>
      </w:r>
      <w:r w:rsidR="00985107">
        <w:t xml:space="preserve">remains </w:t>
      </w:r>
      <w:r w:rsidR="0014764C">
        <w:t>a perennial problem within the field of metaphysics. For the purpose of this essay, I will offer a distinction here</w:t>
      </w:r>
      <w:r w:rsidR="00703A9C">
        <w:t xml:space="preserve">, although I will not hold that this is true in all possible scenarios. Very simply, </w:t>
      </w:r>
      <w:r w:rsidR="00985107">
        <w:t xml:space="preserve">an </w:t>
      </w:r>
      <w:r w:rsidR="00703A9C">
        <w:t>‘</w:t>
      </w:r>
      <w:r w:rsidR="00224371">
        <w:t>object is, roughly, an “it”, and each subject is a “you”’</w:t>
      </w:r>
      <w:sdt>
        <w:sdtPr>
          <w:id w:val="-1864583917"/>
          <w:citation/>
        </w:sdtPr>
        <w:sdtEndPr/>
        <w:sdtContent>
          <w:r w:rsidR="00224371">
            <w:fldChar w:fldCharType="begin"/>
          </w:r>
          <w:r w:rsidR="00224371">
            <w:instrText xml:space="preserve"> CITATION Bra17 \l 2057 </w:instrText>
          </w:r>
          <w:r w:rsidR="00224371">
            <w:fldChar w:fldCharType="separate"/>
          </w:r>
          <w:r w:rsidR="00224371">
            <w:rPr>
              <w:noProof/>
            </w:rPr>
            <w:t xml:space="preserve"> </w:t>
          </w:r>
          <w:r w:rsidR="00224371" w:rsidRPr="00224371">
            <w:rPr>
              <w:noProof/>
            </w:rPr>
            <w:t>(Bailey, 2017)</w:t>
          </w:r>
          <w:r w:rsidR="00224371">
            <w:fldChar w:fldCharType="end"/>
          </w:r>
        </w:sdtContent>
      </w:sdt>
      <w:r w:rsidR="00224371" w:rsidRPr="00224371">
        <w:t>.</w:t>
      </w:r>
      <w:r w:rsidR="0014764C">
        <w:t xml:space="preserve"> </w:t>
      </w:r>
      <w:r w:rsidR="00224371">
        <w:t xml:space="preserve">The “you” denotes that the thing referred to has experience, whereas the “it” implies the opposite, that there is no experience within what would then be an object. </w:t>
      </w:r>
      <w:r w:rsidR="00FC2F2A">
        <w:t xml:space="preserve">This, interestingly, has not always been the case. We can think of slavery as turning the subject into an object, something to be bought and sold, to be manipulated and to inforce the will upon. For the purpose of this essay, we will leave behind the example of slavery and keep this working definition. </w:t>
      </w:r>
    </w:p>
    <w:p w14:paraId="498A7929" w14:textId="5C365C97" w:rsidR="00224371" w:rsidRDefault="00224371" w:rsidP="008946D9">
      <w:pPr>
        <w:spacing w:line="480" w:lineRule="auto"/>
        <w:jc w:val="both"/>
      </w:pPr>
      <w:r>
        <w:tab/>
        <w:t xml:space="preserve">It is not only subjects that have a social interaction within any culture, </w:t>
      </w:r>
      <w:r w:rsidR="00985107">
        <w:t xml:space="preserve">as </w:t>
      </w:r>
      <w:r>
        <w:t xml:space="preserve">the objects within the culture </w:t>
      </w:r>
      <w:r w:rsidR="00985107">
        <w:t xml:space="preserve">can </w:t>
      </w:r>
      <w:r>
        <w:t xml:space="preserve">also have a vivid social life. As absurd as this seems </w:t>
      </w:r>
      <w:r>
        <w:rPr>
          <w:i/>
        </w:rPr>
        <w:t>prima facie</w:t>
      </w:r>
      <w:r>
        <w:t xml:space="preserve">, upon </w:t>
      </w:r>
      <w:r>
        <w:lastRenderedPageBreak/>
        <w:t xml:space="preserve">closer inspection, many of the objects that we run into day to day have just a vivid social life as the subjects that come across them. </w:t>
      </w:r>
      <w:r w:rsidR="00E51E1B">
        <w:t xml:space="preserve">This social life </w:t>
      </w:r>
      <w:r w:rsidR="00643952">
        <w:t xml:space="preserve">is intricately woven into the interactions between the subjects, and the subjects’ interaction with the environment also. </w:t>
      </w:r>
    </w:p>
    <w:p w14:paraId="372F2221" w14:textId="4F50C8D2" w:rsidR="003556FF" w:rsidRDefault="00643952" w:rsidP="008946D9">
      <w:pPr>
        <w:spacing w:line="480" w:lineRule="auto"/>
        <w:jc w:val="both"/>
      </w:pPr>
      <w:r>
        <w:tab/>
      </w:r>
      <w:r w:rsidR="002E0E4A">
        <w:t xml:space="preserve">The interactions that people have with objects </w:t>
      </w:r>
      <w:r w:rsidR="00614A4B">
        <w:t>are not just meaningless within the social interactions of the community</w:t>
      </w:r>
      <w:r w:rsidR="003C776A">
        <w:t>, the opposite is true; the objects are steeped heavily in meaning fo</w:t>
      </w:r>
      <w:r w:rsidR="00C93901">
        <w:t>r the people and their interactions</w:t>
      </w:r>
      <w:r w:rsidR="003C776A">
        <w:t>. As they ‘</w:t>
      </w:r>
      <w:r w:rsidR="003556FF">
        <w:t xml:space="preserve">circulate </w:t>
      </w:r>
      <w:r w:rsidR="00904020">
        <w:t>in</w:t>
      </w:r>
      <w:r w:rsidR="003556FF">
        <w:t xml:space="preserve"> different reg</w:t>
      </w:r>
      <w:r w:rsidR="003C776A">
        <w:t xml:space="preserve">imes of value in space and time’ </w:t>
      </w:r>
      <w:sdt>
        <w:sdtPr>
          <w:id w:val="-1807148720"/>
          <w:citation/>
        </w:sdtPr>
        <w:sdtEndPr/>
        <w:sdtContent>
          <w:r w:rsidR="003C776A">
            <w:fldChar w:fldCharType="begin"/>
          </w:r>
          <w:r w:rsidR="003C776A">
            <w:instrText xml:space="preserve">CITATION Arj86 \p 4 \l 2057 </w:instrText>
          </w:r>
          <w:r w:rsidR="003C776A">
            <w:fldChar w:fldCharType="separate"/>
          </w:r>
          <w:r w:rsidR="003C776A" w:rsidRPr="003C776A">
            <w:rPr>
              <w:noProof/>
            </w:rPr>
            <w:t>(Appadurai, 1986, p. 4)</w:t>
          </w:r>
          <w:r w:rsidR="003C776A">
            <w:fldChar w:fldCharType="end"/>
          </w:r>
        </w:sdtContent>
      </w:sdt>
      <w:r w:rsidR="00C93901">
        <w:t xml:space="preserve">, they acquire their social life, the value that we imbue them with is derived from their use in a social context. Their circulation within a community or culture reinforces the bonds and shared kinships of the community, acquiring with them a social life along this path from person to person. </w:t>
      </w:r>
    </w:p>
    <w:p w14:paraId="340C6A4E" w14:textId="1958D663" w:rsidR="00C13DC3" w:rsidRDefault="00C93901" w:rsidP="008946D9">
      <w:pPr>
        <w:spacing w:line="480" w:lineRule="auto"/>
        <w:jc w:val="both"/>
      </w:pPr>
      <w:r>
        <w:tab/>
        <w:t xml:space="preserve">Marx gives us the idea the value of an object is driven by its context within the social relationships of the people that exchange it. As a commodity is exchanged, the </w:t>
      </w:r>
      <w:r w:rsidR="00635D00">
        <w:t xml:space="preserve">exchange </w:t>
      </w:r>
      <w:r>
        <w:t xml:space="preserve">value it </w:t>
      </w:r>
      <w:r w:rsidR="0023237C">
        <w:t>has is determined by the social;</w:t>
      </w:r>
      <w:r>
        <w:t xml:space="preserve"> by the relationships that the exchange forges and re-enforces, and by the obligations and</w:t>
      </w:r>
      <w:r w:rsidR="00635D00">
        <w:t xml:space="preserve"> reciprocation that it demands</w:t>
      </w:r>
      <w:r w:rsidR="005531B9">
        <w:t xml:space="preserve"> </w:t>
      </w:r>
      <w:sdt>
        <w:sdtPr>
          <w:id w:val="-849104825"/>
          <w:citation/>
        </w:sdtPr>
        <w:sdtEndPr/>
        <w:sdtContent>
          <w:r w:rsidR="005531B9">
            <w:fldChar w:fldCharType="begin"/>
          </w:r>
          <w:r w:rsidR="00635D00">
            <w:instrText xml:space="preserve">CITATION Kar71 \p 13 \l 2057 </w:instrText>
          </w:r>
          <w:r w:rsidR="005531B9">
            <w:fldChar w:fldCharType="separate"/>
          </w:r>
          <w:r w:rsidR="00635D00" w:rsidRPr="00635D00">
            <w:rPr>
              <w:noProof/>
            </w:rPr>
            <w:t>(Marx, 1971, p. 13)</w:t>
          </w:r>
          <w:r w:rsidR="005531B9">
            <w:fldChar w:fldCharType="end"/>
          </w:r>
        </w:sdtContent>
      </w:sdt>
      <w:r w:rsidR="00635D00">
        <w:t xml:space="preserve">. </w:t>
      </w:r>
      <w:r w:rsidR="002A2F85">
        <w:t>This ‘exchange value’</w:t>
      </w:r>
      <w:r w:rsidR="00073536">
        <w:t xml:space="preserve"> </w:t>
      </w:r>
      <w:sdt>
        <w:sdtPr>
          <w:id w:val="-639027561"/>
          <w:citation/>
        </w:sdtPr>
        <w:sdtEndPr/>
        <w:sdtContent>
          <w:r w:rsidR="00073536">
            <w:fldChar w:fldCharType="begin"/>
          </w:r>
          <w:r w:rsidR="00073536">
            <w:instrText xml:space="preserve">CITATION Kar71 \p 13-14 \l 2057 </w:instrText>
          </w:r>
          <w:r w:rsidR="00073536">
            <w:fldChar w:fldCharType="separate"/>
          </w:r>
          <w:r w:rsidR="00073536" w:rsidRPr="00073536">
            <w:rPr>
              <w:noProof/>
            </w:rPr>
            <w:t>(Marx, 1971, pp. 13-14)</w:t>
          </w:r>
          <w:r w:rsidR="00073536">
            <w:fldChar w:fldCharType="end"/>
          </w:r>
        </w:sdtContent>
      </w:sdt>
      <w:r w:rsidR="00073536">
        <w:t xml:space="preserve"> is markedly different from the value gained from the use of the object. </w:t>
      </w:r>
      <w:r w:rsidR="00EA1070">
        <w:t xml:space="preserve">The value gained from the utility of the object presents itself as qualitatively different for each type of object; the </w:t>
      </w:r>
      <w:r w:rsidR="009E2AAA">
        <w:t xml:space="preserve">exchange value differs only in quantity. </w:t>
      </w:r>
      <w:r w:rsidR="00987433">
        <w:t>The value under this Marxian framew</w:t>
      </w:r>
      <w:r w:rsidR="0075707A">
        <w:t xml:space="preserve">ork comes from the human labour, the time and skill invested in the material object. </w:t>
      </w:r>
      <w:r w:rsidR="00296FC8">
        <w:t xml:space="preserve">This human labour can be seen in terms of the ‘modes of production’ </w:t>
      </w:r>
      <w:sdt>
        <w:sdtPr>
          <w:id w:val="-1824108405"/>
          <w:citation/>
        </w:sdtPr>
        <w:sdtEndPr/>
        <w:sdtContent>
          <w:r w:rsidR="00296FC8">
            <w:fldChar w:fldCharType="begin"/>
          </w:r>
          <w:r w:rsidR="00A010EC">
            <w:instrText xml:space="preserve">CITATION Sar17 \l 2057 </w:instrText>
          </w:r>
          <w:r w:rsidR="00296FC8">
            <w:fldChar w:fldCharType="separate"/>
          </w:r>
          <w:r w:rsidR="00A010EC" w:rsidRPr="00A010EC">
            <w:rPr>
              <w:noProof/>
            </w:rPr>
            <w:t>(Morrow &amp; Lusteck, n.d.)</w:t>
          </w:r>
          <w:r w:rsidR="00296FC8">
            <w:fldChar w:fldCharType="end"/>
          </w:r>
        </w:sdtContent>
      </w:sdt>
      <w:r w:rsidR="00A010EC">
        <w:t xml:space="preserve">, which in turn shape what is known as the ‘superstructure’ of the society; the social relations that form the laws, government, and institutions that arise within a culture. </w:t>
      </w:r>
    </w:p>
    <w:p w14:paraId="52481DAC" w14:textId="3C52D7B3" w:rsidR="00E044BE" w:rsidRDefault="00E044BE" w:rsidP="008946D9">
      <w:pPr>
        <w:spacing w:line="480" w:lineRule="auto"/>
        <w:jc w:val="both"/>
      </w:pPr>
      <w:r>
        <w:tab/>
      </w:r>
      <w:r w:rsidR="00814B6C">
        <w:t xml:space="preserve">Objects exchanging hands may not necessarily be defined as a commodity. The practice of gift-giving can illuminate the social life of an object just as much as following the </w:t>
      </w:r>
      <w:r w:rsidR="00814B6C">
        <w:lastRenderedPageBreak/>
        <w:t xml:space="preserve">object through its exchange in a market and documenting its value. </w:t>
      </w:r>
      <w:r w:rsidR="00DB383B">
        <w:t>The gift differs from the commodity in the nature of its exchange. With the commodity, the value is expected to be met immediately, like for like. Gifts, on the other hand, are on the face of it, ‘generously offered’</w:t>
      </w:r>
      <w:sdt>
        <w:sdtPr>
          <w:id w:val="1197964708"/>
          <w:citation/>
        </w:sdtPr>
        <w:sdtEndPr/>
        <w:sdtContent>
          <w:r w:rsidR="00DB383B">
            <w:fldChar w:fldCharType="begin"/>
          </w:r>
          <w:r w:rsidR="00DB383B">
            <w:instrText xml:space="preserve">CITATION Mau11 \p 1 \l 2057 </w:instrText>
          </w:r>
          <w:r w:rsidR="00DB383B">
            <w:fldChar w:fldCharType="separate"/>
          </w:r>
          <w:r w:rsidR="00DB383B">
            <w:rPr>
              <w:noProof/>
            </w:rPr>
            <w:t xml:space="preserve"> </w:t>
          </w:r>
          <w:r w:rsidR="00DB383B" w:rsidRPr="00DB383B">
            <w:rPr>
              <w:noProof/>
            </w:rPr>
            <w:t>(Mauss, 2011, p. 1)</w:t>
          </w:r>
          <w:r w:rsidR="00DB383B">
            <w:fldChar w:fldCharType="end"/>
          </w:r>
        </w:sdtContent>
      </w:sdt>
      <w:r w:rsidR="00DB383B">
        <w:t xml:space="preserve">, with no explicit terms for repayment. </w:t>
      </w:r>
      <w:r w:rsidR="006B6A97">
        <w:t xml:space="preserve">There are further distinctions between these two forms of transaction; the exchange of commodities can be seen as impersonal, people who hold no special bonds, such as those of kinship, may freely enter into such transactions. The giving of a gift on the other hand expresses some sort of bond between the two parties involved </w:t>
      </w:r>
      <w:sdt>
        <w:sdtPr>
          <w:id w:val="-1810704934"/>
          <w:citation/>
        </w:sdtPr>
        <w:sdtEndPr/>
        <w:sdtContent>
          <w:r w:rsidR="00745C9D">
            <w:fldChar w:fldCharType="begin"/>
          </w:r>
          <w:r w:rsidR="00745C9D">
            <w:instrText xml:space="preserve">CITATION Car91 \p 122 \l 2057 </w:instrText>
          </w:r>
          <w:r w:rsidR="00745C9D">
            <w:fldChar w:fldCharType="separate"/>
          </w:r>
          <w:r w:rsidR="00745C9D" w:rsidRPr="00745C9D">
            <w:rPr>
              <w:noProof/>
            </w:rPr>
            <w:t>(Carrier, 1991, p. 122)</w:t>
          </w:r>
          <w:r w:rsidR="00745C9D">
            <w:fldChar w:fldCharType="end"/>
          </w:r>
        </w:sdtContent>
      </w:sdt>
      <w:r w:rsidR="00745C9D">
        <w:t>.</w:t>
      </w:r>
    </w:p>
    <w:p w14:paraId="4ACE9119" w14:textId="1D60D8A8" w:rsidR="00BD6699" w:rsidRDefault="00E044BE" w:rsidP="001776EC">
      <w:pPr>
        <w:spacing w:line="480" w:lineRule="auto"/>
        <w:ind w:firstLine="720"/>
        <w:jc w:val="both"/>
      </w:pPr>
      <w:r>
        <w:t xml:space="preserve">The exchange of objects, whether they are perceived as gifts or commodities with exchange value, encapsulate the social life of that object. As we follow the journey of the object through its exchange and gifting, its biographical account illuminates the social aspect of the exchange and gifting. </w:t>
      </w:r>
      <w:r w:rsidR="008D1D49">
        <w:t>The process of</w:t>
      </w:r>
      <w:r w:rsidR="00005979">
        <w:t xml:space="preserve"> recording</w:t>
      </w:r>
      <w:r w:rsidR="00315C6C">
        <w:t xml:space="preserve"> the object</w:t>
      </w:r>
      <w:r w:rsidR="00005979">
        <w:t xml:space="preserve"> biographically,</w:t>
      </w:r>
      <w:r w:rsidR="00EA62F0">
        <w:t xml:space="preserve"> as it exch</w:t>
      </w:r>
      <w:r w:rsidR="00105C86">
        <w:t>anges hands, as it gains and lo</w:t>
      </w:r>
      <w:r w:rsidR="00EA62F0">
        <w:t xml:space="preserve">ses value, </w:t>
      </w:r>
      <w:r w:rsidR="00105C86">
        <w:t>‘</w:t>
      </w:r>
      <w:r w:rsidR="00005979">
        <w:t>make</w:t>
      </w:r>
      <w:r w:rsidR="00105C86">
        <w:t xml:space="preserve"> salient</w:t>
      </w:r>
      <w:r w:rsidR="00005979">
        <w:t xml:space="preserve"> what might</w:t>
      </w:r>
      <w:r w:rsidR="00105C86">
        <w:t xml:space="preserve"> otherwise</w:t>
      </w:r>
      <w:r w:rsidR="00005979">
        <w:t xml:space="preserve"> remain obscure’</w:t>
      </w:r>
      <w:r w:rsidR="00105C86">
        <w:t xml:space="preserve"> </w:t>
      </w:r>
      <w:sdt>
        <w:sdtPr>
          <w:id w:val="-114218561"/>
          <w:citation/>
        </w:sdtPr>
        <w:sdtEndPr/>
        <w:sdtContent>
          <w:r w:rsidR="00005979">
            <w:fldChar w:fldCharType="begin"/>
          </w:r>
          <w:r w:rsidR="00005979">
            <w:instrText xml:space="preserve">CITATION Kop \p 67 \l 2057 </w:instrText>
          </w:r>
          <w:r w:rsidR="00005979">
            <w:fldChar w:fldCharType="separate"/>
          </w:r>
          <w:r w:rsidR="00005979" w:rsidRPr="00005979">
            <w:rPr>
              <w:noProof/>
            </w:rPr>
            <w:t>(Kopytoff, 1988, p. 67)</w:t>
          </w:r>
          <w:r w:rsidR="00005979">
            <w:fldChar w:fldCharType="end"/>
          </w:r>
        </w:sdtContent>
      </w:sdt>
      <w:r w:rsidR="00005979">
        <w:t xml:space="preserve">. </w:t>
      </w:r>
    </w:p>
    <w:p w14:paraId="71A13DC0" w14:textId="01A26A37" w:rsidR="00BD6699" w:rsidRDefault="003A5BBA" w:rsidP="00BB4C49">
      <w:pPr>
        <w:spacing w:line="480" w:lineRule="auto"/>
        <w:ind w:firstLine="720"/>
        <w:jc w:val="both"/>
      </w:pPr>
      <w:r>
        <w:t xml:space="preserve">The inhabitants of the </w:t>
      </w:r>
      <w:r w:rsidRPr="003A5BBA">
        <w:t>Trobriand Islands</w:t>
      </w:r>
      <w:r>
        <w:t xml:space="preserve"> practice a system of exchange known as </w:t>
      </w:r>
      <w:r w:rsidR="00276147">
        <w:t>‘</w:t>
      </w:r>
      <w:r>
        <w:t>Kula</w:t>
      </w:r>
      <w:r w:rsidR="00276147">
        <w:t xml:space="preserve">’ </w:t>
      </w:r>
      <w:sdt>
        <w:sdtPr>
          <w:id w:val="-859812223"/>
          <w:citation/>
        </w:sdtPr>
        <w:sdtEndPr/>
        <w:sdtContent>
          <w:r w:rsidR="00276147">
            <w:fldChar w:fldCharType="begin"/>
          </w:r>
          <w:r w:rsidR="00276147">
            <w:instrText xml:space="preserve">CITATION Mal92 \p 2 \l 2057 </w:instrText>
          </w:r>
          <w:r w:rsidR="00276147">
            <w:fldChar w:fldCharType="separate"/>
          </w:r>
          <w:r w:rsidR="00276147" w:rsidRPr="00276147">
            <w:rPr>
              <w:noProof/>
            </w:rPr>
            <w:t>(Malinowski, 1992, p. 2)</w:t>
          </w:r>
          <w:r w:rsidR="00276147">
            <w:fldChar w:fldCharType="end"/>
          </w:r>
        </w:sdtContent>
      </w:sdt>
      <w:r w:rsidR="00276147">
        <w:t xml:space="preserve">. The exchange system of Kula is highly complex, </w:t>
      </w:r>
      <w:r w:rsidR="00FA300F">
        <w:t xml:space="preserve">being ‘half commercial, half ceremonial’ </w:t>
      </w:r>
      <w:sdt>
        <w:sdtPr>
          <w:id w:val="-928183320"/>
          <w:citation/>
        </w:sdtPr>
        <w:sdtEndPr/>
        <w:sdtContent>
          <w:r w:rsidR="00FA300F">
            <w:fldChar w:fldCharType="begin"/>
          </w:r>
          <w:r w:rsidR="00FA300F">
            <w:instrText xml:space="preserve">CITATION Mal92 \p 510 \l 2057 </w:instrText>
          </w:r>
          <w:r w:rsidR="00FA300F">
            <w:fldChar w:fldCharType="separate"/>
          </w:r>
          <w:r w:rsidR="00FA300F" w:rsidRPr="00FA300F">
            <w:rPr>
              <w:noProof/>
            </w:rPr>
            <w:t>(Malinowski, 1992, p. 510)</w:t>
          </w:r>
          <w:r w:rsidR="00FA300F">
            <w:fldChar w:fldCharType="end"/>
          </w:r>
        </w:sdtContent>
      </w:sdt>
      <w:r w:rsidR="00FA300F">
        <w:t xml:space="preserve"> in nature. The value of the </w:t>
      </w:r>
      <w:r w:rsidR="00FA300F">
        <w:rPr>
          <w:i/>
        </w:rPr>
        <w:t>‘</w:t>
      </w:r>
      <w:proofErr w:type="spellStart"/>
      <w:r w:rsidR="00FA300F">
        <w:rPr>
          <w:i/>
        </w:rPr>
        <w:t>vaygu’a</w:t>
      </w:r>
      <w:proofErr w:type="spellEnd"/>
      <w:r w:rsidR="00FA300F">
        <w:t xml:space="preserve">’ seems strange to the alien observer, just a seemingly useless trinket made from shells. The value does not stem from the use of the </w:t>
      </w:r>
      <w:proofErr w:type="spellStart"/>
      <w:r w:rsidR="00FA300F">
        <w:rPr>
          <w:i/>
        </w:rPr>
        <w:t>vaygu’a</w:t>
      </w:r>
      <w:proofErr w:type="spellEnd"/>
      <w:r w:rsidR="00FA300F">
        <w:rPr>
          <w:i/>
        </w:rPr>
        <w:t>,</w:t>
      </w:r>
      <w:r w:rsidR="00FA300F" w:rsidRPr="00FA300F">
        <w:t xml:space="preserve"> instead, it comes from the social relationships that it represents.</w:t>
      </w:r>
      <w:r w:rsidR="00203B04">
        <w:t xml:space="preserve"> </w:t>
      </w:r>
      <w:r w:rsidR="00067902">
        <w:t xml:space="preserve">The exchange of </w:t>
      </w:r>
      <w:proofErr w:type="spellStart"/>
      <w:r w:rsidR="00067902">
        <w:rPr>
          <w:i/>
        </w:rPr>
        <w:t>vaygu’a</w:t>
      </w:r>
      <w:proofErr w:type="spellEnd"/>
      <w:r w:rsidR="00067902">
        <w:t xml:space="preserve"> forge and refine social bonds, bonds of obligation through reciprocation of the giving of </w:t>
      </w:r>
      <w:proofErr w:type="spellStart"/>
      <w:r w:rsidR="00067902">
        <w:rPr>
          <w:i/>
        </w:rPr>
        <w:t>vaygu’a</w:t>
      </w:r>
      <w:proofErr w:type="spellEnd"/>
      <w:r w:rsidR="00067902">
        <w:t xml:space="preserve"> from individual to individual. This gifting in the exchange of Kula falls somewhere in between the commodities formal value, and the ambiguous values of the exchange of gifts. The formal structure that surrounds the giving of </w:t>
      </w:r>
      <w:proofErr w:type="spellStart"/>
      <w:r w:rsidR="00067902">
        <w:rPr>
          <w:i/>
        </w:rPr>
        <w:t>vaygu’a</w:t>
      </w:r>
      <w:proofErr w:type="spellEnd"/>
      <w:r w:rsidR="00067902">
        <w:t xml:space="preserve">, and the incompleteness in the ‘point of permanency’ </w:t>
      </w:r>
      <w:sdt>
        <w:sdtPr>
          <w:id w:val="1043249477"/>
          <w:citation/>
        </w:sdtPr>
        <w:sdtEndPr/>
        <w:sdtContent>
          <w:r w:rsidR="00067902">
            <w:fldChar w:fldCharType="begin"/>
          </w:r>
          <w:r w:rsidR="00067902">
            <w:instrText xml:space="preserve">CITATION Mal92 \p 510 \l 2057 </w:instrText>
          </w:r>
          <w:r w:rsidR="00067902">
            <w:fldChar w:fldCharType="separate"/>
          </w:r>
          <w:r w:rsidR="00067902" w:rsidRPr="00067902">
            <w:rPr>
              <w:noProof/>
            </w:rPr>
            <w:t>(Malinowski, 1992, p. 510)</w:t>
          </w:r>
          <w:r w:rsidR="00067902">
            <w:fldChar w:fldCharType="end"/>
          </w:r>
        </w:sdtContent>
      </w:sdt>
      <w:r w:rsidR="00067902">
        <w:t xml:space="preserve"> offer a sort of objectivity to the value, whilst the indeterminacy of the terms of the reciprocal exchange of food, ceremony, and entertainment certainly allude to the gift-like nature of the exchange. </w:t>
      </w:r>
      <w:r w:rsidR="00502CB6">
        <w:t xml:space="preserve">The key difference between a commodity and </w:t>
      </w:r>
      <w:proofErr w:type="spellStart"/>
      <w:r w:rsidR="00502CB6">
        <w:rPr>
          <w:i/>
        </w:rPr>
        <w:t>vaygu’a</w:t>
      </w:r>
      <w:proofErr w:type="spellEnd"/>
      <w:r w:rsidR="00502CB6">
        <w:rPr>
          <w:i/>
        </w:rPr>
        <w:t xml:space="preserve">, </w:t>
      </w:r>
      <w:r w:rsidR="00502CB6">
        <w:t xml:space="preserve">is that although the </w:t>
      </w:r>
      <w:proofErr w:type="spellStart"/>
      <w:r w:rsidR="00502CB6">
        <w:rPr>
          <w:i/>
        </w:rPr>
        <w:t>vaygu’a</w:t>
      </w:r>
      <w:proofErr w:type="spellEnd"/>
      <w:r w:rsidR="00502CB6">
        <w:t xml:space="preserve"> represents ‘</w:t>
      </w:r>
      <w:r w:rsidR="00BE1517">
        <w:t>condensed</w:t>
      </w:r>
      <w:r w:rsidR="00502CB6">
        <w:t xml:space="preserve"> wealth’</w:t>
      </w:r>
      <w:r w:rsidR="00BB4C49">
        <w:t xml:space="preserve"> </w:t>
      </w:r>
      <w:sdt>
        <w:sdtPr>
          <w:id w:val="297038216"/>
          <w:citation/>
        </w:sdtPr>
        <w:sdtEndPr/>
        <w:sdtContent>
          <w:r w:rsidR="00BB4C49">
            <w:fldChar w:fldCharType="begin"/>
          </w:r>
          <w:r w:rsidR="00BB4C49">
            <w:instrText xml:space="preserve">CITATION Mal92 \p 511 \l 2057 </w:instrText>
          </w:r>
          <w:r w:rsidR="00BB4C49">
            <w:fldChar w:fldCharType="separate"/>
          </w:r>
          <w:r w:rsidR="00BB4C49" w:rsidRPr="00BB4C49">
            <w:rPr>
              <w:noProof/>
            </w:rPr>
            <w:t>(Malinowski, 1992, p. 511)</w:t>
          </w:r>
          <w:r w:rsidR="00BB4C49">
            <w:fldChar w:fldCharType="end"/>
          </w:r>
        </w:sdtContent>
      </w:sdt>
      <w:r w:rsidR="00BE1517">
        <w:t xml:space="preserve">, it is not used in direct exchange, no amount of money or commodity could be used in barter to acquire it. </w:t>
      </w:r>
      <w:r w:rsidR="00332028">
        <w:t xml:space="preserve">The exchange of </w:t>
      </w:r>
      <w:proofErr w:type="spellStart"/>
      <w:r w:rsidR="00332028">
        <w:rPr>
          <w:i/>
        </w:rPr>
        <w:t>vaygu’a</w:t>
      </w:r>
      <w:proofErr w:type="spellEnd"/>
      <w:r w:rsidR="00332028">
        <w:rPr>
          <w:i/>
        </w:rPr>
        <w:t xml:space="preserve"> </w:t>
      </w:r>
      <w:r w:rsidR="00332028">
        <w:t xml:space="preserve">instils obligation </w:t>
      </w:r>
      <w:r w:rsidR="00BB4C49">
        <w:t xml:space="preserve">to repay the value of the </w:t>
      </w:r>
      <w:proofErr w:type="spellStart"/>
      <w:r w:rsidR="00BB4C49">
        <w:rPr>
          <w:i/>
        </w:rPr>
        <w:t>vaygu’a</w:t>
      </w:r>
      <w:proofErr w:type="spellEnd"/>
      <w:r w:rsidR="00BB4C49">
        <w:rPr>
          <w:i/>
        </w:rPr>
        <w:t xml:space="preserve">, </w:t>
      </w:r>
      <w:r w:rsidR="00BB4C49">
        <w:t xml:space="preserve">but this valuation must come from the sense of what is due by the customs and dignity of the person receiving </w:t>
      </w:r>
      <w:proofErr w:type="spellStart"/>
      <w:r w:rsidR="00BB4C49">
        <w:rPr>
          <w:i/>
        </w:rPr>
        <w:t>vaygu’a</w:t>
      </w:r>
      <w:proofErr w:type="spellEnd"/>
      <w:r w:rsidR="00BB4C49">
        <w:rPr>
          <w:i/>
        </w:rPr>
        <w:t xml:space="preserve">. </w:t>
      </w:r>
      <w:r w:rsidR="00BB4C49">
        <w:t xml:space="preserve">The object exchanging hands around the </w:t>
      </w:r>
      <w:proofErr w:type="spellStart"/>
      <w:r w:rsidR="00BB4C49">
        <w:t>Kularing</w:t>
      </w:r>
      <w:proofErr w:type="spellEnd"/>
      <w:r w:rsidR="00BB4C49">
        <w:t xml:space="preserve"> draws together and cements the bonds between the communities separated by vast swathes of water, the exchange of </w:t>
      </w:r>
      <w:proofErr w:type="spellStart"/>
      <w:r w:rsidR="00BB4C49">
        <w:rPr>
          <w:i/>
        </w:rPr>
        <w:t>vaygu’a</w:t>
      </w:r>
      <w:proofErr w:type="spellEnd"/>
      <w:r w:rsidR="00BB4C49">
        <w:rPr>
          <w:i/>
        </w:rPr>
        <w:t xml:space="preserve"> </w:t>
      </w:r>
      <w:r w:rsidR="00BB4C49">
        <w:t xml:space="preserve">can be seen as the </w:t>
      </w:r>
      <w:proofErr w:type="spellStart"/>
      <w:r w:rsidR="00BB4C49">
        <w:rPr>
          <w:i/>
        </w:rPr>
        <w:t>vaygu’a</w:t>
      </w:r>
      <w:proofErr w:type="spellEnd"/>
      <w:r w:rsidR="00BB4C49">
        <w:t xml:space="preserve"> having its own social life, interacting with the parties involved in its exchange. This exchange, the bonds and obligations that it cements and crystallises, from the social life of </w:t>
      </w:r>
      <w:proofErr w:type="spellStart"/>
      <w:r w:rsidR="00BB4C49">
        <w:rPr>
          <w:i/>
        </w:rPr>
        <w:t>vaygu’a</w:t>
      </w:r>
      <w:proofErr w:type="spellEnd"/>
      <w:r w:rsidR="00BB4C49">
        <w:t>.</w:t>
      </w:r>
    </w:p>
    <w:p w14:paraId="4178C501" w14:textId="469A028E" w:rsidR="00A11CAF" w:rsidRDefault="00A11CAF" w:rsidP="001776EC">
      <w:pPr>
        <w:spacing w:line="480" w:lineRule="auto"/>
        <w:ind w:firstLine="720"/>
        <w:jc w:val="both"/>
      </w:pPr>
      <w:r>
        <w:t xml:space="preserve">Under a somewhat Marxist interpretation of the Kula system and the exchange of </w:t>
      </w:r>
      <w:proofErr w:type="spellStart"/>
      <w:r>
        <w:rPr>
          <w:i/>
        </w:rPr>
        <w:t>vaygu’a</w:t>
      </w:r>
      <w:proofErr w:type="spellEnd"/>
      <w:r>
        <w:rPr>
          <w:i/>
        </w:rPr>
        <w:t xml:space="preserve">, </w:t>
      </w:r>
      <w:r>
        <w:t xml:space="preserve">we could view the material culture of the </w:t>
      </w:r>
      <w:r w:rsidRPr="003A5BBA">
        <w:t>Trobriand</w:t>
      </w:r>
      <w:r>
        <w:t xml:space="preserve"> Islanders affecting the social aspect of their existence. The means of producing food, tools, other goods, and entertainment and the various different islands specialities in producing these wares give rise to the whole system of Kula; the base of the means of production, the material reality that surrounds the islanders, supports the superstructure of the system of exchange. </w:t>
      </w:r>
    </w:p>
    <w:p w14:paraId="67597D59" w14:textId="0CB6CF2B" w:rsidR="00A11CAF" w:rsidRDefault="00DF64A2" w:rsidP="00BB4C49">
      <w:pPr>
        <w:spacing w:line="480" w:lineRule="auto"/>
        <w:ind w:firstLine="720"/>
        <w:jc w:val="both"/>
      </w:pPr>
      <w:r>
        <w:t>The exchange of ‘</w:t>
      </w:r>
      <w:proofErr w:type="spellStart"/>
      <w:r>
        <w:rPr>
          <w:i/>
        </w:rPr>
        <w:t>cuy</w:t>
      </w:r>
      <w:proofErr w:type="spellEnd"/>
      <w:r>
        <w:rPr>
          <w:i/>
        </w:rPr>
        <w:t>’</w:t>
      </w:r>
      <w:r>
        <w:t xml:space="preserve"> </w:t>
      </w:r>
      <w:sdt>
        <w:sdtPr>
          <w:id w:val="1440792845"/>
          <w:citation/>
        </w:sdtPr>
        <w:sdtEndPr/>
        <w:sdtContent>
          <w:r>
            <w:fldChar w:fldCharType="begin"/>
          </w:r>
          <w:r w:rsidR="00787B71">
            <w:instrText xml:space="preserve">CITATION Abb12 \p 1 \l 2057 </w:instrText>
          </w:r>
          <w:r>
            <w:fldChar w:fldCharType="separate"/>
          </w:r>
          <w:r w:rsidR="00787B71" w:rsidRPr="00787B71">
            <w:rPr>
              <w:noProof/>
            </w:rPr>
            <w:t>(Abbots, 2012, p. 1)</w:t>
          </w:r>
          <w:r>
            <w:fldChar w:fldCharType="end"/>
          </w:r>
        </w:sdtContent>
      </w:sdt>
      <w:r>
        <w:t xml:space="preserve"> </w:t>
      </w:r>
      <w:r w:rsidR="00FA0B02">
        <w:t xml:space="preserve">plays an important role in maintaining relationships and identity of Ecuadorian migrants. </w:t>
      </w:r>
      <w:proofErr w:type="spellStart"/>
      <w:r w:rsidR="00CA654B">
        <w:rPr>
          <w:i/>
        </w:rPr>
        <w:t>Cuy</w:t>
      </w:r>
      <w:proofErr w:type="spellEnd"/>
      <w:r w:rsidR="00FC7872">
        <w:t xml:space="preserve"> is sent from the homeland of Ecuador to the migrant workers for them to eat on ‘ritual and family occasions’ </w:t>
      </w:r>
      <w:sdt>
        <w:sdtPr>
          <w:id w:val="-523247910"/>
          <w:citation/>
        </w:sdtPr>
        <w:sdtEndPr/>
        <w:sdtContent>
          <w:r w:rsidR="00FC7872">
            <w:fldChar w:fldCharType="begin"/>
          </w:r>
          <w:r w:rsidR="00FC7872">
            <w:instrText xml:space="preserve">CITATION Abb12 \p 1 \l 2057 </w:instrText>
          </w:r>
          <w:r w:rsidR="00FC7872">
            <w:fldChar w:fldCharType="separate"/>
          </w:r>
          <w:r w:rsidR="00FC7872" w:rsidRPr="00FC7872">
            <w:rPr>
              <w:noProof/>
            </w:rPr>
            <w:t>(Abbots, 2012, p. 1)</w:t>
          </w:r>
          <w:r w:rsidR="00FC7872">
            <w:fldChar w:fldCharType="end"/>
          </w:r>
        </w:sdtContent>
      </w:sdt>
      <w:r w:rsidR="00FC7872">
        <w:t>. This exchange of foodstuffs helps maintain the bonds of kinship that would otherwise suffer due to the reality of migration; moving so far away could potentially weaken the bonds of kins</w:t>
      </w:r>
      <w:r w:rsidR="001C235B">
        <w:t>h</w:t>
      </w:r>
      <w:r w:rsidR="00FC7872">
        <w:t xml:space="preserve">ip that would otherwise thrive when the proximity of the people is less. </w:t>
      </w:r>
      <w:r w:rsidR="001C235B">
        <w:t xml:space="preserve">The </w:t>
      </w:r>
      <w:r w:rsidR="001C235B">
        <w:lastRenderedPageBreak/>
        <w:t xml:space="preserve">consumption of </w:t>
      </w:r>
      <w:proofErr w:type="spellStart"/>
      <w:r w:rsidR="001C235B">
        <w:rPr>
          <w:i/>
        </w:rPr>
        <w:t>cuy</w:t>
      </w:r>
      <w:proofErr w:type="spellEnd"/>
      <w:r w:rsidR="001C235B">
        <w:t xml:space="preserve"> is steeped in tradition and ceremony, holding a sacred place in the hearts of the migrant men who consume it. </w:t>
      </w:r>
      <w:r w:rsidR="00E742F9">
        <w:t xml:space="preserve">Even with the advent of technology in the kitchen of Ecuadorian women, the preparation of </w:t>
      </w:r>
      <w:proofErr w:type="spellStart"/>
      <w:r w:rsidR="00E742F9">
        <w:rPr>
          <w:i/>
        </w:rPr>
        <w:t>cuy</w:t>
      </w:r>
      <w:proofErr w:type="spellEnd"/>
      <w:r w:rsidR="00E742F9">
        <w:t xml:space="preserve"> is still a ‘labour </w:t>
      </w:r>
      <w:r w:rsidR="00180FB2">
        <w:t>intensive</w:t>
      </w:r>
      <w:r w:rsidR="00E742F9">
        <w:t xml:space="preserve">’ </w:t>
      </w:r>
      <w:sdt>
        <w:sdtPr>
          <w:id w:val="229350045"/>
          <w:citation/>
        </w:sdtPr>
        <w:sdtEndPr/>
        <w:sdtContent>
          <w:r w:rsidR="00E742F9">
            <w:fldChar w:fldCharType="begin"/>
          </w:r>
          <w:r w:rsidR="00E742F9">
            <w:instrText xml:space="preserve">CITATION Abb12 \p 5 \l 2057 </w:instrText>
          </w:r>
          <w:r w:rsidR="00E742F9">
            <w:fldChar w:fldCharType="separate"/>
          </w:r>
          <w:r w:rsidR="00E742F9" w:rsidRPr="00E742F9">
            <w:rPr>
              <w:noProof/>
            </w:rPr>
            <w:t>(Abbots, 2012, p. 5)</w:t>
          </w:r>
          <w:r w:rsidR="00E742F9">
            <w:fldChar w:fldCharType="end"/>
          </w:r>
        </w:sdtContent>
      </w:sdt>
      <w:r w:rsidR="00E742F9">
        <w:t xml:space="preserve"> process that avoids the use of technological assistance. The responsibility for the preparation of </w:t>
      </w:r>
      <w:proofErr w:type="spellStart"/>
      <w:r w:rsidR="00E742F9">
        <w:rPr>
          <w:i/>
        </w:rPr>
        <w:t>cuy</w:t>
      </w:r>
      <w:proofErr w:type="spellEnd"/>
      <w:r w:rsidR="00E742F9">
        <w:t xml:space="preserve"> fall upon the women of the household, in Jima the </w:t>
      </w:r>
      <w:proofErr w:type="spellStart"/>
      <w:r w:rsidR="00E742F9">
        <w:rPr>
          <w:i/>
        </w:rPr>
        <w:t>cuy</w:t>
      </w:r>
      <w:proofErr w:type="spellEnd"/>
      <w:r w:rsidR="00E742F9">
        <w:t xml:space="preserve"> are spit-roasted over an open bonfire. The </w:t>
      </w:r>
      <w:proofErr w:type="spellStart"/>
      <w:r w:rsidR="00E742F9">
        <w:rPr>
          <w:i/>
        </w:rPr>
        <w:t>cuy</w:t>
      </w:r>
      <w:proofErr w:type="spellEnd"/>
      <w:r w:rsidR="00E742F9">
        <w:rPr>
          <w:i/>
        </w:rPr>
        <w:t xml:space="preserve">, </w:t>
      </w:r>
      <w:r w:rsidR="00E742F9">
        <w:t>once prepared, are sen</w:t>
      </w:r>
      <w:r w:rsidR="003D64E0">
        <w:t>t to the migrant family member</w:t>
      </w:r>
      <w:r w:rsidR="00203E76">
        <w:t>, taking up to fiv</w:t>
      </w:r>
      <w:r w:rsidR="006407FA">
        <w:t>e days to arrive via a specialist</w:t>
      </w:r>
      <w:r w:rsidR="00203E76">
        <w:t xml:space="preserve"> courier service</w:t>
      </w:r>
      <w:r w:rsidR="0083789E">
        <w:t xml:space="preserve"> </w:t>
      </w:r>
      <w:sdt>
        <w:sdtPr>
          <w:id w:val="-2048746134"/>
          <w:citation/>
        </w:sdtPr>
        <w:sdtEndPr/>
        <w:sdtContent>
          <w:r w:rsidR="0083789E">
            <w:fldChar w:fldCharType="begin"/>
          </w:r>
          <w:r w:rsidR="0083789E">
            <w:instrText xml:space="preserve">CITATION Abb12 \p 11 \l 2057 </w:instrText>
          </w:r>
          <w:r w:rsidR="0083789E">
            <w:fldChar w:fldCharType="separate"/>
          </w:r>
          <w:r w:rsidR="0083789E" w:rsidRPr="0083789E">
            <w:rPr>
              <w:noProof/>
            </w:rPr>
            <w:t>(Abbots, 2012, p. 11)</w:t>
          </w:r>
          <w:r w:rsidR="0083789E">
            <w:fldChar w:fldCharType="end"/>
          </w:r>
        </w:sdtContent>
      </w:sdt>
      <w:r w:rsidR="00203E76">
        <w:t xml:space="preserve">. </w:t>
      </w:r>
      <w:r w:rsidR="001776EC">
        <w:t xml:space="preserve">This exchange of </w:t>
      </w:r>
      <w:proofErr w:type="spellStart"/>
      <w:r w:rsidR="001776EC">
        <w:rPr>
          <w:i/>
        </w:rPr>
        <w:t>cuy</w:t>
      </w:r>
      <w:proofErr w:type="spellEnd"/>
      <w:r w:rsidR="001776EC">
        <w:t xml:space="preserve"> is not just one way. Much like there is reciprocation involved within the exchange practices of the </w:t>
      </w:r>
      <w:r w:rsidR="001776EC" w:rsidRPr="003A5BBA">
        <w:t>Trobriand Islands</w:t>
      </w:r>
      <w:r w:rsidR="001776EC">
        <w:t xml:space="preserve">’ inhabitants, the reciprocation due from </w:t>
      </w:r>
      <w:proofErr w:type="spellStart"/>
      <w:r w:rsidR="001776EC">
        <w:rPr>
          <w:i/>
        </w:rPr>
        <w:t>cuy</w:t>
      </w:r>
      <w:proofErr w:type="spellEnd"/>
      <w:r w:rsidR="001776EC">
        <w:rPr>
          <w:i/>
        </w:rPr>
        <w:t xml:space="preserve"> </w:t>
      </w:r>
      <w:r w:rsidR="001776EC">
        <w:t xml:space="preserve">being sent to the </w:t>
      </w:r>
      <w:proofErr w:type="spellStart"/>
      <w:r w:rsidR="001776EC" w:rsidRPr="001776EC">
        <w:t>Jimeño</w:t>
      </w:r>
      <w:proofErr w:type="spellEnd"/>
      <w:r w:rsidR="001776EC">
        <w:t xml:space="preserve"> men in New York must be adhered to. </w:t>
      </w:r>
      <w:r w:rsidR="001776EC" w:rsidRPr="00C94F68">
        <w:t xml:space="preserve">The </w:t>
      </w:r>
      <w:proofErr w:type="spellStart"/>
      <w:r w:rsidR="001776EC" w:rsidRPr="00C94F68">
        <w:t>Jimeño</w:t>
      </w:r>
      <w:proofErr w:type="spellEnd"/>
      <w:r w:rsidR="001776EC" w:rsidRPr="00C94F68">
        <w:t xml:space="preserve"> men send back other material g</w:t>
      </w:r>
      <w:r w:rsidR="00C94F68" w:rsidRPr="00C94F68">
        <w:t>oods, such as clothing,</w:t>
      </w:r>
      <w:r w:rsidR="001776EC" w:rsidRPr="00C94F68">
        <w:t xml:space="preserve"> to the Ecuadorian Highlands.</w:t>
      </w:r>
      <w:r w:rsidR="001776EC">
        <w:t xml:space="preserve"> The gift of </w:t>
      </w:r>
      <w:proofErr w:type="spellStart"/>
      <w:r w:rsidR="001776EC">
        <w:rPr>
          <w:i/>
        </w:rPr>
        <w:t>cuy</w:t>
      </w:r>
      <w:proofErr w:type="spellEnd"/>
      <w:r w:rsidR="001776EC">
        <w:rPr>
          <w:i/>
        </w:rPr>
        <w:t xml:space="preserve">, </w:t>
      </w:r>
      <w:r w:rsidR="001776EC" w:rsidRPr="001776EC">
        <w:t>embedded with the value of the labour involved in its preparation</w:t>
      </w:r>
      <w:r w:rsidR="001776EC">
        <w:t xml:space="preserve">, </w:t>
      </w:r>
      <w:r w:rsidR="0083789E">
        <w:t>is not exchanged as a commodity;</w:t>
      </w:r>
      <w:r w:rsidR="001776EC">
        <w:t xml:space="preserve"> it is rather more gift-like in nature, the contents of the reciprocal package is not explicitly laid out. </w:t>
      </w:r>
    </w:p>
    <w:p w14:paraId="78D7B20F" w14:textId="1097EAD9" w:rsidR="00794E31" w:rsidRPr="00FC2F2A" w:rsidRDefault="00794E31" w:rsidP="00BB4C49">
      <w:pPr>
        <w:spacing w:line="480" w:lineRule="auto"/>
        <w:ind w:firstLine="720"/>
        <w:jc w:val="both"/>
      </w:pPr>
      <w:r w:rsidRPr="00C94F68">
        <w:t xml:space="preserve">The </w:t>
      </w:r>
      <w:proofErr w:type="spellStart"/>
      <w:r w:rsidRPr="00C94F68">
        <w:rPr>
          <w:i/>
        </w:rPr>
        <w:t>cuy</w:t>
      </w:r>
      <w:proofErr w:type="spellEnd"/>
      <w:r w:rsidRPr="00C94F68">
        <w:t xml:space="preserve"> help to maintain the social relations and kinships of the Ecuadorians, despite the large geographical distance between the migrant family members and the home. </w:t>
      </w:r>
      <w:r w:rsidR="0083789E" w:rsidRPr="00C94F68">
        <w:t xml:space="preserve">The social effects of the object, the prepared and cooked </w:t>
      </w:r>
      <w:proofErr w:type="spellStart"/>
      <w:r w:rsidR="0083789E" w:rsidRPr="00C94F68">
        <w:rPr>
          <w:i/>
        </w:rPr>
        <w:t>cuy</w:t>
      </w:r>
      <w:proofErr w:type="spellEnd"/>
      <w:r w:rsidR="0083789E" w:rsidRPr="00C94F68">
        <w:t>, symbolise and strengthen the social bonds of the gif</w:t>
      </w:r>
      <w:r w:rsidR="00FC2F2A" w:rsidRPr="00C94F68">
        <w:t>t</w:t>
      </w:r>
      <w:r w:rsidR="0083789E" w:rsidRPr="00C94F68">
        <w:t xml:space="preserve"> giver and the receiver. Again,</w:t>
      </w:r>
      <w:r w:rsidR="00EA7067" w:rsidRPr="00C94F68">
        <w:t xml:space="preserve"> a M</w:t>
      </w:r>
      <w:r w:rsidR="00C94F68" w:rsidRPr="00C94F68">
        <w:t>arxist interpretation gives us the view that</w:t>
      </w:r>
      <w:r w:rsidR="0083789E" w:rsidRPr="00C94F68">
        <w:t xml:space="preserve"> the material reality of the migrant in New York and the family a</w:t>
      </w:r>
      <w:r w:rsidR="00FC2F2A" w:rsidRPr="00C94F68">
        <w:t>t home in Ec</w:t>
      </w:r>
      <w:r w:rsidR="00C94F68" w:rsidRPr="00C94F68">
        <w:t>uador can be seen as</w:t>
      </w:r>
      <w:r w:rsidR="00FC2F2A" w:rsidRPr="00C94F68">
        <w:t xml:space="preserve"> the base;</w:t>
      </w:r>
      <w:r w:rsidR="0083789E" w:rsidRPr="00C94F68">
        <w:t xml:space="preserve"> the giving of </w:t>
      </w:r>
      <w:proofErr w:type="spellStart"/>
      <w:r w:rsidR="0083789E" w:rsidRPr="00C94F68">
        <w:rPr>
          <w:i/>
        </w:rPr>
        <w:t>cuy</w:t>
      </w:r>
      <w:proofErr w:type="spellEnd"/>
      <w:r w:rsidR="0083789E" w:rsidRPr="00C94F68">
        <w:t xml:space="preserve"> and the reciprocal giving of the materials available </w:t>
      </w:r>
      <w:r w:rsidR="00FC2F2A" w:rsidRPr="00C94F68">
        <w:t xml:space="preserve">to the migrant </w:t>
      </w:r>
      <w:proofErr w:type="spellStart"/>
      <w:r w:rsidR="00FC2F2A" w:rsidRPr="00C94F68">
        <w:t>Jimeño</w:t>
      </w:r>
      <w:proofErr w:type="spellEnd"/>
      <w:r w:rsidR="00FC2F2A" w:rsidRPr="00C94F68">
        <w:t xml:space="preserve"> men in return</w:t>
      </w:r>
      <w:r w:rsidR="00C94F68" w:rsidRPr="00C94F68">
        <w:t>. F</w:t>
      </w:r>
      <w:r w:rsidR="00FC2F2A" w:rsidRPr="00C94F68">
        <w:t xml:space="preserve">rom this the superstructure of the social relations and institutions of eating </w:t>
      </w:r>
      <w:proofErr w:type="spellStart"/>
      <w:r w:rsidR="00FC2F2A" w:rsidRPr="00C94F68">
        <w:rPr>
          <w:i/>
        </w:rPr>
        <w:t>cuy</w:t>
      </w:r>
      <w:proofErr w:type="spellEnd"/>
      <w:r w:rsidR="00FC2F2A" w:rsidRPr="00C94F68">
        <w:t xml:space="preserve"> on special occasions form the superstructure. The object signifies and represents the social.</w:t>
      </w:r>
    </w:p>
    <w:p w14:paraId="6CFD2BF6" w14:textId="71E1A21F" w:rsidR="00F20070" w:rsidRDefault="00C94F68" w:rsidP="008946D9">
      <w:pPr>
        <w:spacing w:line="480" w:lineRule="auto"/>
        <w:jc w:val="both"/>
      </w:pPr>
      <w:r>
        <w:lastRenderedPageBreak/>
        <w:tab/>
        <w:t xml:space="preserve">The picture that can be gathered from the Kula exchange system and the sending of </w:t>
      </w:r>
      <w:proofErr w:type="spellStart"/>
      <w:r>
        <w:rPr>
          <w:i/>
        </w:rPr>
        <w:t>cuy</w:t>
      </w:r>
      <w:proofErr w:type="spellEnd"/>
      <w:r>
        <w:t xml:space="preserve"> from Ecuador to New York illuminate how an object can have a social life. Following the exchange of the </w:t>
      </w:r>
      <w:proofErr w:type="spellStart"/>
      <w:r>
        <w:rPr>
          <w:i/>
        </w:rPr>
        <w:t>cuy</w:t>
      </w:r>
      <w:proofErr w:type="spellEnd"/>
      <w:r>
        <w:t xml:space="preserve"> and the </w:t>
      </w:r>
      <w:proofErr w:type="spellStart"/>
      <w:r>
        <w:rPr>
          <w:i/>
        </w:rPr>
        <w:t>vaygu’a</w:t>
      </w:r>
      <w:proofErr w:type="spellEnd"/>
      <w:r>
        <w:t xml:space="preserve"> offers an insight into how the social dimension of the exchange can be embodied into these two objects. In this sense, it is clear that objects in general can have intricate and nuanced social lives. They strengthen bonds of kinship though their exchange, and through the reciprocation that these exchanges invoke. These strengthened bonds form the fabric of the social cloth that they are cut from. </w:t>
      </w:r>
      <w:r w:rsidR="00AB6BB6">
        <w:t>The value that they are imbued with comes from the social relations that they represent in their exchange, they adopt in them the social practices of the culture that exchanges them. Both are steeped heavily in ritual, ritual that is embedded in the social relations that they stem from.</w:t>
      </w:r>
    </w:p>
    <w:p w14:paraId="73F4B43A" w14:textId="77777777" w:rsidR="008D6E62" w:rsidRDefault="008D6E62" w:rsidP="008946D9">
      <w:pPr>
        <w:spacing w:line="480" w:lineRule="auto"/>
        <w:jc w:val="both"/>
      </w:pPr>
    </w:p>
    <w:sdt>
      <w:sdtPr>
        <w:rPr>
          <w:rFonts w:asciiTheme="minorHAnsi" w:eastAsiaTheme="minorHAnsi" w:hAnsiTheme="minorHAnsi" w:cstheme="minorBidi"/>
          <w:b w:val="0"/>
          <w:bCs w:val="0"/>
          <w:color w:val="auto"/>
          <w:sz w:val="24"/>
          <w:szCs w:val="24"/>
          <w:lang w:val="en-GB" w:bidi="ar-SA"/>
        </w:rPr>
        <w:id w:val="2001928965"/>
        <w:docPartObj>
          <w:docPartGallery w:val="Bibliographies"/>
          <w:docPartUnique/>
        </w:docPartObj>
      </w:sdtPr>
      <w:sdtEndPr/>
      <w:sdtContent>
        <w:p w14:paraId="434F148F" w14:textId="63407A8A" w:rsidR="008D6E62" w:rsidRDefault="008D6E62">
          <w:pPr>
            <w:pStyle w:val="Heading1"/>
          </w:pPr>
          <w:r>
            <w:t>Bibliography</w:t>
          </w:r>
        </w:p>
        <w:sdt>
          <w:sdtPr>
            <w:id w:val="111145805"/>
            <w:bibliography/>
          </w:sdtPr>
          <w:sdtEndPr/>
          <w:sdtContent>
            <w:p w14:paraId="5C8F1381" w14:textId="77777777" w:rsidR="008D6E62" w:rsidRDefault="008D6E62" w:rsidP="008D6E62">
              <w:pPr>
                <w:pStyle w:val="Bibliography"/>
                <w:rPr>
                  <w:noProof/>
                  <w:lang w:val="en-US"/>
                </w:rPr>
              </w:pPr>
              <w:r>
                <w:fldChar w:fldCharType="begin"/>
              </w:r>
              <w:r>
                <w:instrText xml:space="preserve"> BIBLIOGRAPHY </w:instrText>
              </w:r>
              <w:r>
                <w:fldChar w:fldCharType="separate"/>
              </w:r>
              <w:r>
                <w:rPr>
                  <w:noProof/>
                  <w:lang w:val="en-US"/>
                </w:rPr>
                <w:t xml:space="preserve">Abbots, E.-J., 2012. "It Doesn't Taste as Good from the Pet Shop": Guinea Pig Consumption and the Performance of Transnational Kin and Class Relations in Highland Ecuador and New York City. </w:t>
              </w:r>
              <w:r>
                <w:rPr>
                  <w:i/>
                  <w:iCs/>
                  <w:noProof/>
                  <w:lang w:val="en-US"/>
                </w:rPr>
                <w:t xml:space="preserve">Food Culture and Society, </w:t>
              </w:r>
              <w:r>
                <w:rPr>
                  <w:noProof/>
                  <w:lang w:val="en-US"/>
                </w:rPr>
                <w:t>14(2), pp. 205-224.</w:t>
              </w:r>
            </w:p>
            <w:p w14:paraId="77EC1613" w14:textId="77777777" w:rsidR="008D6E62" w:rsidRDefault="008D6E62" w:rsidP="008D6E62">
              <w:pPr>
                <w:pStyle w:val="Bibliography"/>
                <w:rPr>
                  <w:noProof/>
                  <w:lang w:val="en-US"/>
                </w:rPr>
              </w:pPr>
              <w:r>
                <w:rPr>
                  <w:noProof/>
                  <w:lang w:val="en-US"/>
                </w:rPr>
                <w:t xml:space="preserve">Appadurai, A., 1986. Introduction: commodities and the politics of value. In: A. Appadurai, ed. </w:t>
              </w:r>
              <w:r>
                <w:rPr>
                  <w:i/>
                  <w:iCs/>
                  <w:noProof/>
                  <w:lang w:val="en-US"/>
                </w:rPr>
                <w:t xml:space="preserve">The Social Life of Things: Commodities in a cultural perspective. </w:t>
              </w:r>
              <w:r>
                <w:rPr>
                  <w:noProof/>
                  <w:lang w:val="en-US"/>
                </w:rPr>
                <w:t>Cambridge: Cambridge University Press, p. 4.</w:t>
              </w:r>
            </w:p>
            <w:p w14:paraId="3717CB6B" w14:textId="77777777" w:rsidR="008D6E62" w:rsidRDefault="008D6E62" w:rsidP="008D6E62">
              <w:pPr>
                <w:pStyle w:val="Bibliography"/>
                <w:rPr>
                  <w:noProof/>
                  <w:lang w:val="en-US"/>
                </w:rPr>
              </w:pPr>
              <w:r>
                <w:rPr>
                  <w:noProof/>
                  <w:lang w:val="en-US"/>
                </w:rPr>
                <w:t xml:space="preserve">Bailey, B. R. a. A., 2017. </w:t>
              </w:r>
              <w:r>
                <w:rPr>
                  <w:i/>
                  <w:iCs/>
                  <w:noProof/>
                  <w:lang w:val="en-US"/>
                </w:rPr>
                <w:t xml:space="preserve">Object, </w:t>
              </w:r>
              <w:r>
                <w:rPr>
                  <w:noProof/>
                  <w:lang w:val="en-US"/>
                </w:rPr>
                <w:t>s.l.: The Stanford Encyclopedia of Philosophy.</w:t>
              </w:r>
            </w:p>
            <w:p w14:paraId="26E38CBB" w14:textId="77777777" w:rsidR="008D6E62" w:rsidRDefault="008D6E62" w:rsidP="008D6E62">
              <w:pPr>
                <w:pStyle w:val="Bibliography"/>
                <w:rPr>
                  <w:noProof/>
                  <w:lang w:val="en-US"/>
                </w:rPr>
              </w:pPr>
              <w:r>
                <w:rPr>
                  <w:noProof/>
                  <w:lang w:val="en-US"/>
                </w:rPr>
                <w:t xml:space="preserve">Carrier, J., 1991. Gifts, Commodities, and Social Relations: A Maussian View of Exchange. </w:t>
              </w:r>
              <w:r>
                <w:rPr>
                  <w:i/>
                  <w:iCs/>
                  <w:noProof/>
                  <w:lang w:val="en-US"/>
                </w:rPr>
                <w:t xml:space="preserve">Sociological Forum, </w:t>
              </w:r>
              <w:r>
                <w:rPr>
                  <w:noProof/>
                  <w:lang w:val="en-US"/>
                </w:rPr>
                <w:t>March, 6(1), pp. 119-136.</w:t>
              </w:r>
            </w:p>
            <w:p w14:paraId="029AB901" w14:textId="77777777" w:rsidR="008D6E62" w:rsidRDefault="008D6E62" w:rsidP="008D6E62">
              <w:pPr>
                <w:pStyle w:val="Bibliography"/>
                <w:rPr>
                  <w:noProof/>
                  <w:lang w:val="en-US"/>
                </w:rPr>
              </w:pPr>
              <w:r>
                <w:rPr>
                  <w:noProof/>
                  <w:lang w:val="en-US"/>
                </w:rPr>
                <w:t xml:space="preserve">Kopytoff, I., 1988. The Cultural Biography of Things. In: A. Appadurai, ed. </w:t>
              </w:r>
              <w:r>
                <w:rPr>
                  <w:i/>
                  <w:iCs/>
                  <w:noProof/>
                  <w:lang w:val="en-US"/>
                </w:rPr>
                <w:t xml:space="preserve">The Social Life of Things: Commodities in cultural perspective. </w:t>
              </w:r>
              <w:r>
                <w:rPr>
                  <w:noProof/>
                  <w:lang w:val="en-US"/>
                </w:rPr>
                <w:t>Cambridge: Cambridge University Press, pp. 64-91.</w:t>
              </w:r>
            </w:p>
            <w:p w14:paraId="04B81164" w14:textId="77777777" w:rsidR="008D6E62" w:rsidRDefault="008D6E62" w:rsidP="008D6E62">
              <w:pPr>
                <w:pStyle w:val="Bibliography"/>
                <w:rPr>
                  <w:noProof/>
                  <w:lang w:val="en-US"/>
                </w:rPr>
              </w:pPr>
              <w:r>
                <w:rPr>
                  <w:noProof/>
                  <w:lang w:val="en-US"/>
                </w:rPr>
                <w:t xml:space="preserve">Malinowski, B., 1992. </w:t>
              </w:r>
              <w:r>
                <w:rPr>
                  <w:i/>
                  <w:iCs/>
                  <w:noProof/>
                  <w:lang w:val="en-US"/>
                </w:rPr>
                <w:t xml:space="preserve">Argonauts of the Western Pacific: an account of native enterprise and adventure in the archipelagoes of Melanesian New Guinea. </w:t>
              </w:r>
              <w:r>
                <w:rPr>
                  <w:noProof/>
                  <w:lang w:val="en-US"/>
                </w:rPr>
                <w:t>London: Routledge.</w:t>
              </w:r>
            </w:p>
            <w:p w14:paraId="247FDB62" w14:textId="77777777" w:rsidR="008D6E62" w:rsidRDefault="008D6E62" w:rsidP="008D6E62">
              <w:pPr>
                <w:pStyle w:val="Bibliography"/>
                <w:rPr>
                  <w:noProof/>
                  <w:lang w:val="en-US"/>
                </w:rPr>
              </w:pPr>
              <w:r>
                <w:rPr>
                  <w:noProof/>
                  <w:lang w:val="en-US"/>
                </w:rPr>
                <w:t xml:space="preserve">Marx, K., 1971. Capital. In: F. Engles, ed. </w:t>
              </w:r>
              <w:r>
                <w:rPr>
                  <w:i/>
                  <w:iCs/>
                  <w:noProof/>
                  <w:lang w:val="en-US"/>
                </w:rPr>
                <w:t xml:space="preserve">Marx. </w:t>
              </w:r>
              <w:r>
                <w:rPr>
                  <w:noProof/>
                  <w:lang w:val="en-US"/>
                </w:rPr>
                <w:t>London: William Benton, p. 13.</w:t>
              </w:r>
            </w:p>
            <w:p w14:paraId="581015F5" w14:textId="77777777" w:rsidR="008D6E62" w:rsidRDefault="008D6E62" w:rsidP="008D6E62">
              <w:pPr>
                <w:pStyle w:val="Bibliography"/>
                <w:rPr>
                  <w:noProof/>
                  <w:lang w:val="en-US"/>
                </w:rPr>
              </w:pPr>
              <w:r>
                <w:rPr>
                  <w:noProof/>
                  <w:lang w:val="en-US"/>
                </w:rPr>
                <w:t xml:space="preserve">Mauss, M., 2011. </w:t>
              </w:r>
              <w:r>
                <w:rPr>
                  <w:i/>
                  <w:iCs/>
                  <w:noProof/>
                  <w:lang w:val="en-US"/>
                </w:rPr>
                <w:t xml:space="preserve">The Gift: Forms and functions of exchange in archaic societies. </w:t>
              </w:r>
              <w:r>
                <w:rPr>
                  <w:noProof/>
                  <w:lang w:val="en-US"/>
                </w:rPr>
                <w:t>Eastford(Conneticut): Martino Publishing.</w:t>
              </w:r>
            </w:p>
            <w:p w14:paraId="7C274103" w14:textId="77777777" w:rsidR="008D6E62" w:rsidRDefault="008D6E62" w:rsidP="008D6E62">
              <w:pPr>
                <w:pStyle w:val="Bibliography"/>
                <w:rPr>
                  <w:noProof/>
                  <w:lang w:val="en-US"/>
                </w:rPr>
              </w:pPr>
              <w:r>
                <w:rPr>
                  <w:noProof/>
                  <w:lang w:val="en-US"/>
                </w:rPr>
                <w:t xml:space="preserve">Morrow, S. &amp; Lusteck, R., n.d. </w:t>
              </w:r>
              <w:r>
                <w:rPr>
                  <w:i/>
                  <w:iCs/>
                  <w:noProof/>
                  <w:lang w:val="en-US"/>
                </w:rPr>
                <w:t xml:space="preserve">Marxist Anthropology. </w:t>
              </w:r>
              <w:r>
                <w:rPr>
                  <w:noProof/>
                  <w:lang w:val="en-US"/>
                </w:rPr>
                <w:t xml:space="preserve">[Online] </w:t>
              </w:r>
              <w:r>
                <w:rPr>
                  <w:noProof/>
                  <w:lang w:val="en-US"/>
                </w:rPr>
                <w:br/>
                <w:t xml:space="preserve">Available at: </w:t>
              </w:r>
              <w:r>
                <w:rPr>
                  <w:noProof/>
                  <w:u w:val="single"/>
                  <w:lang w:val="en-US"/>
                </w:rPr>
                <w:t>http://anthropology.ua.edu/cultures/cultures.php?culture=Marxist%20Anthropology</w:t>
              </w:r>
              <w:r>
                <w:rPr>
                  <w:noProof/>
                  <w:lang w:val="en-US"/>
                </w:rPr>
                <w:br/>
                <w:t>[Accessed 27 11 2017].</w:t>
              </w:r>
            </w:p>
            <w:p w14:paraId="4BD48AAA" w14:textId="08F612EB" w:rsidR="008D6E62" w:rsidRDefault="008D6E62" w:rsidP="008D6E62">
              <w:r>
                <w:rPr>
                  <w:b/>
                  <w:bCs/>
                  <w:noProof/>
                </w:rPr>
                <w:fldChar w:fldCharType="end"/>
              </w:r>
            </w:p>
          </w:sdtContent>
        </w:sdt>
      </w:sdtContent>
    </w:sdt>
    <w:p w14:paraId="0DB306E4" w14:textId="77777777" w:rsidR="008D6E62" w:rsidRPr="00C94F68" w:rsidRDefault="008D6E62" w:rsidP="008946D9">
      <w:pPr>
        <w:spacing w:line="480" w:lineRule="auto"/>
        <w:jc w:val="both"/>
      </w:pPr>
    </w:p>
    <w:sectPr w:rsidR="008D6E62" w:rsidRPr="00C94F68" w:rsidSect="0012783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27E2"/>
    <w:rsid w:val="00005979"/>
    <w:rsid w:val="00012F68"/>
    <w:rsid w:val="000502D1"/>
    <w:rsid w:val="00067902"/>
    <w:rsid w:val="00073536"/>
    <w:rsid w:val="00090BDF"/>
    <w:rsid w:val="000F1FD7"/>
    <w:rsid w:val="00105C86"/>
    <w:rsid w:val="00127835"/>
    <w:rsid w:val="0014764C"/>
    <w:rsid w:val="001776EC"/>
    <w:rsid w:val="00180FB2"/>
    <w:rsid w:val="001C235B"/>
    <w:rsid w:val="001E02DA"/>
    <w:rsid w:val="001E4536"/>
    <w:rsid w:val="00203B04"/>
    <w:rsid w:val="00203E76"/>
    <w:rsid w:val="00224371"/>
    <w:rsid w:val="0023237C"/>
    <w:rsid w:val="00276147"/>
    <w:rsid w:val="00296FC8"/>
    <w:rsid w:val="002A2F85"/>
    <w:rsid w:val="002E0E4A"/>
    <w:rsid w:val="00315C6C"/>
    <w:rsid w:val="00332028"/>
    <w:rsid w:val="003556FF"/>
    <w:rsid w:val="003A5BBA"/>
    <w:rsid w:val="003B046B"/>
    <w:rsid w:val="003C776A"/>
    <w:rsid w:val="003D64E0"/>
    <w:rsid w:val="004369DE"/>
    <w:rsid w:val="004455FB"/>
    <w:rsid w:val="0049261E"/>
    <w:rsid w:val="00502CB6"/>
    <w:rsid w:val="00551A4F"/>
    <w:rsid w:val="005531B9"/>
    <w:rsid w:val="005A2476"/>
    <w:rsid w:val="005E3CDC"/>
    <w:rsid w:val="00614A4B"/>
    <w:rsid w:val="006235DD"/>
    <w:rsid w:val="006250B7"/>
    <w:rsid w:val="00631ADB"/>
    <w:rsid w:val="00635D00"/>
    <w:rsid w:val="006407FA"/>
    <w:rsid w:val="00643952"/>
    <w:rsid w:val="00670434"/>
    <w:rsid w:val="006B6A97"/>
    <w:rsid w:val="00703A9C"/>
    <w:rsid w:val="007260AF"/>
    <w:rsid w:val="00745C9D"/>
    <w:rsid w:val="00745DDD"/>
    <w:rsid w:val="0075707A"/>
    <w:rsid w:val="00780222"/>
    <w:rsid w:val="00787B71"/>
    <w:rsid w:val="00794E31"/>
    <w:rsid w:val="00814B6C"/>
    <w:rsid w:val="00814CD2"/>
    <w:rsid w:val="0083789E"/>
    <w:rsid w:val="008946D9"/>
    <w:rsid w:val="008B63F6"/>
    <w:rsid w:val="008D1D49"/>
    <w:rsid w:val="008D6E62"/>
    <w:rsid w:val="00904020"/>
    <w:rsid w:val="00985107"/>
    <w:rsid w:val="00987433"/>
    <w:rsid w:val="0098771A"/>
    <w:rsid w:val="009E2AAA"/>
    <w:rsid w:val="00A00830"/>
    <w:rsid w:val="00A010EC"/>
    <w:rsid w:val="00A11CAF"/>
    <w:rsid w:val="00A75FB1"/>
    <w:rsid w:val="00AB6BB6"/>
    <w:rsid w:val="00B23C3C"/>
    <w:rsid w:val="00B72174"/>
    <w:rsid w:val="00BA2CB2"/>
    <w:rsid w:val="00BB4C49"/>
    <w:rsid w:val="00BC27E2"/>
    <w:rsid w:val="00BD0AA8"/>
    <w:rsid w:val="00BD6699"/>
    <w:rsid w:val="00BE1517"/>
    <w:rsid w:val="00BF3464"/>
    <w:rsid w:val="00C13DC3"/>
    <w:rsid w:val="00C43BE2"/>
    <w:rsid w:val="00C93901"/>
    <w:rsid w:val="00C94F68"/>
    <w:rsid w:val="00CA654B"/>
    <w:rsid w:val="00D42D18"/>
    <w:rsid w:val="00D86923"/>
    <w:rsid w:val="00DA072A"/>
    <w:rsid w:val="00DB383B"/>
    <w:rsid w:val="00DC101A"/>
    <w:rsid w:val="00DF64A2"/>
    <w:rsid w:val="00E044BE"/>
    <w:rsid w:val="00E51E1B"/>
    <w:rsid w:val="00E742F9"/>
    <w:rsid w:val="00EA1070"/>
    <w:rsid w:val="00EA62F0"/>
    <w:rsid w:val="00EA7067"/>
    <w:rsid w:val="00F20070"/>
    <w:rsid w:val="00F53C42"/>
    <w:rsid w:val="00F655D4"/>
    <w:rsid w:val="00FA0B02"/>
    <w:rsid w:val="00FA300F"/>
    <w:rsid w:val="00FC2F2A"/>
    <w:rsid w:val="00FC376A"/>
    <w:rsid w:val="00FC7872"/>
    <w:rsid w:val="00FD23A6"/>
    <w:rsid w:val="00FE2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2554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E6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5107"/>
    <w:rPr>
      <w:rFonts w:ascii="Tahoma" w:hAnsi="Tahoma" w:cs="Tahoma"/>
      <w:sz w:val="16"/>
      <w:szCs w:val="16"/>
    </w:rPr>
  </w:style>
  <w:style w:type="character" w:customStyle="1" w:styleId="BalloonTextChar">
    <w:name w:val="Balloon Text Char"/>
    <w:basedOn w:val="DefaultParagraphFont"/>
    <w:link w:val="BalloonText"/>
    <w:uiPriority w:val="99"/>
    <w:semiHidden/>
    <w:rsid w:val="00985107"/>
    <w:rPr>
      <w:rFonts w:ascii="Tahoma" w:hAnsi="Tahoma" w:cs="Tahoma"/>
      <w:sz w:val="16"/>
      <w:szCs w:val="16"/>
    </w:rPr>
  </w:style>
  <w:style w:type="character" w:customStyle="1" w:styleId="Heading1Char">
    <w:name w:val="Heading 1 Char"/>
    <w:basedOn w:val="DefaultParagraphFont"/>
    <w:link w:val="Heading1"/>
    <w:uiPriority w:val="9"/>
    <w:rsid w:val="008D6E6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D6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48718">
      <w:bodyDiv w:val="1"/>
      <w:marLeft w:val="0"/>
      <w:marRight w:val="0"/>
      <w:marTop w:val="0"/>
      <w:marBottom w:val="0"/>
      <w:divBdr>
        <w:top w:val="none" w:sz="0" w:space="0" w:color="auto"/>
        <w:left w:val="none" w:sz="0" w:space="0" w:color="auto"/>
        <w:bottom w:val="none" w:sz="0" w:space="0" w:color="auto"/>
        <w:right w:val="none" w:sz="0" w:space="0" w:color="auto"/>
      </w:divBdr>
    </w:div>
    <w:div w:id="43019619">
      <w:bodyDiv w:val="1"/>
      <w:marLeft w:val="0"/>
      <w:marRight w:val="0"/>
      <w:marTop w:val="0"/>
      <w:marBottom w:val="0"/>
      <w:divBdr>
        <w:top w:val="none" w:sz="0" w:space="0" w:color="auto"/>
        <w:left w:val="none" w:sz="0" w:space="0" w:color="auto"/>
        <w:bottom w:val="none" w:sz="0" w:space="0" w:color="auto"/>
        <w:right w:val="none" w:sz="0" w:space="0" w:color="auto"/>
      </w:divBdr>
    </w:div>
    <w:div w:id="43871819">
      <w:bodyDiv w:val="1"/>
      <w:marLeft w:val="0"/>
      <w:marRight w:val="0"/>
      <w:marTop w:val="0"/>
      <w:marBottom w:val="0"/>
      <w:divBdr>
        <w:top w:val="none" w:sz="0" w:space="0" w:color="auto"/>
        <w:left w:val="none" w:sz="0" w:space="0" w:color="auto"/>
        <w:bottom w:val="none" w:sz="0" w:space="0" w:color="auto"/>
        <w:right w:val="none" w:sz="0" w:space="0" w:color="auto"/>
      </w:divBdr>
    </w:div>
    <w:div w:id="64843312">
      <w:bodyDiv w:val="1"/>
      <w:marLeft w:val="0"/>
      <w:marRight w:val="0"/>
      <w:marTop w:val="0"/>
      <w:marBottom w:val="0"/>
      <w:divBdr>
        <w:top w:val="none" w:sz="0" w:space="0" w:color="auto"/>
        <w:left w:val="none" w:sz="0" w:space="0" w:color="auto"/>
        <w:bottom w:val="none" w:sz="0" w:space="0" w:color="auto"/>
        <w:right w:val="none" w:sz="0" w:space="0" w:color="auto"/>
      </w:divBdr>
    </w:div>
    <w:div w:id="87116091">
      <w:bodyDiv w:val="1"/>
      <w:marLeft w:val="0"/>
      <w:marRight w:val="0"/>
      <w:marTop w:val="0"/>
      <w:marBottom w:val="0"/>
      <w:divBdr>
        <w:top w:val="none" w:sz="0" w:space="0" w:color="auto"/>
        <w:left w:val="none" w:sz="0" w:space="0" w:color="auto"/>
        <w:bottom w:val="none" w:sz="0" w:space="0" w:color="auto"/>
        <w:right w:val="none" w:sz="0" w:space="0" w:color="auto"/>
      </w:divBdr>
    </w:div>
    <w:div w:id="94786479">
      <w:bodyDiv w:val="1"/>
      <w:marLeft w:val="0"/>
      <w:marRight w:val="0"/>
      <w:marTop w:val="0"/>
      <w:marBottom w:val="0"/>
      <w:divBdr>
        <w:top w:val="none" w:sz="0" w:space="0" w:color="auto"/>
        <w:left w:val="none" w:sz="0" w:space="0" w:color="auto"/>
        <w:bottom w:val="none" w:sz="0" w:space="0" w:color="auto"/>
        <w:right w:val="none" w:sz="0" w:space="0" w:color="auto"/>
      </w:divBdr>
    </w:div>
    <w:div w:id="139660677">
      <w:bodyDiv w:val="1"/>
      <w:marLeft w:val="0"/>
      <w:marRight w:val="0"/>
      <w:marTop w:val="0"/>
      <w:marBottom w:val="0"/>
      <w:divBdr>
        <w:top w:val="none" w:sz="0" w:space="0" w:color="auto"/>
        <w:left w:val="none" w:sz="0" w:space="0" w:color="auto"/>
        <w:bottom w:val="none" w:sz="0" w:space="0" w:color="auto"/>
        <w:right w:val="none" w:sz="0" w:space="0" w:color="auto"/>
      </w:divBdr>
    </w:div>
    <w:div w:id="218825239">
      <w:bodyDiv w:val="1"/>
      <w:marLeft w:val="0"/>
      <w:marRight w:val="0"/>
      <w:marTop w:val="0"/>
      <w:marBottom w:val="0"/>
      <w:divBdr>
        <w:top w:val="none" w:sz="0" w:space="0" w:color="auto"/>
        <w:left w:val="none" w:sz="0" w:space="0" w:color="auto"/>
        <w:bottom w:val="none" w:sz="0" w:space="0" w:color="auto"/>
        <w:right w:val="none" w:sz="0" w:space="0" w:color="auto"/>
      </w:divBdr>
    </w:div>
    <w:div w:id="257174767">
      <w:bodyDiv w:val="1"/>
      <w:marLeft w:val="0"/>
      <w:marRight w:val="0"/>
      <w:marTop w:val="0"/>
      <w:marBottom w:val="0"/>
      <w:divBdr>
        <w:top w:val="none" w:sz="0" w:space="0" w:color="auto"/>
        <w:left w:val="none" w:sz="0" w:space="0" w:color="auto"/>
        <w:bottom w:val="none" w:sz="0" w:space="0" w:color="auto"/>
        <w:right w:val="none" w:sz="0" w:space="0" w:color="auto"/>
      </w:divBdr>
    </w:div>
    <w:div w:id="259145035">
      <w:bodyDiv w:val="1"/>
      <w:marLeft w:val="0"/>
      <w:marRight w:val="0"/>
      <w:marTop w:val="0"/>
      <w:marBottom w:val="0"/>
      <w:divBdr>
        <w:top w:val="none" w:sz="0" w:space="0" w:color="auto"/>
        <w:left w:val="none" w:sz="0" w:space="0" w:color="auto"/>
        <w:bottom w:val="none" w:sz="0" w:space="0" w:color="auto"/>
        <w:right w:val="none" w:sz="0" w:space="0" w:color="auto"/>
      </w:divBdr>
    </w:div>
    <w:div w:id="261840295">
      <w:bodyDiv w:val="1"/>
      <w:marLeft w:val="0"/>
      <w:marRight w:val="0"/>
      <w:marTop w:val="0"/>
      <w:marBottom w:val="0"/>
      <w:divBdr>
        <w:top w:val="none" w:sz="0" w:space="0" w:color="auto"/>
        <w:left w:val="none" w:sz="0" w:space="0" w:color="auto"/>
        <w:bottom w:val="none" w:sz="0" w:space="0" w:color="auto"/>
        <w:right w:val="none" w:sz="0" w:space="0" w:color="auto"/>
      </w:divBdr>
    </w:div>
    <w:div w:id="352729843">
      <w:bodyDiv w:val="1"/>
      <w:marLeft w:val="0"/>
      <w:marRight w:val="0"/>
      <w:marTop w:val="0"/>
      <w:marBottom w:val="0"/>
      <w:divBdr>
        <w:top w:val="none" w:sz="0" w:space="0" w:color="auto"/>
        <w:left w:val="none" w:sz="0" w:space="0" w:color="auto"/>
        <w:bottom w:val="none" w:sz="0" w:space="0" w:color="auto"/>
        <w:right w:val="none" w:sz="0" w:space="0" w:color="auto"/>
      </w:divBdr>
    </w:div>
    <w:div w:id="416287082">
      <w:bodyDiv w:val="1"/>
      <w:marLeft w:val="0"/>
      <w:marRight w:val="0"/>
      <w:marTop w:val="0"/>
      <w:marBottom w:val="0"/>
      <w:divBdr>
        <w:top w:val="none" w:sz="0" w:space="0" w:color="auto"/>
        <w:left w:val="none" w:sz="0" w:space="0" w:color="auto"/>
        <w:bottom w:val="none" w:sz="0" w:space="0" w:color="auto"/>
        <w:right w:val="none" w:sz="0" w:space="0" w:color="auto"/>
      </w:divBdr>
    </w:div>
    <w:div w:id="440615384">
      <w:bodyDiv w:val="1"/>
      <w:marLeft w:val="0"/>
      <w:marRight w:val="0"/>
      <w:marTop w:val="0"/>
      <w:marBottom w:val="0"/>
      <w:divBdr>
        <w:top w:val="none" w:sz="0" w:space="0" w:color="auto"/>
        <w:left w:val="none" w:sz="0" w:space="0" w:color="auto"/>
        <w:bottom w:val="none" w:sz="0" w:space="0" w:color="auto"/>
        <w:right w:val="none" w:sz="0" w:space="0" w:color="auto"/>
      </w:divBdr>
    </w:div>
    <w:div w:id="444885713">
      <w:bodyDiv w:val="1"/>
      <w:marLeft w:val="0"/>
      <w:marRight w:val="0"/>
      <w:marTop w:val="0"/>
      <w:marBottom w:val="0"/>
      <w:divBdr>
        <w:top w:val="none" w:sz="0" w:space="0" w:color="auto"/>
        <w:left w:val="none" w:sz="0" w:space="0" w:color="auto"/>
        <w:bottom w:val="none" w:sz="0" w:space="0" w:color="auto"/>
        <w:right w:val="none" w:sz="0" w:space="0" w:color="auto"/>
      </w:divBdr>
    </w:div>
    <w:div w:id="565647669">
      <w:bodyDiv w:val="1"/>
      <w:marLeft w:val="0"/>
      <w:marRight w:val="0"/>
      <w:marTop w:val="0"/>
      <w:marBottom w:val="0"/>
      <w:divBdr>
        <w:top w:val="none" w:sz="0" w:space="0" w:color="auto"/>
        <w:left w:val="none" w:sz="0" w:space="0" w:color="auto"/>
        <w:bottom w:val="none" w:sz="0" w:space="0" w:color="auto"/>
        <w:right w:val="none" w:sz="0" w:space="0" w:color="auto"/>
      </w:divBdr>
    </w:div>
    <w:div w:id="567692345">
      <w:bodyDiv w:val="1"/>
      <w:marLeft w:val="0"/>
      <w:marRight w:val="0"/>
      <w:marTop w:val="0"/>
      <w:marBottom w:val="0"/>
      <w:divBdr>
        <w:top w:val="none" w:sz="0" w:space="0" w:color="auto"/>
        <w:left w:val="none" w:sz="0" w:space="0" w:color="auto"/>
        <w:bottom w:val="none" w:sz="0" w:space="0" w:color="auto"/>
        <w:right w:val="none" w:sz="0" w:space="0" w:color="auto"/>
      </w:divBdr>
    </w:div>
    <w:div w:id="570312488">
      <w:bodyDiv w:val="1"/>
      <w:marLeft w:val="0"/>
      <w:marRight w:val="0"/>
      <w:marTop w:val="0"/>
      <w:marBottom w:val="0"/>
      <w:divBdr>
        <w:top w:val="none" w:sz="0" w:space="0" w:color="auto"/>
        <w:left w:val="none" w:sz="0" w:space="0" w:color="auto"/>
        <w:bottom w:val="none" w:sz="0" w:space="0" w:color="auto"/>
        <w:right w:val="none" w:sz="0" w:space="0" w:color="auto"/>
      </w:divBdr>
    </w:div>
    <w:div w:id="600528579">
      <w:bodyDiv w:val="1"/>
      <w:marLeft w:val="0"/>
      <w:marRight w:val="0"/>
      <w:marTop w:val="0"/>
      <w:marBottom w:val="0"/>
      <w:divBdr>
        <w:top w:val="none" w:sz="0" w:space="0" w:color="auto"/>
        <w:left w:val="none" w:sz="0" w:space="0" w:color="auto"/>
        <w:bottom w:val="none" w:sz="0" w:space="0" w:color="auto"/>
        <w:right w:val="none" w:sz="0" w:space="0" w:color="auto"/>
      </w:divBdr>
    </w:div>
    <w:div w:id="711883428">
      <w:bodyDiv w:val="1"/>
      <w:marLeft w:val="0"/>
      <w:marRight w:val="0"/>
      <w:marTop w:val="0"/>
      <w:marBottom w:val="0"/>
      <w:divBdr>
        <w:top w:val="none" w:sz="0" w:space="0" w:color="auto"/>
        <w:left w:val="none" w:sz="0" w:space="0" w:color="auto"/>
        <w:bottom w:val="none" w:sz="0" w:space="0" w:color="auto"/>
        <w:right w:val="none" w:sz="0" w:space="0" w:color="auto"/>
      </w:divBdr>
    </w:div>
    <w:div w:id="800225573">
      <w:bodyDiv w:val="1"/>
      <w:marLeft w:val="0"/>
      <w:marRight w:val="0"/>
      <w:marTop w:val="0"/>
      <w:marBottom w:val="0"/>
      <w:divBdr>
        <w:top w:val="none" w:sz="0" w:space="0" w:color="auto"/>
        <w:left w:val="none" w:sz="0" w:space="0" w:color="auto"/>
        <w:bottom w:val="none" w:sz="0" w:space="0" w:color="auto"/>
        <w:right w:val="none" w:sz="0" w:space="0" w:color="auto"/>
      </w:divBdr>
    </w:div>
    <w:div w:id="866018362">
      <w:bodyDiv w:val="1"/>
      <w:marLeft w:val="0"/>
      <w:marRight w:val="0"/>
      <w:marTop w:val="0"/>
      <w:marBottom w:val="0"/>
      <w:divBdr>
        <w:top w:val="none" w:sz="0" w:space="0" w:color="auto"/>
        <w:left w:val="none" w:sz="0" w:space="0" w:color="auto"/>
        <w:bottom w:val="none" w:sz="0" w:space="0" w:color="auto"/>
        <w:right w:val="none" w:sz="0" w:space="0" w:color="auto"/>
      </w:divBdr>
    </w:div>
    <w:div w:id="869798529">
      <w:bodyDiv w:val="1"/>
      <w:marLeft w:val="0"/>
      <w:marRight w:val="0"/>
      <w:marTop w:val="0"/>
      <w:marBottom w:val="0"/>
      <w:divBdr>
        <w:top w:val="none" w:sz="0" w:space="0" w:color="auto"/>
        <w:left w:val="none" w:sz="0" w:space="0" w:color="auto"/>
        <w:bottom w:val="none" w:sz="0" w:space="0" w:color="auto"/>
        <w:right w:val="none" w:sz="0" w:space="0" w:color="auto"/>
      </w:divBdr>
    </w:div>
    <w:div w:id="899906148">
      <w:bodyDiv w:val="1"/>
      <w:marLeft w:val="0"/>
      <w:marRight w:val="0"/>
      <w:marTop w:val="0"/>
      <w:marBottom w:val="0"/>
      <w:divBdr>
        <w:top w:val="none" w:sz="0" w:space="0" w:color="auto"/>
        <w:left w:val="none" w:sz="0" w:space="0" w:color="auto"/>
        <w:bottom w:val="none" w:sz="0" w:space="0" w:color="auto"/>
        <w:right w:val="none" w:sz="0" w:space="0" w:color="auto"/>
      </w:divBdr>
    </w:div>
    <w:div w:id="991563121">
      <w:bodyDiv w:val="1"/>
      <w:marLeft w:val="0"/>
      <w:marRight w:val="0"/>
      <w:marTop w:val="0"/>
      <w:marBottom w:val="0"/>
      <w:divBdr>
        <w:top w:val="none" w:sz="0" w:space="0" w:color="auto"/>
        <w:left w:val="none" w:sz="0" w:space="0" w:color="auto"/>
        <w:bottom w:val="none" w:sz="0" w:space="0" w:color="auto"/>
        <w:right w:val="none" w:sz="0" w:space="0" w:color="auto"/>
      </w:divBdr>
    </w:div>
    <w:div w:id="1075905937">
      <w:bodyDiv w:val="1"/>
      <w:marLeft w:val="0"/>
      <w:marRight w:val="0"/>
      <w:marTop w:val="0"/>
      <w:marBottom w:val="0"/>
      <w:divBdr>
        <w:top w:val="none" w:sz="0" w:space="0" w:color="auto"/>
        <w:left w:val="none" w:sz="0" w:space="0" w:color="auto"/>
        <w:bottom w:val="none" w:sz="0" w:space="0" w:color="auto"/>
        <w:right w:val="none" w:sz="0" w:space="0" w:color="auto"/>
      </w:divBdr>
    </w:div>
    <w:div w:id="1078021376">
      <w:bodyDiv w:val="1"/>
      <w:marLeft w:val="0"/>
      <w:marRight w:val="0"/>
      <w:marTop w:val="0"/>
      <w:marBottom w:val="0"/>
      <w:divBdr>
        <w:top w:val="none" w:sz="0" w:space="0" w:color="auto"/>
        <w:left w:val="none" w:sz="0" w:space="0" w:color="auto"/>
        <w:bottom w:val="none" w:sz="0" w:space="0" w:color="auto"/>
        <w:right w:val="none" w:sz="0" w:space="0" w:color="auto"/>
      </w:divBdr>
    </w:div>
    <w:div w:id="1151562741">
      <w:bodyDiv w:val="1"/>
      <w:marLeft w:val="0"/>
      <w:marRight w:val="0"/>
      <w:marTop w:val="0"/>
      <w:marBottom w:val="0"/>
      <w:divBdr>
        <w:top w:val="none" w:sz="0" w:space="0" w:color="auto"/>
        <w:left w:val="none" w:sz="0" w:space="0" w:color="auto"/>
        <w:bottom w:val="none" w:sz="0" w:space="0" w:color="auto"/>
        <w:right w:val="none" w:sz="0" w:space="0" w:color="auto"/>
      </w:divBdr>
    </w:div>
    <w:div w:id="1165973775">
      <w:bodyDiv w:val="1"/>
      <w:marLeft w:val="0"/>
      <w:marRight w:val="0"/>
      <w:marTop w:val="0"/>
      <w:marBottom w:val="0"/>
      <w:divBdr>
        <w:top w:val="none" w:sz="0" w:space="0" w:color="auto"/>
        <w:left w:val="none" w:sz="0" w:space="0" w:color="auto"/>
        <w:bottom w:val="none" w:sz="0" w:space="0" w:color="auto"/>
        <w:right w:val="none" w:sz="0" w:space="0" w:color="auto"/>
      </w:divBdr>
    </w:div>
    <w:div w:id="1176530518">
      <w:bodyDiv w:val="1"/>
      <w:marLeft w:val="0"/>
      <w:marRight w:val="0"/>
      <w:marTop w:val="0"/>
      <w:marBottom w:val="0"/>
      <w:divBdr>
        <w:top w:val="none" w:sz="0" w:space="0" w:color="auto"/>
        <w:left w:val="none" w:sz="0" w:space="0" w:color="auto"/>
        <w:bottom w:val="none" w:sz="0" w:space="0" w:color="auto"/>
        <w:right w:val="none" w:sz="0" w:space="0" w:color="auto"/>
      </w:divBdr>
    </w:div>
    <w:div w:id="1231111366">
      <w:bodyDiv w:val="1"/>
      <w:marLeft w:val="0"/>
      <w:marRight w:val="0"/>
      <w:marTop w:val="0"/>
      <w:marBottom w:val="0"/>
      <w:divBdr>
        <w:top w:val="none" w:sz="0" w:space="0" w:color="auto"/>
        <w:left w:val="none" w:sz="0" w:space="0" w:color="auto"/>
        <w:bottom w:val="none" w:sz="0" w:space="0" w:color="auto"/>
        <w:right w:val="none" w:sz="0" w:space="0" w:color="auto"/>
      </w:divBdr>
    </w:div>
    <w:div w:id="1310402162">
      <w:bodyDiv w:val="1"/>
      <w:marLeft w:val="0"/>
      <w:marRight w:val="0"/>
      <w:marTop w:val="0"/>
      <w:marBottom w:val="0"/>
      <w:divBdr>
        <w:top w:val="none" w:sz="0" w:space="0" w:color="auto"/>
        <w:left w:val="none" w:sz="0" w:space="0" w:color="auto"/>
        <w:bottom w:val="none" w:sz="0" w:space="0" w:color="auto"/>
        <w:right w:val="none" w:sz="0" w:space="0" w:color="auto"/>
      </w:divBdr>
    </w:div>
    <w:div w:id="1357342648">
      <w:bodyDiv w:val="1"/>
      <w:marLeft w:val="0"/>
      <w:marRight w:val="0"/>
      <w:marTop w:val="0"/>
      <w:marBottom w:val="0"/>
      <w:divBdr>
        <w:top w:val="none" w:sz="0" w:space="0" w:color="auto"/>
        <w:left w:val="none" w:sz="0" w:space="0" w:color="auto"/>
        <w:bottom w:val="none" w:sz="0" w:space="0" w:color="auto"/>
        <w:right w:val="none" w:sz="0" w:space="0" w:color="auto"/>
      </w:divBdr>
    </w:div>
    <w:div w:id="1419055608">
      <w:bodyDiv w:val="1"/>
      <w:marLeft w:val="0"/>
      <w:marRight w:val="0"/>
      <w:marTop w:val="0"/>
      <w:marBottom w:val="0"/>
      <w:divBdr>
        <w:top w:val="none" w:sz="0" w:space="0" w:color="auto"/>
        <w:left w:val="none" w:sz="0" w:space="0" w:color="auto"/>
        <w:bottom w:val="none" w:sz="0" w:space="0" w:color="auto"/>
        <w:right w:val="none" w:sz="0" w:space="0" w:color="auto"/>
      </w:divBdr>
    </w:div>
    <w:div w:id="1526288731">
      <w:bodyDiv w:val="1"/>
      <w:marLeft w:val="0"/>
      <w:marRight w:val="0"/>
      <w:marTop w:val="0"/>
      <w:marBottom w:val="0"/>
      <w:divBdr>
        <w:top w:val="none" w:sz="0" w:space="0" w:color="auto"/>
        <w:left w:val="none" w:sz="0" w:space="0" w:color="auto"/>
        <w:bottom w:val="none" w:sz="0" w:space="0" w:color="auto"/>
        <w:right w:val="none" w:sz="0" w:space="0" w:color="auto"/>
      </w:divBdr>
    </w:div>
    <w:div w:id="1725248922">
      <w:bodyDiv w:val="1"/>
      <w:marLeft w:val="0"/>
      <w:marRight w:val="0"/>
      <w:marTop w:val="0"/>
      <w:marBottom w:val="0"/>
      <w:divBdr>
        <w:top w:val="none" w:sz="0" w:space="0" w:color="auto"/>
        <w:left w:val="none" w:sz="0" w:space="0" w:color="auto"/>
        <w:bottom w:val="none" w:sz="0" w:space="0" w:color="auto"/>
        <w:right w:val="none" w:sz="0" w:space="0" w:color="auto"/>
      </w:divBdr>
    </w:div>
    <w:div w:id="1750540503">
      <w:bodyDiv w:val="1"/>
      <w:marLeft w:val="0"/>
      <w:marRight w:val="0"/>
      <w:marTop w:val="0"/>
      <w:marBottom w:val="0"/>
      <w:divBdr>
        <w:top w:val="none" w:sz="0" w:space="0" w:color="auto"/>
        <w:left w:val="none" w:sz="0" w:space="0" w:color="auto"/>
        <w:bottom w:val="none" w:sz="0" w:space="0" w:color="auto"/>
        <w:right w:val="none" w:sz="0" w:space="0" w:color="auto"/>
      </w:divBdr>
    </w:div>
    <w:div w:id="1965387714">
      <w:bodyDiv w:val="1"/>
      <w:marLeft w:val="0"/>
      <w:marRight w:val="0"/>
      <w:marTop w:val="0"/>
      <w:marBottom w:val="0"/>
      <w:divBdr>
        <w:top w:val="none" w:sz="0" w:space="0" w:color="auto"/>
        <w:left w:val="none" w:sz="0" w:space="0" w:color="auto"/>
        <w:bottom w:val="none" w:sz="0" w:space="0" w:color="auto"/>
        <w:right w:val="none" w:sz="0" w:space="0" w:color="auto"/>
      </w:divBdr>
    </w:div>
    <w:div w:id="1976131459">
      <w:bodyDiv w:val="1"/>
      <w:marLeft w:val="0"/>
      <w:marRight w:val="0"/>
      <w:marTop w:val="0"/>
      <w:marBottom w:val="0"/>
      <w:divBdr>
        <w:top w:val="none" w:sz="0" w:space="0" w:color="auto"/>
        <w:left w:val="none" w:sz="0" w:space="0" w:color="auto"/>
        <w:bottom w:val="none" w:sz="0" w:space="0" w:color="auto"/>
        <w:right w:val="none" w:sz="0" w:space="0" w:color="auto"/>
      </w:divBdr>
    </w:div>
    <w:div w:id="1991053313">
      <w:bodyDiv w:val="1"/>
      <w:marLeft w:val="0"/>
      <w:marRight w:val="0"/>
      <w:marTop w:val="0"/>
      <w:marBottom w:val="0"/>
      <w:divBdr>
        <w:top w:val="none" w:sz="0" w:space="0" w:color="auto"/>
        <w:left w:val="none" w:sz="0" w:space="0" w:color="auto"/>
        <w:bottom w:val="none" w:sz="0" w:space="0" w:color="auto"/>
        <w:right w:val="none" w:sz="0" w:space="0" w:color="auto"/>
      </w:divBdr>
    </w:div>
    <w:div w:id="2009869158">
      <w:bodyDiv w:val="1"/>
      <w:marLeft w:val="0"/>
      <w:marRight w:val="0"/>
      <w:marTop w:val="0"/>
      <w:marBottom w:val="0"/>
      <w:divBdr>
        <w:top w:val="none" w:sz="0" w:space="0" w:color="auto"/>
        <w:left w:val="none" w:sz="0" w:space="0" w:color="auto"/>
        <w:bottom w:val="none" w:sz="0" w:space="0" w:color="auto"/>
        <w:right w:val="none" w:sz="0" w:space="0" w:color="auto"/>
      </w:divBdr>
    </w:div>
    <w:div w:id="2043093923">
      <w:bodyDiv w:val="1"/>
      <w:marLeft w:val="0"/>
      <w:marRight w:val="0"/>
      <w:marTop w:val="0"/>
      <w:marBottom w:val="0"/>
      <w:divBdr>
        <w:top w:val="none" w:sz="0" w:space="0" w:color="auto"/>
        <w:left w:val="none" w:sz="0" w:space="0" w:color="auto"/>
        <w:bottom w:val="none" w:sz="0" w:space="0" w:color="auto"/>
        <w:right w:val="none" w:sz="0" w:space="0" w:color="auto"/>
      </w:divBdr>
    </w:div>
    <w:div w:id="20890385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Bra17</b:Tag>
    <b:SourceType>ElectronicSource</b:SourceType>
    <b:Guid>{A7B0AB74-1BE3-7A48-B13A-ACE9EF9EEA6C}</b:Guid>
    <b:Title>Object</b:Title>
    <b:Publisher>The Stanford Encyclopedia of Philosophy</b:Publisher>
    <b:Year>2017</b:Year>
    <b:Edition>Winter</b:Edition>
    <b:Author>
      <b:Author>
        <b:NameList>
          <b:Person>
            <b:Last>Bailey</b:Last>
            <b:First>Bradley</b:First>
            <b:Middle>Rettler and Andrew</b:Middle>
          </b:Person>
        </b:NameList>
      </b:Author>
      <b:Editor>
        <b:NameList>
          <b:Person>
            <b:Last>Zalta</b:Last>
            <b:First>Edward</b:First>
            <b:Middle>N.</b:Middle>
          </b:Person>
        </b:NameList>
      </b:Editor>
    </b:Author>
    <b:RefOrder>1</b:RefOrder>
  </b:Source>
  <b:Source>
    <b:Tag>Arj86</b:Tag>
    <b:SourceType>BookSection</b:SourceType>
    <b:Guid>{FC5D7620-5322-D645-8B3B-A22C2AB6870D}</b:Guid>
    <b:Title>Introduction: commodities and the politics of value</b:Title>
    <b:City>Cambridge</b:City>
    <b:Year>1986</b:Year>
    <b:Publisher>Cambridge University Press</b:Publisher>
    <b:Author>
      <b:Author>
        <b:NameList>
          <b:Person>
            <b:Last>Appadurai</b:Last>
            <b:First>Arjun</b:First>
          </b:Person>
        </b:NameList>
      </b:Author>
      <b:Editor>
        <b:NameList>
          <b:Person>
            <b:Last>Appadurai</b:Last>
            <b:First>Arjun</b:First>
          </b:Person>
        </b:NameList>
      </b:Editor>
    </b:Author>
    <b:BookTitle>The Social Life of Things: Commodities in a cultural perspective</b:BookTitle>
    <b:Pages>4</b:Pages>
    <b:RefOrder>2</b:RefOrder>
  </b:Source>
  <b:Source>
    <b:Tag>Kar71</b:Tag>
    <b:SourceType>BookSection</b:SourceType>
    <b:Guid>{80790F99-AFCF-5A44-A1C3-6A40EE00FFF7}</b:Guid>
    <b:Author>
      <b:Author>
        <b:NameList>
          <b:Person>
            <b:Last>Marx</b:Last>
            <b:First>Karl</b:First>
          </b:Person>
        </b:NameList>
      </b:Author>
      <b:Editor>
        <b:NameList>
          <b:Person>
            <b:Last>Engles</b:Last>
            <b:First>Friedrich</b:First>
          </b:Person>
        </b:NameList>
      </b:Editor>
    </b:Author>
    <b:Title>Capital</b:Title>
    <b:BookTitle>Marx</b:BookTitle>
    <b:City>London</b:City>
    <b:Publisher>William Benton</b:Publisher>
    <b:Year>1971</b:Year>
    <b:Pages>13</b:Pages>
    <b:RefOrder>3</b:RefOrder>
  </b:Source>
  <b:Source>
    <b:Tag>Sar17</b:Tag>
    <b:SourceType>InternetSite</b:SourceType>
    <b:Guid>{7C18A656-21B0-4247-A7F6-211FB302EFF8}</b:Guid>
    <b:Author>
      <b:Author>
        <b:NameList>
          <b:Person>
            <b:Last>Morrow</b:Last>
            <b:First>Sarah</b:First>
          </b:Person>
          <b:Person>
            <b:Last>Lusteck</b:Last>
            <b:First>Robert</b:First>
          </b:Person>
        </b:NameList>
      </b:Author>
      <b:Editor>
        <b:NameList>
          <b:Person>
            <b:Last>Murphy</b:Last>
            <b:First>Dr.</b:First>
            <b:Middle>Michael D.</b:Middle>
          </b:Person>
        </b:NameList>
      </b:Editor>
    </b:Author>
    <b:Title>Marxist Anthropology</b:Title>
    <b:InternetSiteTitle>The university of Alabama, Department of Anthropology</b:InternetSiteTitle>
    <b:URL>http://anthropology.ua.edu/cultures/cultures.php?culture=Marxist%20Anthropology</b:URL>
    <b:YearAccessed>2017</b:YearAccessed>
    <b:MonthAccessed>11</b:MonthAccessed>
    <b:DayAccessed>27</b:DayAccessed>
    <b:RefOrder>4</b:RefOrder>
  </b:Source>
  <b:Source>
    <b:Tag>Mal92</b:Tag>
    <b:SourceType>Book</b:SourceType>
    <b:Guid>{02F7BE2E-D706-F140-84C1-3C7BC8824DD0}</b:Guid>
    <b:Author>
      <b:Author>
        <b:NameList>
          <b:Person>
            <b:Last>Malinowski</b:Last>
            <b:First>Bronislaw</b:First>
          </b:Person>
        </b:NameList>
      </b:Author>
    </b:Author>
    <b:Title>Argonauts of the Western Pacific: an account of native enterprise and adventure in the archipelagoes of Melanesian New Guinea</b:Title>
    <b:Year>1992</b:Year>
    <b:City>London</b:City>
    <b:Publisher>Routledge</b:Publisher>
    <b:RefOrder>8</b:RefOrder>
  </b:Source>
  <b:Source>
    <b:Tag>Mau11</b:Tag>
    <b:SourceType>Book</b:SourceType>
    <b:Guid>{065CCB6C-B1AC-B94E-8159-B30E4DC2C428}</b:Guid>
    <b:Author>
      <b:Author>
        <b:NameList>
          <b:Person>
            <b:Last>Mauss</b:Last>
            <b:First>Marcel</b:First>
          </b:Person>
        </b:NameList>
      </b:Author>
      <b:Translator>
        <b:NameList>
          <b:Person>
            <b:Last>Cunnison</b:Last>
            <b:First>Ian</b:First>
          </b:Person>
        </b:NameList>
      </b:Translator>
    </b:Author>
    <b:Title>The Gift: Forms and functions of exchange in archaic societies</b:Title>
    <b:City>Eastford</b:City>
    <b:StateProvince>Conneticut</b:StateProvince>
    <b:CountryRegion>USA</b:CountryRegion>
    <b:Publisher>Martino Publishing</b:Publisher>
    <b:Year>2011</b:Year>
    <b:RefOrder>5</b:RefOrder>
  </b:Source>
  <b:Source>
    <b:Tag>Car91</b:Tag>
    <b:SourceType>JournalArticle</b:SourceType>
    <b:Guid>{0F7456E2-9EA7-224E-9ED6-55D913483D03}</b:Guid>
    <b:Author>
      <b:Author>
        <b:NameList>
          <b:Person>
            <b:Last>Carrier</b:Last>
            <b:First>James</b:First>
          </b:Person>
        </b:NameList>
      </b:Author>
    </b:Author>
    <b:Title>Gifts, Commodities, and Social Relations: A Maussian View of Exchange</b:Title>
    <b:Year>1991</b:Year>
    <b:Volume>6</b:Volume>
    <b:Pages>119-136</b:Pages>
    <b:JournalName>Sociological Forum</b:JournalName>
    <b:Month>March</b:Month>
    <b:Issue>1</b:Issue>
    <b:RefOrder>6</b:RefOrder>
  </b:Source>
  <b:Source>
    <b:Tag>Kop</b:Tag>
    <b:SourceType>BookSection</b:SourceType>
    <b:Guid>{17FC688F-1B46-3546-8B08-0296134B7D3F}</b:Guid>
    <b:Author>
      <b:Author>
        <b:NameList>
          <b:Person>
            <b:Last>Kopytoff</b:Last>
            <b:First>Igor</b:First>
          </b:Person>
        </b:NameList>
      </b:Author>
      <b:Editor>
        <b:NameList>
          <b:Person>
            <b:Last>Appadurai</b:Last>
            <b:First>Arjun</b:First>
          </b:Person>
        </b:NameList>
      </b:Editor>
    </b:Author>
    <b:Title>The Cultural Biography of Things</b:Title>
    <b:Publisher>Cambridge University Press</b:Publisher>
    <b:City>Cambridge</b:City>
    <b:BookTitle>The Social Life of Things: Commodities in cultural perspective</b:BookTitle>
    <b:Year>1988</b:Year>
    <b:Pages>64-91</b:Pages>
    <b:RefOrder>7</b:RefOrder>
  </b:Source>
  <b:Source>
    <b:Tag>Abb12</b:Tag>
    <b:SourceType>JournalArticle</b:SourceType>
    <b:Guid>{0DAECB69-EC86-754B-8557-BFD517675785}</b:Guid>
    <b:Author>
      <b:Author>
        <b:NameList>
          <b:Person>
            <b:Last>Abbots</b:Last>
            <b:First>Emma-Jayne</b:First>
          </b:Person>
        </b:NameList>
      </b:Author>
    </b:Author>
    <b:Title>"It Doesn't Taste as Good from the Pet Shop": Guinea Pig Consumption and the Performance of Transnational Kin and Class Relations in Highland Ecuador and New York City</b:Title>
    <b:Year>2012</b:Year>
    <b:Volume>14</b:Volume>
    <b:Pages>205-224</b:Pages>
    <b:JournalName>Food Culture and Society</b:JournalName>
    <b:Issue>2</b:Issue>
    <b:Comments>From Author's Final Copy (pre copy-editing and final proof) </b:Comments>
    <b:RefOrder>9</b:RefOrder>
  </b:Source>
</b:Sources>
</file>

<file path=customXml/itemProps1.xml><?xml version="1.0" encoding="utf-8"?>
<ds:datastoreItem xmlns:ds="http://schemas.openxmlformats.org/officeDocument/2006/customXml" ds:itemID="{3CB2C8BA-F571-724A-97E5-EEBD94559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1950</Words>
  <Characters>11119</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Evans (1602232)</dc:creator>
  <cp:lastModifiedBy>Rachel Evans (1602232)</cp:lastModifiedBy>
  <cp:revision>2</cp:revision>
  <dcterms:created xsi:type="dcterms:W3CDTF">2017-11-27T22:54:00Z</dcterms:created>
  <dcterms:modified xsi:type="dcterms:W3CDTF">2017-11-27T22:54:00Z</dcterms:modified>
</cp:coreProperties>
</file>