
<file path=[Content_Types].xml><?xml version="1.0" encoding="utf-8"?>
<Types xmlns="http://schemas.openxmlformats.org/package/2006/content-types">
  <Default Extension="xml" ContentType="applicatio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14:paraId="00000005">
      <w:pPr>
        <w:pStyle w:val="Heading1"/>
        <w:spacing w:line="360" w:lineRule="auto"/>
        <w:jc w:val="center"/>
        <w:rPr>
          <w:rFonts w:ascii="Times New Roman" w:cs="Times New Roman" w:hAnsi="Times New Roman"/>
          <w:sz w:val="22"/>
          <w:szCs w:val="22"/>
        </w:rPr>
      </w:pPr>
      <w:bookmarkStart w:id="0" w:name="_Toc148728317"/>
    </w:p>
    <w:p w14:paraId="00000006">
      <w:pPr>
        <w:pStyle w:val="Heading1"/>
        <w:spacing w:line="360" w:lineRule="auto"/>
        <w:jc w:val="center"/>
        <w:rPr>
          <w:rFonts w:ascii="Times New Roman" w:cs="Times New Roman" w:hAnsi="Times New Roman"/>
          <w:sz w:val="22"/>
          <w:szCs w:val="22"/>
        </w:rPr>
      </w:pPr>
    </w:p>
    <w:p w14:paraId="00000007">
      <w:pPr>
        <w:pStyle w:val="Heading1"/>
        <w:spacing w:line="360" w:lineRule="auto"/>
        <w:jc w:val="center"/>
        <w:rPr>
          <w:rFonts w:ascii="Times New Roman" w:cs="Times New Roman" w:hAnsi="Times New Roman"/>
          <w:sz w:val="22"/>
          <w:szCs w:val="22"/>
        </w:rPr>
      </w:pPr>
    </w:p>
    <w:p w14:paraId="00000008">
      <w:pPr>
        <w:pStyle w:val="Heading1"/>
        <w:spacing w:line="360" w:lineRule="auto"/>
        <w:jc w:val="center"/>
        <w:rPr>
          <w:rFonts w:ascii="Times New Roman" w:cs="Times New Roman" w:hAnsi="Times New Roman"/>
          <w:sz w:val="22"/>
          <w:szCs w:val="22"/>
        </w:rPr>
      </w:pPr>
    </w:p>
    <w:p w14:paraId="00000009">
      <w:pPr>
        <w:pStyle w:val="Heading1"/>
        <w:spacing w:line="360" w:lineRule="auto"/>
        <w:jc w:val="center"/>
        <w:rPr>
          <w:rFonts w:ascii="Times New Roman" w:cs="Times New Roman" w:hAnsi="Times New Roman"/>
          <w:sz w:val="22"/>
          <w:szCs w:val="22"/>
        </w:rPr>
      </w:pPr>
    </w:p>
    <w:p w14:paraId="0000000A">
      <w:pPr>
        <w:pStyle w:val="NoSpacing"/>
        <w:spacing w:line="360" w:lineRule="auto"/>
        <w:jc w:val="center"/>
        <w:rPr>
          <w:b/>
        </w:rPr>
      </w:pPr>
      <w:r>
        <w:rPr>
          <w:b/>
        </w:rPr>
        <w:t>Introduction to Health Research</w:t>
      </w:r>
      <w:bookmarkEnd w:id="0"/>
    </w:p>
    <w:p w14:paraId="0000000B">
      <w:pPr>
        <w:pStyle w:val="NoSpacing"/>
        <w:spacing w:line="360" w:lineRule="auto"/>
        <w:jc w:val="center"/>
        <w:rPr>
          <w:b/>
          <w:sz w:val="28"/>
          <w:szCs w:val="32"/>
          <w:u w:val="single"/>
        </w:rPr>
      </w:pPr>
      <w:bookmarkStart w:id="1" w:name="_Toc148728318"/>
      <w:r>
        <w:rPr>
          <w:b/>
          <w:sz w:val="44"/>
          <w:u w:val="single"/>
        </w:rPr>
        <w:t>Overweight and Obesity in Wales</w:t>
      </w:r>
      <w:bookmarkEnd w:id="1"/>
    </w:p>
    <w:p w14:paraId="0000000C">
      <w:pPr>
        <w:rPr>
          <w:rFonts w:cs="Times New Roman"/>
          <w:lang w:val="en-US"/>
        </w:rPr>
      </w:pPr>
    </w:p>
    <w:p w14:paraId="0000000D">
      <w:pPr>
        <w:rPr>
          <w:rFonts w:cs="Times New Roman"/>
          <w:lang w:val="en-US"/>
        </w:rPr>
      </w:pPr>
    </w:p>
    <w:p w14:paraId="0000000E">
      <w:pPr>
        <w:rPr>
          <w:rFonts w:cs="Times New Roman"/>
          <w:lang w:val="en-US"/>
        </w:rPr>
      </w:pPr>
    </w:p>
    <w:p w14:paraId="0000000F">
      <w:pPr>
        <w:rPr>
          <w:rFonts w:cs="Times New Roman"/>
          <w:lang w:val="en-US"/>
        </w:rPr>
      </w:pPr>
    </w:p>
    <w:p w14:paraId="00000010">
      <w:pPr>
        <w:rPr>
          <w:rFonts w:cs="Times New Roman"/>
          <w:lang w:val="en-US"/>
        </w:rPr>
      </w:pPr>
    </w:p>
    <w:p w14:paraId="00000011">
      <w:pPr>
        <w:rPr>
          <w:rFonts w:cs="Times New Roman"/>
          <w:lang w:val="en-US"/>
        </w:rPr>
      </w:pPr>
    </w:p>
    <w:p w14:paraId="00000012">
      <w:pPr>
        <w:rPr>
          <w:rFonts w:cs="Times New Roman"/>
          <w:lang w:val="en-US"/>
        </w:rPr>
      </w:pPr>
    </w:p>
    <w:p w14:paraId="00000013">
      <w:pPr>
        <w:rPr>
          <w:rFonts w:cs="Times New Roman"/>
          <w:lang w:val="en-US"/>
        </w:rPr>
      </w:pPr>
    </w:p>
    <w:p w14:paraId="00000014">
      <w:pPr>
        <w:rPr>
          <w:rFonts w:cs="Times New Roman"/>
          <w:lang w:val="en-US"/>
        </w:rPr>
      </w:pPr>
    </w:p>
    <w:p w14:paraId="00000015">
      <w:pPr>
        <w:rPr>
          <w:rFonts w:cs="Times New Roman"/>
          <w:lang w:val="en-US"/>
        </w:rPr>
      </w:pPr>
    </w:p>
    <w:p w14:paraId="00000016">
      <w:pPr>
        <w:rPr>
          <w:rFonts w:cs="Times New Roman"/>
          <w:lang w:val="en-US"/>
        </w:rPr>
      </w:pPr>
    </w:p>
    <w:p w14:paraId="00000017">
      <w:pPr>
        <w:rPr>
          <w:rFonts w:cs="Times New Roman"/>
          <w:lang w:val="en-US"/>
        </w:rPr>
      </w:pPr>
    </w:p>
    <w:p w14:paraId="00000018">
      <w:pPr>
        <w:rPr>
          <w:rFonts w:cs="Times New Roman"/>
          <w:lang w:val="en-US"/>
        </w:rPr>
      </w:pPr>
    </w:p>
    <w:p w14:paraId="00000019">
      <w:pPr>
        <w:rPr>
          <w:rFonts w:cs="Times New Roman"/>
          <w:lang w:val="en-US"/>
        </w:rPr>
      </w:pPr>
    </w:p>
    <w:p w14:paraId="0000001A">
      <w:pPr>
        <w:rPr>
          <w:rFonts w:cs="Times New Roman"/>
          <w:lang w:val="en-US"/>
        </w:rPr>
      </w:pPr>
    </w:p>
    <w:p w14:paraId="0000001B">
      <w:pPr>
        <w:rPr>
          <w:rFonts w:cs="Times New Roman"/>
          <w:lang w:val="en-US"/>
        </w:rPr>
      </w:pPr>
    </w:p>
    <w:p w14:paraId="0000001C">
      <w:pPr>
        <w:rPr>
          <w:rFonts w:cs="Times New Roman"/>
          <w:lang w:val="en-US"/>
        </w:rPr>
      </w:pPr>
    </w:p>
    <w:p w14:paraId="0000001D">
      <w:pPr>
        <w:rPr>
          <w:rFonts w:cs="Times New Roman"/>
          <w:lang w:val="en-US"/>
        </w:rPr>
      </w:pPr>
    </w:p>
    <w:p w14:paraId="0000001E">
      <w:pPr>
        <w:rPr>
          <w:rFonts w:cs="Times New Roman"/>
          <w:lang w:val="en-US"/>
        </w:rPr>
      </w:pPr>
    </w:p>
    <w:p w14:paraId="0000001F">
      <w:pPr>
        <w:rPr>
          <w:rFonts w:cs="Times New Roman"/>
          <w:lang w:val="en-US"/>
        </w:rPr>
      </w:pPr>
    </w:p>
    <w:p w14:paraId="00000020">
      <w:pPr>
        <w:rPr>
          <w:rFonts w:cs="Times New Roman"/>
          <w:lang w:val="en-US"/>
        </w:rPr>
      </w:pPr>
    </w:p>
    <w:p w14:paraId="00000021">
      <w:pPr>
        <w:rPr>
          <w:rFonts w:cs="Times New Roman"/>
          <w:lang w:val="en-US"/>
        </w:rPr>
      </w:pPr>
    </w:p>
    <w:p w14:paraId="00000022">
      <w:pPr>
        <w:pStyle w:val="TOCHeading"/>
        <w:rPr>
          <w:rFonts w:ascii="Times New Roman" w:cs="Times New Roman" w:hAnsi="Times New Roman"/>
        </w:rPr>
      </w:pPr>
      <w:r>
        <w:rPr>
          <w:rFonts w:ascii="Times New Roman" w:cs="Times New Roman" w:hAnsi="Times New Roman"/>
        </w:rPr>
        <w:t>Table of Contents</w:t>
      </w:r>
    </w:p>
    <w:p w14:paraId="00000023">
      <w:pPr>
        <w:pStyle w:val="Toc1"/>
        <w:tabs>
          <w:tab w:val="right" w:leader="dot" w:pos="9350"/>
        </w:tabs>
        <w:rPr>
          <w:rFonts w:asciiTheme="minorHAnsi" w:eastAsiaTheme="minorEastAsia" w:hAnsiTheme="minorHAnsi"/>
          <w:sz w:val="22"/>
          <w:lang w:val="en-US"/>
        </w:rPr>
      </w:pPr>
      <w:r>
        <w:fldChar w:fldCharType="begin"/>
      </w:r>
      <w:r>
        <w:instrText xml:space="preserve"> TOC \o "1-3" \h \z \u </w:instrText>
      </w:r>
      <w:r>
        <w:fldChar w:fldCharType="separate"/>
      </w:r>
      <w:r>
        <w:fldChar w:fldCharType="begin"/>
      </w:r>
      <w:r>
        <w:instrText xml:space="preserve">HYPERLINK \l "_Toc148874405" </w:instrText>
      </w:r>
      <w:r>
        <w:fldChar w:fldCharType="separate"/>
      </w:r>
      <w:r>
        <w:rPr>
          <w:rStyle w:val="Hyperlink"/>
          <w:rFonts w:cs="Times New Roman"/>
        </w:rPr>
        <w:t>Introduction</w:t>
      </w:r>
      <w:r>
        <w:tab/>
      </w:r>
      <w:r>
        <w:fldChar w:fldCharType="begin"/>
      </w:r>
      <w:r>
        <w:instrText xml:space="preserve"> PAGEREF _Toc148874405 \h </w:instrText>
      </w:r>
      <w:r>
        <w:fldChar w:fldCharType="separate"/>
      </w:r>
      <w:r>
        <w:t>3</w:t>
      </w:r>
      <w:r>
        <w:fldChar w:fldCharType="end"/>
      </w:r>
      <w:r>
        <w:fldChar w:fldCharType="end"/>
      </w:r>
    </w:p>
    <w:p w14:paraId="00000024">
      <w:pPr>
        <w:pStyle w:val="Toc2"/>
        <w:tabs>
          <w:tab w:val="right" w:leader="dot" w:pos="9350"/>
        </w:tabs>
        <w:rPr>
          <w:rFonts w:asciiTheme="minorHAnsi" w:eastAsiaTheme="minorEastAsia" w:hAnsiTheme="minorHAnsi"/>
          <w:sz w:val="22"/>
          <w:lang w:val="en-US"/>
        </w:rPr>
      </w:pPr>
      <w:r>
        <w:fldChar w:fldCharType="begin"/>
      </w:r>
      <w:r>
        <w:instrText xml:space="preserve">HYPERLINK \l "_Toc148874406" </w:instrText>
      </w:r>
      <w:r>
        <w:fldChar w:fldCharType="separate"/>
      </w:r>
      <w:r>
        <w:rPr>
          <w:rStyle w:val="Hyperlink"/>
          <w:rFonts w:cs="Times New Roman"/>
        </w:rPr>
        <w:t>Research Approaches used in studies</w:t>
      </w:r>
      <w:r>
        <w:tab/>
      </w:r>
      <w:r>
        <w:fldChar w:fldCharType="begin"/>
      </w:r>
      <w:r>
        <w:instrText xml:space="preserve"> PAGEREF _Toc148874406 \h </w:instrText>
      </w:r>
      <w:r>
        <w:fldChar w:fldCharType="separate"/>
      </w:r>
      <w:r>
        <w:t>3</w:t>
      </w:r>
      <w:r>
        <w:fldChar w:fldCharType="end"/>
      </w:r>
      <w:r>
        <w:fldChar w:fldCharType="end"/>
      </w:r>
    </w:p>
    <w:p w14:paraId="00000025">
      <w:pPr>
        <w:pStyle w:val="Toc1"/>
        <w:tabs>
          <w:tab w:val="right" w:leader="dot" w:pos="9350"/>
        </w:tabs>
        <w:rPr>
          <w:rFonts w:asciiTheme="minorHAnsi" w:eastAsiaTheme="minorEastAsia" w:hAnsiTheme="minorHAnsi"/>
          <w:sz w:val="22"/>
          <w:lang w:val="en-US"/>
        </w:rPr>
      </w:pPr>
      <w:r>
        <w:fldChar w:fldCharType="begin"/>
      </w:r>
      <w:r>
        <w:instrText xml:space="preserve">HYPERLINK \l "_Toc148874407" </w:instrText>
      </w:r>
      <w:r>
        <w:fldChar w:fldCharType="separate"/>
      </w:r>
      <w:r>
        <w:rPr>
          <w:rStyle w:val="Hyperlink"/>
          <w:rFonts w:cs="Times New Roman"/>
        </w:rPr>
        <w:t>Obesity Prevalence in Wales</w:t>
      </w:r>
      <w:r>
        <w:tab/>
      </w:r>
      <w:r>
        <w:fldChar w:fldCharType="begin"/>
      </w:r>
      <w:r>
        <w:instrText xml:space="preserve"> PAGEREF _Toc148874407 \h </w:instrText>
      </w:r>
      <w:r>
        <w:fldChar w:fldCharType="separate"/>
      </w:r>
      <w:r>
        <w:t>4</w:t>
      </w:r>
      <w:r>
        <w:fldChar w:fldCharType="end"/>
      </w:r>
      <w:r>
        <w:fldChar w:fldCharType="end"/>
      </w:r>
    </w:p>
    <w:p w14:paraId="00000026">
      <w:pPr>
        <w:pStyle w:val="Toc2"/>
        <w:tabs>
          <w:tab w:val="right" w:leader="dot" w:pos="9350"/>
        </w:tabs>
        <w:rPr>
          <w:rFonts w:asciiTheme="minorHAnsi" w:eastAsiaTheme="minorEastAsia" w:hAnsiTheme="minorHAnsi"/>
          <w:sz w:val="22"/>
          <w:lang w:val="en-US"/>
        </w:rPr>
      </w:pPr>
      <w:r>
        <w:fldChar w:fldCharType="begin"/>
      </w:r>
      <w:r>
        <w:instrText xml:space="preserve">HYPERLINK \l "_Toc148874408" </w:instrText>
      </w:r>
      <w:r>
        <w:fldChar w:fldCharType="separate"/>
      </w:r>
      <w:r>
        <w:rPr>
          <w:rStyle w:val="Hyperlink"/>
          <w:rFonts w:cs="Times New Roman"/>
        </w:rPr>
        <w:t>Obesity in Adolescents</w:t>
      </w:r>
      <w:r>
        <w:tab/>
      </w:r>
      <w:r>
        <w:fldChar w:fldCharType="begin"/>
      </w:r>
      <w:r>
        <w:instrText xml:space="preserve"> PAGEREF _Toc148874408 \h </w:instrText>
      </w:r>
      <w:r>
        <w:fldChar w:fldCharType="separate"/>
      </w:r>
      <w:r>
        <w:t>4</w:t>
      </w:r>
      <w:r>
        <w:fldChar w:fldCharType="end"/>
      </w:r>
      <w:r>
        <w:fldChar w:fldCharType="end"/>
      </w:r>
    </w:p>
    <w:p w14:paraId="00000027">
      <w:pPr>
        <w:pStyle w:val="Toc2"/>
        <w:tabs>
          <w:tab w:val="right" w:leader="dot" w:pos="9350"/>
        </w:tabs>
        <w:rPr>
          <w:rFonts w:asciiTheme="minorHAnsi" w:eastAsiaTheme="minorEastAsia" w:hAnsiTheme="minorHAnsi"/>
          <w:sz w:val="22"/>
          <w:lang w:val="en-US"/>
        </w:rPr>
      </w:pPr>
      <w:r>
        <w:fldChar w:fldCharType="begin"/>
      </w:r>
      <w:r>
        <w:instrText xml:space="preserve">HYPERLINK \l "_Toc148874409" </w:instrText>
      </w:r>
      <w:r>
        <w:fldChar w:fldCharType="separate"/>
      </w:r>
      <w:r>
        <w:rPr>
          <w:rStyle w:val="Hyperlink"/>
          <w:rFonts w:cs="Times New Roman"/>
        </w:rPr>
        <w:t>Obesity in Adults</w:t>
      </w:r>
      <w:r>
        <w:tab/>
      </w:r>
      <w:r>
        <w:fldChar w:fldCharType="begin"/>
      </w:r>
      <w:r>
        <w:instrText xml:space="preserve"> PAGEREF _Toc148874409 \h </w:instrText>
      </w:r>
      <w:r>
        <w:fldChar w:fldCharType="separate"/>
      </w:r>
      <w:r>
        <w:t>5</w:t>
      </w:r>
      <w:r>
        <w:fldChar w:fldCharType="end"/>
      </w:r>
      <w:r>
        <w:fldChar w:fldCharType="end"/>
      </w:r>
    </w:p>
    <w:p w14:paraId="00000028">
      <w:pPr>
        <w:pStyle w:val="Toc2"/>
        <w:tabs>
          <w:tab w:val="right" w:leader="dot" w:pos="9350"/>
        </w:tabs>
        <w:rPr>
          <w:rFonts w:asciiTheme="minorHAnsi" w:eastAsiaTheme="minorEastAsia" w:hAnsiTheme="minorHAnsi"/>
          <w:sz w:val="22"/>
          <w:lang w:val="en-US"/>
        </w:rPr>
      </w:pPr>
      <w:r>
        <w:fldChar w:fldCharType="begin"/>
      </w:r>
      <w:r>
        <w:instrText xml:space="preserve">HYPERLINK \l "_Toc148874410" </w:instrText>
      </w:r>
      <w:r>
        <w:fldChar w:fldCharType="separate"/>
      </w:r>
      <w:r>
        <w:rPr>
          <w:rStyle w:val="Hyperlink"/>
          <w:rFonts w:cs="Times New Roman"/>
        </w:rPr>
        <w:t>Childhood Obesity</w:t>
      </w:r>
      <w:r>
        <w:tab/>
      </w:r>
      <w:r>
        <w:fldChar w:fldCharType="begin"/>
      </w:r>
      <w:r>
        <w:instrText xml:space="preserve"> PAGEREF _Toc148874410 \h </w:instrText>
      </w:r>
      <w:r>
        <w:fldChar w:fldCharType="separate"/>
      </w:r>
      <w:r>
        <w:t>5</w:t>
      </w:r>
      <w:r>
        <w:fldChar w:fldCharType="end"/>
      </w:r>
      <w:r>
        <w:fldChar w:fldCharType="end"/>
      </w:r>
    </w:p>
    <w:p w14:paraId="00000029">
      <w:pPr>
        <w:pStyle w:val="Toc1"/>
        <w:tabs>
          <w:tab w:val="right" w:leader="dot" w:pos="9350"/>
        </w:tabs>
        <w:rPr>
          <w:rFonts w:asciiTheme="minorHAnsi" w:eastAsiaTheme="minorEastAsia" w:hAnsiTheme="minorHAnsi"/>
          <w:sz w:val="22"/>
          <w:lang w:val="en-US"/>
        </w:rPr>
      </w:pPr>
      <w:r>
        <w:fldChar w:fldCharType="begin"/>
      </w:r>
      <w:r>
        <w:instrText xml:space="preserve">HYPERLINK \l "_Toc148874411" </w:instrText>
      </w:r>
      <w:r>
        <w:fldChar w:fldCharType="separate"/>
      </w:r>
      <w:r>
        <w:rPr>
          <w:rStyle w:val="Hyperlink"/>
          <w:rFonts w:cs="Times New Roman"/>
        </w:rPr>
        <w:t>Measures to Control Obesity</w:t>
      </w:r>
      <w:r>
        <w:tab/>
      </w:r>
      <w:r>
        <w:fldChar w:fldCharType="begin"/>
      </w:r>
      <w:r>
        <w:instrText xml:space="preserve"> PAGEREF _Toc148874411 \h </w:instrText>
      </w:r>
      <w:r>
        <w:fldChar w:fldCharType="separate"/>
      </w:r>
      <w:r>
        <w:t>6</w:t>
      </w:r>
      <w:r>
        <w:fldChar w:fldCharType="end"/>
      </w:r>
      <w:r>
        <w:fldChar w:fldCharType="end"/>
      </w:r>
    </w:p>
    <w:p w14:paraId="0000002A">
      <w:pPr>
        <w:pStyle w:val="Toc1"/>
        <w:tabs>
          <w:tab w:val="right" w:leader="dot" w:pos="9350"/>
        </w:tabs>
        <w:rPr>
          <w:rFonts w:asciiTheme="minorHAnsi" w:eastAsiaTheme="minorEastAsia" w:hAnsiTheme="minorHAnsi"/>
          <w:sz w:val="22"/>
          <w:lang w:val="en-US"/>
        </w:rPr>
      </w:pPr>
      <w:r>
        <w:fldChar w:fldCharType="begin"/>
      </w:r>
      <w:r>
        <w:instrText xml:space="preserve">HYPERLINK \l "_Toc148874412" </w:instrText>
      </w:r>
      <w:r>
        <w:fldChar w:fldCharType="separate"/>
      </w:r>
      <w:r>
        <w:rPr>
          <w:rStyle w:val="Hyperlink"/>
          <w:rFonts w:cs="Times New Roman"/>
        </w:rPr>
        <w:t>Health promotion and Obesity prevention in Wales</w:t>
      </w:r>
      <w:r>
        <w:tab/>
      </w:r>
      <w:r>
        <w:fldChar w:fldCharType="begin"/>
      </w:r>
      <w:r>
        <w:instrText xml:space="preserve"> PAGEREF _Toc148874412 \h </w:instrText>
      </w:r>
      <w:r>
        <w:fldChar w:fldCharType="separate"/>
      </w:r>
      <w:r>
        <w:t>7</w:t>
      </w:r>
      <w:r>
        <w:fldChar w:fldCharType="end"/>
      </w:r>
      <w:r>
        <w:fldChar w:fldCharType="end"/>
      </w:r>
    </w:p>
    <w:p w14:paraId="0000002B">
      <w:pPr>
        <w:pStyle w:val="Toc1"/>
        <w:tabs>
          <w:tab w:val="right" w:leader="dot" w:pos="9350"/>
        </w:tabs>
        <w:rPr>
          <w:rFonts w:asciiTheme="minorHAnsi" w:eastAsiaTheme="minorEastAsia" w:hAnsiTheme="minorHAnsi"/>
          <w:sz w:val="22"/>
          <w:lang w:val="en-US"/>
        </w:rPr>
      </w:pPr>
      <w:r>
        <w:fldChar w:fldCharType="begin"/>
      </w:r>
      <w:r>
        <w:instrText xml:space="preserve">HYPERLINK \l "_Toc148874413" </w:instrText>
      </w:r>
      <w:r>
        <w:fldChar w:fldCharType="separate"/>
      </w:r>
      <w:r>
        <w:rPr>
          <w:rStyle w:val="Hyperlink"/>
          <w:rFonts w:cs="Times New Roman"/>
        </w:rPr>
        <w:t>Conclusion</w:t>
      </w:r>
      <w:r>
        <w:tab/>
      </w:r>
      <w:r>
        <w:fldChar w:fldCharType="begin"/>
      </w:r>
      <w:r>
        <w:instrText xml:space="preserve"> PAGEREF _Toc148874413 \h </w:instrText>
      </w:r>
      <w:r>
        <w:fldChar w:fldCharType="separate"/>
      </w:r>
      <w:r>
        <w:t>8</w:t>
      </w:r>
      <w:r>
        <w:fldChar w:fldCharType="end"/>
      </w:r>
      <w:r>
        <w:fldChar w:fldCharType="end"/>
      </w:r>
    </w:p>
    <w:p w14:paraId="0000002C">
      <w:pPr>
        <w:pStyle w:val="Toc1"/>
        <w:tabs>
          <w:tab w:val="right" w:leader="dot" w:pos="9350"/>
        </w:tabs>
        <w:rPr>
          <w:rFonts w:asciiTheme="minorHAnsi" w:eastAsiaTheme="minorEastAsia" w:hAnsiTheme="minorHAnsi"/>
          <w:sz w:val="22"/>
          <w:lang w:val="en-US"/>
        </w:rPr>
      </w:pPr>
      <w:r>
        <w:fldChar w:fldCharType="begin"/>
      </w:r>
      <w:r>
        <w:instrText xml:space="preserve">HYPERLINK \l "_Toc148874414" </w:instrText>
      </w:r>
      <w:r>
        <w:fldChar w:fldCharType="separate"/>
      </w:r>
      <w:r>
        <w:rPr>
          <w:rStyle w:val="Hyperlink"/>
          <w:rFonts w:cs="Times New Roman"/>
        </w:rPr>
        <w:t>References</w:t>
      </w:r>
      <w:r>
        <w:tab/>
      </w:r>
      <w:r>
        <w:fldChar w:fldCharType="begin"/>
      </w:r>
      <w:r>
        <w:instrText xml:space="preserve"> PAGEREF _Toc148874414 \h </w:instrText>
      </w:r>
      <w:r>
        <w:fldChar w:fldCharType="separate"/>
      </w:r>
      <w:r>
        <w:t>9</w:t>
      </w:r>
      <w:r>
        <w:fldChar w:fldCharType="end"/>
      </w:r>
      <w:r>
        <w:fldChar w:fldCharType="end"/>
      </w:r>
    </w:p>
    <w:p w14:paraId="0000002D">
      <w:pPr>
        <w:rPr>
          <w:rFonts w:cs="Times New Roman"/>
        </w:rPr>
      </w:pPr>
      <w:r>
        <w:fldChar w:fldCharType="end"/>
      </w:r>
    </w:p>
    <w:p w14:paraId="0000002E">
      <w:pPr>
        <w:rPr>
          <w:rFonts w:cs="Times New Roman"/>
          <w:lang w:val="en-US"/>
        </w:rPr>
      </w:pPr>
    </w:p>
    <w:p w14:paraId="0000002F">
      <w:pPr>
        <w:rPr>
          <w:rFonts w:cs="Times New Roman"/>
          <w:lang w:val="en-US"/>
        </w:rPr>
      </w:pPr>
    </w:p>
    <w:p w14:paraId="00000030">
      <w:pPr>
        <w:spacing w:line="360" w:lineRule="auto"/>
        <w:rPr>
          <w:rFonts w:cs="Times New Roman"/>
          <w:lang w:val="en-US"/>
        </w:rPr>
      </w:pPr>
    </w:p>
    <w:p w14:paraId="00000031">
      <w:pPr>
        <w:spacing w:line="360" w:lineRule="auto"/>
        <w:rPr>
          <w:rFonts w:cs="Times New Roman"/>
          <w:lang w:val="en-US"/>
        </w:rPr>
      </w:pPr>
    </w:p>
    <w:p w14:paraId="00000032">
      <w:pPr>
        <w:spacing w:line="360" w:lineRule="auto"/>
        <w:rPr>
          <w:rFonts w:cs="Times New Roman"/>
          <w:lang w:val="en-US"/>
        </w:rPr>
      </w:pPr>
    </w:p>
    <w:p w14:paraId="00000033">
      <w:pPr>
        <w:spacing w:line="360" w:lineRule="auto"/>
        <w:rPr>
          <w:rFonts w:cs="Times New Roman"/>
          <w:lang w:val="en-US"/>
        </w:rPr>
      </w:pPr>
    </w:p>
    <w:p w14:paraId="00000034">
      <w:pPr>
        <w:spacing w:line="360" w:lineRule="auto"/>
        <w:rPr>
          <w:rFonts w:cs="Times New Roman"/>
          <w:lang w:val="en-US"/>
        </w:rPr>
      </w:pPr>
    </w:p>
    <w:p w14:paraId="00000035">
      <w:pPr>
        <w:spacing w:line="360" w:lineRule="auto"/>
        <w:rPr>
          <w:rFonts w:cs="Times New Roman"/>
          <w:lang w:val="en-US"/>
        </w:rPr>
      </w:pPr>
    </w:p>
    <w:p w14:paraId="00000036">
      <w:pPr>
        <w:spacing w:line="360" w:lineRule="auto"/>
        <w:rPr>
          <w:rFonts w:cs="Times New Roman"/>
          <w:lang w:val="en-US"/>
        </w:rPr>
      </w:pPr>
    </w:p>
    <w:p w14:paraId="00000037">
      <w:pPr>
        <w:spacing w:line="360" w:lineRule="auto"/>
        <w:rPr>
          <w:rFonts w:cs="Times New Roman"/>
          <w:lang w:val="en-US"/>
        </w:rPr>
      </w:pPr>
    </w:p>
    <w:p w14:paraId="00000038">
      <w:pPr>
        <w:spacing w:line="360" w:lineRule="auto"/>
        <w:rPr>
          <w:rFonts w:cs="Times New Roman"/>
          <w:lang w:val="en-US"/>
        </w:rPr>
      </w:pPr>
    </w:p>
    <w:p w14:paraId="00000039">
      <w:pPr>
        <w:spacing w:line="360" w:lineRule="auto"/>
        <w:rPr>
          <w:rFonts w:cs="Times New Roman"/>
          <w:lang w:val="en-US"/>
        </w:rPr>
      </w:pPr>
    </w:p>
    <w:p w14:paraId="0000003A">
      <w:pPr>
        <w:pStyle w:val="Heading1"/>
        <w:spacing w:line="360" w:lineRule="auto"/>
        <w:rPr>
          <w:rFonts w:ascii="Times New Roman" w:cs="Times New Roman" w:hAnsi="Times New Roman"/>
        </w:rPr>
      </w:pPr>
      <w:bookmarkStart w:id="2" w:name="_Toc148874405"/>
      <w:r>
        <w:rPr>
          <w:rFonts w:ascii="Times New Roman" w:cs="Times New Roman" w:hAnsi="Times New Roman"/>
        </w:rPr>
        <w:t>Introduction</w:t>
      </w:r>
      <w:bookmarkEnd w:id="2"/>
    </w:p>
    <w:p w14:paraId="0000003B">
      <w:pPr>
        <w:spacing w:line="360" w:lineRule="auto"/>
        <w:rPr>
          <w:rFonts w:cs="Times New Roman"/>
          <w:sz w:val="24"/>
          <w:szCs w:val="24"/>
          <w:lang w:val="en-US"/>
        </w:rPr>
      </w:pPr>
      <w:r>
        <w:rPr>
          <w:rFonts w:cs="Times New Roman"/>
          <w:sz w:val="24"/>
          <w:szCs w:val="24"/>
        </w:rPr>
        <w:t xml:space="preserve">Obesity </w:t>
      </w:r>
      <w:r>
        <w:rPr>
          <w:rFonts w:cs="Times New Roman"/>
          <w:sz w:val="24"/>
          <w:szCs w:val="24"/>
        </w:rPr>
        <w:t>is considered a</w:t>
      </w:r>
      <w:r>
        <w:rPr>
          <w:rFonts w:cs="Times New Roman"/>
          <w:sz w:val="24"/>
          <w:szCs w:val="24"/>
        </w:rPr>
        <w:t xml:space="preserve"> major health challenge</w:t>
      </w:r>
      <w:r>
        <w:rPr>
          <w:rFonts w:cs="Times New Roman"/>
          <w:sz w:val="24"/>
          <w:szCs w:val="24"/>
        </w:rPr>
        <w:t xml:space="preserve"> to children and adults</w:t>
      </w:r>
      <w:r>
        <w:rPr>
          <w:rFonts w:cs="Times New Roman"/>
          <w:sz w:val="24"/>
          <w:szCs w:val="24"/>
        </w:rPr>
        <w:t xml:space="preserve"> </w:t>
      </w:r>
      <w:r>
        <w:rPr>
          <w:rFonts w:cs="Times New Roman"/>
          <w:sz w:val="24"/>
          <w:szCs w:val="24"/>
        </w:rPr>
        <w:t>worldwide. The prevalence of obesity, measured by body mass index (BMI), has almost doubled since 1980 across the globe (Stevens et al., 2012). Excess mortality and long-term disorders including high blood pressure and diabetes (</w:t>
      </w:r>
      <w:r>
        <w:rPr>
          <w:rFonts w:cs="Times New Roman"/>
          <w:sz w:val="24"/>
          <w:szCs w:val="24"/>
        </w:rPr>
        <w:t>Haynes, et al 2018</w:t>
      </w:r>
      <w:r>
        <w:rPr>
          <w:rFonts w:cs="Times New Roman"/>
          <w:sz w:val="24"/>
          <w:szCs w:val="24"/>
        </w:rPr>
        <w:t>), are a few of the poor health consequences of obesity. Worldwide, governments are confronting a challenge from the epidemic of obesity. The growing incidence of obesity among children and adults severely impacts health outcomes and healthcare spending. Multifaceted reasons contribute to growing obesity rates, making it difficult to find a single solution to the problem (McKinsey, 2014). The prevalence of obesity in Wales is a huge health issue. An estimated 600,000 adults</w:t>
      </w:r>
      <w:r>
        <w:rPr>
          <w:rFonts w:cs="Times New Roman"/>
          <w:sz w:val="24"/>
          <w:szCs w:val="24"/>
        </w:rPr>
        <w:t xml:space="preserve">, or about </w:t>
      </w:r>
      <w:r>
        <w:rPr>
          <w:rFonts w:cs="Times New Roman"/>
          <w:sz w:val="24"/>
          <w:szCs w:val="24"/>
        </w:rPr>
        <w:t>a quarter of the population</w:t>
      </w:r>
      <w:r>
        <w:rPr>
          <w:rFonts w:cs="Times New Roman"/>
          <w:sz w:val="24"/>
          <w:szCs w:val="24"/>
        </w:rPr>
        <w:t xml:space="preserve"> of Wales</w:t>
      </w:r>
      <w:r>
        <w:rPr>
          <w:rFonts w:cs="Times New Roman"/>
          <w:sz w:val="24"/>
          <w:szCs w:val="24"/>
        </w:rPr>
        <w:t>, are overweight or obese, while 1 in 8 children are overweight or obese</w:t>
      </w:r>
      <w:r>
        <w:rPr>
          <w:rFonts w:cs="Times New Roman"/>
          <w:sz w:val="24"/>
          <w:szCs w:val="24"/>
        </w:rPr>
        <w:t xml:space="preserve"> </w:t>
      </w:r>
      <w:r>
        <w:rPr>
          <w:rFonts w:cs="Times New Roman"/>
          <w:sz w:val="24"/>
          <w:szCs w:val="24"/>
        </w:rPr>
        <w:t>(PHW, 2019).</w:t>
      </w:r>
      <w:r>
        <w:rPr>
          <w:rFonts w:cs="Times New Roman"/>
          <w:sz w:val="24"/>
          <w:szCs w:val="24"/>
        </w:rPr>
        <w:t xml:space="preserve"> This essay explored the research articles and government Wales reports on the prevalence and prevention of overweight and obesity in Wales. The important research collected and analysed to investigate the causes, prevalence, and measures to curb the increase in obesity in Wales</w:t>
      </w:r>
      <w:r>
        <w:rPr>
          <w:rFonts w:cs="Times New Roman"/>
          <w:sz w:val="24"/>
          <w:szCs w:val="24"/>
        </w:rPr>
        <w:t>.</w:t>
      </w:r>
    </w:p>
    <w:p w14:paraId="0000003C">
      <w:pPr>
        <w:pStyle w:val="Heading2"/>
        <w:spacing w:line="360" w:lineRule="auto"/>
        <w:rPr>
          <w:rFonts w:ascii="Times New Roman" w:cs="Times New Roman" w:hAnsi="Times New Roman"/>
        </w:rPr>
      </w:pPr>
      <w:bookmarkStart w:id="3" w:name="_Toc148874406"/>
      <w:r>
        <w:rPr>
          <w:rFonts w:ascii="Times New Roman" w:cs="Times New Roman" w:hAnsi="Times New Roman"/>
        </w:rPr>
        <w:t>Research Approaches used in studies</w:t>
      </w:r>
      <w:bookmarkEnd w:id="3"/>
    </w:p>
    <w:p w14:paraId="0000003D">
      <w:pPr>
        <w:spacing w:line="360" w:lineRule="auto"/>
        <w:rPr>
          <w:rFonts w:cs="Times New Roman"/>
        </w:rPr>
      </w:pPr>
      <w:r>
        <w:rPr>
          <w:rFonts w:cs="Times New Roman"/>
        </w:rPr>
        <w:t xml:space="preserve">Complex public health initiatives provide numerous challenges, and their evaluation is frequently cited as an area of interest in the study of public health. Multiple </w:t>
      </w:r>
      <w:r>
        <w:rPr>
          <w:rFonts w:cs="Times New Roman"/>
        </w:rPr>
        <w:t xml:space="preserve">factors affect the selection of research approaches and intervention techniques to measure and control obesity. However, literature shows that analyses are difficult </w:t>
      </w:r>
      <w:r>
        <w:rPr>
          <w:rFonts w:cs="Times New Roman"/>
        </w:rPr>
        <w:t>to separate causal relationships</w:t>
      </w:r>
      <w:r>
        <w:rPr>
          <w:rFonts w:cs="Times New Roman"/>
        </w:rPr>
        <w:t xml:space="preserve"> due to interacting variables</w:t>
      </w:r>
      <w:r>
        <w:rPr>
          <w:rFonts w:cs="Times New Roman"/>
        </w:rPr>
        <w:t>, and the effects of interventions can extend beyond the realm of health, adding to the complexity (</w:t>
      </w:r>
      <w:r>
        <w:rPr>
          <w:rFonts w:cs="Times New Roman"/>
        </w:rPr>
        <w:t>Magarey et al. 2013</w:t>
      </w:r>
      <w:r>
        <w:rPr>
          <w:rFonts w:cs="Times New Roman"/>
        </w:rPr>
        <w:t xml:space="preserve">). This bolsters the valuable contribution this study may offer by giving voice to practitioners' perspectives on evaluating outcomes in Wales, a country with a strong emphasis on evidence-based public service delivery. </w:t>
      </w:r>
    </w:p>
    <w:p w14:paraId="0000003E">
      <w:pPr>
        <w:spacing w:line="360" w:lineRule="auto"/>
        <w:rPr>
          <w:rFonts w:cs="Times New Roman"/>
        </w:rPr>
      </w:pPr>
      <w:r>
        <w:rPr>
          <w:rFonts w:cs="Times New Roman"/>
        </w:rPr>
        <w:t>Randomised controlled trials (RCTs) have been held up for a long time as the 'gold standard' in evaluation practice in some areas of the evaluation literature</w:t>
      </w:r>
      <w:r>
        <w:rPr>
          <w:rFonts w:cs="Times New Roman"/>
        </w:rPr>
        <w:t xml:space="preserve"> on health practices</w:t>
      </w:r>
      <w:r>
        <w:rPr>
          <w:rFonts w:cs="Times New Roman"/>
        </w:rPr>
        <w:t xml:space="preserve">. Only sometimes, RCTs will often be impracticable for numerous technical reasons, disproportionately expensive, or time-consuming for the problem at hand, especially when dealing with complex social concerns. When randomised controlled trials are not feasible nor acceptable, alternative methods, such as </w:t>
      </w:r>
      <w:r>
        <w:rPr>
          <w:rFonts w:cs="Times New Roman"/>
        </w:rPr>
        <w:t>theory-based</w:t>
      </w:r>
      <w:r>
        <w:rPr>
          <w:rFonts w:cs="Times New Roman"/>
        </w:rPr>
        <w:t xml:space="preserve"> techniques, can provide useful and, in some cases, preferable </w:t>
      </w:r>
      <w:r>
        <w:rPr>
          <w:rFonts w:cs="Times New Roman"/>
        </w:rPr>
        <w:t>information-based</w:t>
      </w:r>
      <w:r>
        <w:rPr>
          <w:rFonts w:cs="Times New Roman"/>
        </w:rPr>
        <w:t xml:space="preserve"> perspectives</w:t>
      </w:r>
      <w:r>
        <w:rPr>
          <w:rFonts w:cs="Times New Roman"/>
        </w:rPr>
        <w:t xml:space="preserve"> (Blamey </w:t>
      </w:r>
      <w:r>
        <w:rPr>
          <w:rFonts w:cs="Times New Roman"/>
        </w:rPr>
        <w:t>and</w:t>
      </w:r>
      <w:r>
        <w:rPr>
          <w:rFonts w:cs="Times New Roman"/>
        </w:rPr>
        <w:t xml:space="preserve"> Mackenzie, 2007). Realistic assessment and </w:t>
      </w:r>
      <w:r>
        <w:rPr>
          <w:rFonts w:cs="Times New Roman"/>
        </w:rPr>
        <w:t>Theory-of-Change evaluation are two examples of theory-based techniques that do not necessitate experimental control</w:t>
      </w:r>
      <w:r>
        <w:rPr>
          <w:rFonts w:cs="Times New Roman"/>
        </w:rPr>
        <w:t xml:space="preserve"> (</w:t>
      </w:r>
      <w:r>
        <w:rPr>
          <w:rFonts w:cs="Times New Roman"/>
        </w:rPr>
        <w:t>National Institute for Health and Care Excellence, 2021</w:t>
      </w:r>
      <w:r>
        <w:rPr>
          <w:rFonts w:cs="Times New Roman"/>
        </w:rPr>
        <w:t>)</w:t>
      </w:r>
      <w:r>
        <w:rPr>
          <w:rFonts w:cs="Times New Roman"/>
        </w:rPr>
        <w:t xml:space="preserve">. Natural approaches keep tabs on the resulting changes to determine which change mechanisms and environmental factors are most effective. To figure out why it worked </w:t>
      </w:r>
      <w:r>
        <w:rPr>
          <w:rFonts w:cs="Times New Roman"/>
        </w:rPr>
        <w:t>(</w:t>
      </w:r>
      <w:r>
        <w:rPr>
          <w:rFonts w:cs="Times New Roman"/>
        </w:rPr>
        <w:t>Torti et al. 2017</w:t>
      </w:r>
      <w:r>
        <w:rPr>
          <w:rFonts w:cs="Times New Roman"/>
        </w:rPr>
        <w:t>).</w:t>
      </w:r>
      <w:r>
        <w:rPr>
          <w:rFonts w:cs="Times New Roman"/>
        </w:rPr>
        <w:t xml:space="preserve"> </w:t>
      </w:r>
      <w:r>
        <w:rPr>
          <w:rFonts w:cs="Times New Roman"/>
        </w:rPr>
        <w:t xml:space="preserve">For instance, </w:t>
      </w:r>
      <w:r>
        <w:rPr>
          <w:rFonts w:cs="Times New Roman"/>
        </w:rPr>
        <w:t>Local service boards (LS</w:t>
      </w:r>
      <w:r>
        <w:rPr>
          <w:rFonts w:cs="Times New Roman"/>
        </w:rPr>
        <w:t>B</w:t>
      </w:r>
      <w:r>
        <w:rPr>
          <w:rFonts w:cs="Times New Roman"/>
        </w:rPr>
        <w:t>s) in the United Kingdom were investigated to see how they contribute to the prevalence of childhood obesity through qualitative questioning and in-depth interviews with health service providers</w:t>
      </w:r>
      <w:r>
        <w:rPr>
          <w:rFonts w:cs="Times New Roman"/>
        </w:rPr>
        <w:t xml:space="preserve"> (</w:t>
      </w:r>
      <w:r>
        <w:rPr>
          <w:rFonts w:cs="Times New Roman"/>
        </w:rPr>
        <w:t>Robinson, et al 2020</w:t>
      </w:r>
      <w:r>
        <w:rPr>
          <w:rFonts w:cs="Times New Roman"/>
        </w:rPr>
        <w:t>)</w:t>
      </w:r>
      <w:r>
        <w:rPr>
          <w:rFonts w:cs="Times New Roman"/>
        </w:rPr>
        <w:t xml:space="preserve">. </w:t>
      </w:r>
      <w:r>
        <w:rPr>
          <w:rFonts w:cs="Times New Roman"/>
        </w:rPr>
        <w:t xml:space="preserve">Here, no fixed research method/s was used in studies on overweight and obesity prevalence in </w:t>
      </w:r>
      <w:r>
        <w:rPr>
          <w:rFonts w:cs="Times New Roman"/>
        </w:rPr>
        <w:t>t</w:t>
      </w:r>
      <w:r>
        <w:rPr>
          <w:rFonts w:cs="Times New Roman"/>
        </w:rPr>
        <w:t xml:space="preserve">he UK and Wales. </w:t>
      </w:r>
    </w:p>
    <w:p w14:paraId="0000003F">
      <w:pPr>
        <w:pStyle w:val="Heading1"/>
        <w:spacing w:line="360" w:lineRule="auto"/>
        <w:rPr>
          <w:rFonts w:ascii="Times New Roman" w:cs="Times New Roman" w:hAnsi="Times New Roman"/>
        </w:rPr>
      </w:pPr>
      <w:bookmarkStart w:id="4" w:name="_Toc148874407"/>
      <w:r>
        <w:rPr>
          <w:rFonts w:ascii="Times New Roman" w:cs="Times New Roman" w:hAnsi="Times New Roman"/>
        </w:rPr>
        <w:t>Obesity Prevalence in Wales</w:t>
      </w:r>
      <w:bookmarkEnd w:id="4"/>
    </w:p>
    <w:p w14:paraId="00000040">
      <w:pPr>
        <w:spacing w:line="360" w:lineRule="auto"/>
        <w:rPr>
          <w:rFonts w:cs="Times New Roman"/>
        </w:rPr>
      </w:pPr>
      <w:r>
        <w:rPr>
          <w:rFonts w:cs="Times New Roman"/>
        </w:rPr>
        <w:t>According t</w:t>
      </w:r>
      <w:r>
        <w:rPr>
          <w:rFonts w:cs="Times New Roman"/>
        </w:rPr>
        <w:t>o</w:t>
      </w:r>
      <w:r>
        <w:rPr>
          <w:rFonts w:cs="Times New Roman"/>
        </w:rPr>
        <w:t xml:space="preserve"> the literature reviewed for his essay, obesity is high in both children and adults in Wales and is rising with time</w:t>
      </w:r>
      <w:r>
        <w:rPr>
          <w:rFonts w:cs="Times New Roman"/>
        </w:rPr>
        <w:t xml:space="preserve"> (PHW Trust, 2018; Torti et al., 2017)</w:t>
      </w:r>
      <w:r>
        <w:rPr>
          <w:rFonts w:cs="Times New Roman"/>
        </w:rPr>
        <w:t>. According to the findings of the National Survey of Wales (2019), the prevalence of obesity and the measure of the overweight population in Wales is normally dependent on the estimat</w:t>
      </w:r>
      <w:r>
        <w:rPr>
          <w:rFonts w:cs="Times New Roman"/>
        </w:rPr>
        <w:t>e</w:t>
      </w:r>
      <w:r>
        <w:rPr>
          <w:rFonts w:cs="Times New Roman"/>
        </w:rPr>
        <w:t xml:space="preserve">s of the ratio </w:t>
      </w:r>
      <w:r>
        <w:rPr>
          <w:rFonts w:cs="Times New Roman"/>
        </w:rPr>
        <w:t>o</w:t>
      </w:r>
      <w:r>
        <w:rPr>
          <w:rFonts w:cs="Times New Roman"/>
        </w:rPr>
        <w:t>f he</w:t>
      </w:r>
      <w:r>
        <w:rPr>
          <w:rFonts w:cs="Times New Roman"/>
        </w:rPr>
        <w:t>i</w:t>
      </w:r>
      <w:r>
        <w:rPr>
          <w:rFonts w:cs="Times New Roman"/>
        </w:rPr>
        <w:t>ght and weight, or body mass index (BMI</w:t>
      </w:r>
      <w:r>
        <w:rPr>
          <w:rFonts w:cs="Times New Roman"/>
        </w:rPr>
        <w:t>)</w:t>
      </w:r>
      <w:r>
        <w:rPr>
          <w:rFonts w:cs="Times New Roman"/>
        </w:rPr>
        <w:t xml:space="preserve"> </w:t>
      </w:r>
      <w:r>
        <w:rPr>
          <w:rFonts w:cs="Times New Roman"/>
        </w:rPr>
        <w:t>o</w:t>
      </w:r>
      <w:r>
        <w:rPr>
          <w:rFonts w:cs="Times New Roman"/>
        </w:rPr>
        <w:t>n respondents' assessments of their size and weight</w:t>
      </w:r>
      <w:r>
        <w:rPr>
          <w:rFonts w:cs="Times New Roman"/>
        </w:rPr>
        <w:t xml:space="preserve">. </w:t>
      </w:r>
      <w:r>
        <w:rPr>
          <w:rFonts w:cs="Times New Roman"/>
        </w:rPr>
        <w:t xml:space="preserve">According to </w:t>
      </w:r>
      <w:r>
        <w:rPr>
          <w:rFonts w:cs="Times New Roman"/>
        </w:rPr>
        <w:t>the Nati</w:t>
      </w:r>
      <w:r>
        <w:rPr>
          <w:rFonts w:cs="Times New Roman"/>
        </w:rPr>
        <w:t>onal Survey for Wales results, 22% of adults in Wales are obese, and 60% are overweight or obese</w:t>
      </w:r>
      <w:r>
        <w:rPr>
          <w:rFonts w:cs="Times New Roman"/>
        </w:rPr>
        <w:t xml:space="preserve"> (Welsh Government, 2020a)</w:t>
      </w:r>
      <w:r>
        <w:rPr>
          <w:rFonts w:cs="Times New Roman"/>
        </w:rPr>
        <w:t xml:space="preserve">. </w:t>
      </w:r>
      <w:r>
        <w:rPr>
          <w:rFonts w:cs="Times New Roman"/>
        </w:rPr>
        <w:t xml:space="preserve">For instance, in </w:t>
      </w:r>
      <w:r>
        <w:rPr>
          <w:rFonts w:cs="Times New Roman"/>
        </w:rPr>
        <w:t xml:space="preserve">2020, 61% of adults in Wales were either overweight or obese, with 36% falling into the former category, 22% falling into the latter, and 3% falling into the latest and morbidly obese categories (Welsh Government, 2020a). </w:t>
      </w:r>
      <w:r>
        <w:rPr>
          <w:rFonts w:cs="Times New Roman"/>
        </w:rPr>
        <w:t xml:space="preserve">Similarly, a common consequence of obesity, </w:t>
      </w:r>
      <w:r>
        <w:rPr>
          <w:rFonts w:cs="Times New Roman"/>
        </w:rPr>
        <w:t xml:space="preserve">Type 2 diabetes is </w:t>
      </w:r>
      <w:r>
        <w:rPr>
          <w:rFonts w:cs="Times New Roman"/>
        </w:rPr>
        <w:t xml:space="preserve">directly </w:t>
      </w:r>
      <w:r>
        <w:rPr>
          <w:rFonts w:cs="Times New Roman"/>
        </w:rPr>
        <w:t>linked to excess fat and affects more than 7% of adult Welsh citizens. There is a significant disparity in the prevalence of obesity between the most and least poor districts, with a difference of 12% (PHW Observatory, 2019).</w:t>
      </w:r>
    </w:p>
    <w:p w14:paraId="00000041">
      <w:pPr>
        <w:pStyle w:val="Heading2"/>
        <w:spacing w:line="360" w:lineRule="auto"/>
        <w:rPr>
          <w:rFonts w:ascii="Times New Roman" w:cs="Times New Roman" w:hAnsi="Times New Roman"/>
        </w:rPr>
      </w:pPr>
      <w:bookmarkStart w:id="5" w:name="_Toc148874408"/>
      <w:r>
        <w:rPr>
          <w:rFonts w:ascii="Times New Roman" w:cs="Times New Roman" w:hAnsi="Times New Roman"/>
        </w:rPr>
        <w:t>Obesity in Adolescents</w:t>
      </w:r>
      <w:bookmarkEnd w:id="5"/>
    </w:p>
    <w:p w14:paraId="00000042">
      <w:pPr>
        <w:spacing w:line="360" w:lineRule="auto"/>
        <w:rPr>
          <w:rFonts w:cs="Times New Roman"/>
        </w:rPr>
      </w:pPr>
      <w:r>
        <w:rPr>
          <w:rFonts w:cs="Times New Roman"/>
        </w:rPr>
        <w:t>Adolescents, in particular, may benefit from adjuvant therapies such as more intense dietary therapies, medication, and bariatric surgery</w:t>
      </w:r>
      <w:r>
        <w:rPr>
          <w:rFonts w:cs="Times New Roman"/>
        </w:rPr>
        <w:t xml:space="preserve"> (</w:t>
      </w:r>
      <w:r>
        <w:rPr>
          <w:rFonts w:cs="Times New Roman"/>
        </w:rPr>
        <w:t>Phillips et al. 2011</w:t>
      </w:r>
      <w:r>
        <w:rPr>
          <w:rFonts w:cs="Times New Roman"/>
        </w:rPr>
        <w:t>)</w:t>
      </w:r>
      <w:r>
        <w:rPr>
          <w:rFonts w:cs="Times New Roman"/>
        </w:rPr>
        <w:t>, according to the research on the incidence of childhood and teenage obesity in Wales conducted by Lister et al. (2023). Obesity prevention efforts must be systemic and involve coordinated efforts across government agencies. Health inequities can be mitigated by the development and implementation of interventions that are both practical and effective in preventing childhood obesity.</w:t>
      </w:r>
    </w:p>
    <w:p w14:paraId="00000043">
      <w:pPr>
        <w:spacing w:line="360" w:lineRule="auto"/>
        <w:rPr>
          <w:rFonts w:cs="Times New Roman"/>
        </w:rPr>
      </w:pPr>
      <w:r>
        <w:rPr>
          <w:rFonts w:cs="Times New Roman"/>
        </w:rPr>
        <w:t xml:space="preserve">Analysis of Vaughan and Smith's (2016) findings reveals </w:t>
      </w:r>
      <w:r>
        <w:rPr>
          <w:rFonts w:cs="Times New Roman"/>
        </w:rPr>
        <w:t xml:space="preserve">that </w:t>
      </w:r>
      <w:r>
        <w:rPr>
          <w:rFonts w:cs="Times New Roman"/>
        </w:rPr>
        <w:t xml:space="preserve">LSBs were open to having substantive conversations on evaluation and have a good grasp of its significance and the difficulties it brings. </w:t>
      </w:r>
      <w:r>
        <w:rPr>
          <w:rFonts w:cs="Times New Roman"/>
        </w:rPr>
        <w:t xml:space="preserve">Moreover, </w:t>
      </w:r>
      <w:r>
        <w:rPr>
          <w:rFonts w:cs="Times New Roman"/>
        </w:rPr>
        <w:t xml:space="preserve">LSB </w:t>
      </w:r>
      <w:r>
        <w:rPr>
          <w:rFonts w:cs="Times New Roman"/>
        </w:rPr>
        <w:t xml:space="preserve">in Wales </w:t>
      </w:r>
      <w:r>
        <w:rPr>
          <w:rFonts w:cs="Times New Roman"/>
        </w:rPr>
        <w:t xml:space="preserve">wanted to expand their capabilities and refine their methods of evaluating results and consequences, which is another evidence of this. However, the study also found that 16 LSBs needed more resources and expertise to thoroughly assess their programmes' effects. </w:t>
      </w:r>
      <w:r>
        <w:rPr>
          <w:rFonts w:cs="Times New Roman"/>
        </w:rPr>
        <w:t xml:space="preserve">Vaughan and Smith (2016) suggested that </w:t>
      </w:r>
      <w:r>
        <w:rPr>
          <w:rFonts w:cs="Times New Roman"/>
        </w:rPr>
        <w:t xml:space="preserve">Public service boards (PSBs) must prioritise the </w:t>
      </w:r>
      <w:r>
        <w:rPr>
          <w:rFonts w:cs="Times New Roman"/>
        </w:rPr>
        <w:t>implementation of additional obligations put forward by the Wellbeing of Future Generations Act in Wales.</w:t>
      </w:r>
    </w:p>
    <w:p w14:paraId="00000044">
      <w:pPr>
        <w:pStyle w:val="Heading2"/>
        <w:spacing w:line="360" w:lineRule="auto"/>
        <w:rPr>
          <w:rFonts w:ascii="Times New Roman" w:cs="Times New Roman" w:hAnsi="Times New Roman"/>
        </w:rPr>
      </w:pPr>
      <w:bookmarkStart w:id="6" w:name="_Toc148874409"/>
      <w:r>
        <w:rPr>
          <w:rFonts w:ascii="Times New Roman" w:cs="Times New Roman" w:hAnsi="Times New Roman"/>
        </w:rPr>
        <w:t>Obesity in Adults</w:t>
      </w:r>
      <w:bookmarkEnd w:id="6"/>
    </w:p>
    <w:p w14:paraId="00000045">
      <w:pPr>
        <w:spacing w:line="360" w:lineRule="auto"/>
        <w:rPr>
          <w:rFonts w:cs="Times New Roman"/>
        </w:rPr>
      </w:pPr>
      <w:r>
        <w:rPr>
          <w:rFonts w:cs="Times New Roman"/>
        </w:rPr>
        <w:t>Public Health Wales (PHW) Observatory (2019) research found the highest prevalence of obesity in adults in age groups of 55 and 64 years compared to the population in the active working age of 20-55 years. Similarly, the report compiled by PHW (2019) revealed that in the formulation of the HWHW plan, it is found that males in Wales are more likely than females across all adult age categories to be overweight or obese (PHW, 2019). According to findings of the PHW Observatory survey report (2019), the prevalence of obesity increases sharply between the ages of 16 and 24 (37.3% reported obese) and again between 25 and 34 (61.2% reported obese) Women between the ages of 35 and 44 also see a considerable increase, from 49 percent to 59.8 percent (PHW Observatory, 2019).</w:t>
      </w:r>
    </w:p>
    <w:p w14:paraId="00000046">
      <w:pPr>
        <w:pStyle w:val="Heading2"/>
        <w:spacing w:line="360" w:lineRule="auto"/>
        <w:rPr>
          <w:rFonts w:ascii="Times New Roman" w:cs="Times New Roman" w:hAnsi="Times New Roman"/>
        </w:rPr>
      </w:pPr>
      <w:bookmarkStart w:id="7" w:name="_Toc148874410"/>
      <w:r>
        <w:rPr>
          <w:rFonts w:ascii="Times New Roman" w:cs="Times New Roman" w:hAnsi="Times New Roman"/>
        </w:rPr>
        <w:t>Childhood Obesity</w:t>
      </w:r>
      <w:bookmarkEnd w:id="7"/>
    </w:p>
    <w:p w14:paraId="00000047">
      <w:pPr>
        <w:spacing w:line="360" w:lineRule="auto"/>
        <w:rPr>
          <w:rFonts w:cs="Times New Roman"/>
        </w:rPr>
      </w:pPr>
      <w:r>
        <w:rPr>
          <w:rFonts w:cs="Times New Roman"/>
        </w:rPr>
        <w:t xml:space="preserve">In addition to contributing to adult obesity, morbidity, and mortality (Reilly </w:t>
      </w:r>
      <w:r>
        <w:rPr>
          <w:rFonts w:cs="Times New Roman"/>
        </w:rPr>
        <w:t>and</w:t>
      </w:r>
      <w:r>
        <w:rPr>
          <w:rFonts w:cs="Times New Roman"/>
        </w:rPr>
        <w:t xml:space="preserve"> Kelly, 2011), juvenile obesity is associated with several psychiatric co-morbidities (Pulgaron, 2013). According to the most recent data from the Child Measurement Programme for Wales 2014-15, 26.2% of Welsh children in the reception age group are overweight or obese, a rate substantially higher than that of children in England</w:t>
      </w:r>
      <w:r>
        <w:rPr>
          <w:rFonts w:cs="Times New Roman"/>
        </w:rPr>
        <w:t xml:space="preserve"> (PHW, 2016)</w:t>
      </w:r>
      <w:r>
        <w:rPr>
          <w:rFonts w:cs="Times New Roman"/>
        </w:rPr>
        <w:t>. The frequency of childhood obesity has increased within the previous three decades (</w:t>
      </w:r>
      <w:r>
        <w:rPr>
          <w:rFonts w:cs="Times New Roman"/>
        </w:rPr>
        <w:t>PHW, 2016</w:t>
      </w:r>
      <w:r>
        <w:rPr>
          <w:rFonts w:cs="Times New Roman"/>
        </w:rPr>
        <w:t>). The prevalence of childhood obesity in Wales, UK has reached 12% among children aged 5 and older (</w:t>
      </w:r>
      <w:r>
        <w:rPr>
          <w:rFonts w:cs="Times New Roman"/>
        </w:rPr>
        <w:t>McHale, et al 2020</w:t>
      </w:r>
      <w:r>
        <w:rPr>
          <w:rFonts w:cs="Times New Roman"/>
        </w:rPr>
        <w:t xml:space="preserve">). The health care system, the economy, and society suffer significant costs due to obesity. The majority of the unfavourable health effects of childhood obesity are shown in adulthood. </w:t>
      </w:r>
      <w:r>
        <w:rPr>
          <w:rFonts w:cs="Times New Roman"/>
        </w:rPr>
        <w:t xml:space="preserve">Simmonds et al. (2016)  research argued that overweight children have five times more probability of becoming overweight in adulthood later on. </w:t>
      </w:r>
    </w:p>
    <w:p w14:paraId="00000048">
      <w:pPr>
        <w:spacing w:line="360" w:lineRule="auto"/>
        <w:rPr>
          <w:rFonts w:cs="Times New Roman"/>
        </w:rPr>
      </w:pPr>
      <w:r>
        <w:rPr>
          <w:rFonts w:cs="Times New Roman"/>
        </w:rPr>
        <w:t xml:space="preserve">In their study, Beyon et al. (2020) </w:t>
      </w:r>
      <w:r>
        <w:rPr>
          <w:rFonts w:cs="Times New Roman"/>
        </w:rPr>
        <w:t>asserted that e</w:t>
      </w:r>
      <w:r>
        <w:rPr>
          <w:rFonts w:cs="Times New Roman"/>
        </w:rPr>
        <w:t xml:space="preserve">ven after controlling for poverty, a tiny but statistically significant correlation was identified between the proportion of land available and the prevalence of childhood obesity. </w:t>
      </w:r>
      <w:r>
        <w:rPr>
          <w:rFonts w:cs="Times New Roman"/>
        </w:rPr>
        <w:t>Beyon et al. (2020) study further argued that t</w:t>
      </w:r>
      <w:r>
        <w:rPr>
          <w:rFonts w:cs="Times New Roman"/>
        </w:rPr>
        <w:t>here were no other risk factors for childhood obesity in the general population. Th</w:t>
      </w:r>
      <w:r>
        <w:rPr>
          <w:rFonts w:cs="Times New Roman"/>
        </w:rPr>
        <w:t xml:space="preserve">is </w:t>
      </w:r>
      <w:r>
        <w:rPr>
          <w:rFonts w:cs="Times New Roman"/>
        </w:rPr>
        <w:t xml:space="preserve">current study shows that risk factors like fast food outlet density </w:t>
      </w:r>
      <w:r>
        <w:rPr>
          <w:rFonts w:cs="Times New Roman"/>
        </w:rPr>
        <w:t xml:space="preserve">and absence of play areas and green spaces are major contributors to childhood obesity in the Wales population. </w:t>
      </w:r>
    </w:p>
    <w:p w14:paraId="00000049">
      <w:pPr>
        <w:pStyle w:val="Heading1"/>
        <w:spacing w:line="360" w:lineRule="auto"/>
        <w:rPr>
          <w:rFonts w:ascii="Times New Roman" w:cs="Times New Roman" w:hAnsi="Times New Roman"/>
        </w:rPr>
      </w:pPr>
      <w:bookmarkStart w:id="8" w:name="_Toc148874411"/>
      <w:r>
        <w:rPr>
          <w:rFonts w:ascii="Times New Roman" w:cs="Times New Roman" w:hAnsi="Times New Roman"/>
        </w:rPr>
        <w:t>Measures to Control Obesity</w:t>
      </w:r>
      <w:bookmarkEnd w:id="8"/>
    </w:p>
    <w:p w14:paraId="0000004A">
      <w:pPr>
        <w:spacing w:line="360" w:lineRule="auto"/>
        <w:rPr>
          <w:rFonts w:cs="Times New Roman"/>
        </w:rPr>
      </w:pPr>
      <w:r>
        <w:rPr>
          <w:rFonts w:cs="Times New Roman"/>
        </w:rPr>
        <w:t xml:space="preserve">According to Hales et al. (2012), studies on the economic burden of diseases provide information about the severity of the problem </w:t>
      </w:r>
      <w:r>
        <w:rPr>
          <w:rFonts w:cs="Times New Roman"/>
        </w:rPr>
        <w:t xml:space="preserve">due to the high prevalence of overweight population trends. </w:t>
      </w:r>
      <w:r>
        <w:rPr>
          <w:rFonts w:cs="Times New Roman"/>
        </w:rPr>
        <w:t>Studies focusing on the potential cost savings from preventative measures may also misrepresent the case for public health</w:t>
      </w:r>
      <w:r>
        <w:rPr>
          <w:rFonts w:cs="Times New Roman"/>
        </w:rPr>
        <w:t xml:space="preserve"> (</w:t>
      </w:r>
      <w:r>
        <w:rPr>
          <w:rFonts w:cs="Times New Roman"/>
        </w:rPr>
        <w:t>Lister et al., 2023</w:t>
      </w:r>
      <w:r>
        <w:rPr>
          <w:rFonts w:cs="Times New Roman"/>
        </w:rPr>
        <w:t>)</w:t>
      </w:r>
      <w:r>
        <w:rPr>
          <w:rFonts w:cs="Times New Roman"/>
        </w:rPr>
        <w:t xml:space="preserve">. </w:t>
      </w:r>
      <w:r>
        <w:rPr>
          <w:rFonts w:cs="Times New Roman"/>
        </w:rPr>
        <w:t>These studies suggested that s</w:t>
      </w:r>
      <w:r>
        <w:rPr>
          <w:rFonts w:cs="Times New Roman"/>
        </w:rPr>
        <w:t xml:space="preserve">pending on prevention needs to be deliberate, and deliberate expenditure is necessary. The economics part is to show that helping people make lifestyle changes can be done affordably so that </w:t>
      </w:r>
      <w:r>
        <w:rPr>
          <w:rFonts w:cs="Times New Roman"/>
        </w:rPr>
        <w:t>one</w:t>
      </w:r>
      <w:r>
        <w:rPr>
          <w:rFonts w:cs="Times New Roman"/>
        </w:rPr>
        <w:t xml:space="preserve"> can reduce their risk of illness and premature death due to preventable causes</w:t>
      </w:r>
      <w:r>
        <w:rPr>
          <w:rFonts w:cs="Times New Roman"/>
        </w:rPr>
        <w:t xml:space="preserve"> (</w:t>
      </w:r>
      <w:r>
        <w:rPr>
          <w:rFonts w:cs="Times New Roman"/>
        </w:rPr>
        <w:t>PHW Observatory, 2019</w:t>
      </w:r>
      <w:r>
        <w:rPr>
          <w:rFonts w:cs="Times New Roman"/>
        </w:rPr>
        <w:t>)</w:t>
      </w:r>
      <w:r>
        <w:rPr>
          <w:rFonts w:cs="Times New Roman"/>
        </w:rPr>
        <w:t xml:space="preserve">. </w:t>
      </w:r>
      <w:r>
        <w:rPr>
          <w:rFonts w:cs="Times New Roman"/>
        </w:rPr>
        <w:t xml:space="preserve">Similarly, </w:t>
      </w:r>
      <w:r>
        <w:rPr>
          <w:rFonts w:cs="Times New Roman"/>
        </w:rPr>
        <w:t xml:space="preserve">Haynes,  et al </w:t>
      </w:r>
      <w:r>
        <w:rPr>
          <w:rFonts w:cs="Times New Roman"/>
        </w:rPr>
        <w:t>(</w:t>
      </w:r>
      <w:r>
        <w:rPr>
          <w:rFonts w:cs="Times New Roman"/>
        </w:rPr>
        <w:t>2018</w:t>
      </w:r>
      <w:r>
        <w:rPr>
          <w:rFonts w:cs="Times New Roman"/>
        </w:rPr>
        <w:t>) suggested that by u</w:t>
      </w:r>
      <w:r>
        <w:rPr>
          <w:rFonts w:cs="Times New Roman"/>
        </w:rPr>
        <w:t xml:space="preserve">sing established methods and </w:t>
      </w:r>
      <w:r>
        <w:rPr>
          <w:rFonts w:cs="Times New Roman"/>
        </w:rPr>
        <w:t>decision-making</w:t>
      </w:r>
      <w:r>
        <w:rPr>
          <w:rFonts w:cs="Times New Roman"/>
        </w:rPr>
        <w:t xml:space="preserve"> criteria, like those promoted by NICE, there is mounting evidence that preventative programmes represent value for money.</w:t>
      </w:r>
    </w:p>
    <w:p w14:paraId="0000004B">
      <w:pPr>
        <w:spacing w:line="360" w:lineRule="auto"/>
        <w:rPr>
          <w:rFonts w:cs="Times New Roman"/>
        </w:rPr>
      </w:pPr>
      <w:r>
        <w:rPr>
          <w:rFonts w:cs="Times New Roman"/>
        </w:rPr>
        <w:t>Obesity is a significant risk factor for hospitalisation, intensive care admission, and mortality following exposure to COVID-19 (</w:t>
      </w:r>
      <w:r>
        <w:rPr>
          <w:rFonts w:cs="Times New Roman"/>
        </w:rPr>
        <w:t>Lister et al., 2023</w:t>
      </w:r>
      <w:r>
        <w:rPr>
          <w:rFonts w:cs="Times New Roman"/>
        </w:rPr>
        <w:t xml:space="preserve">). The public and primary care providers have been affected in various ways by COVID-19. Proactive visible and objective weight measurements have become less possible as the number of in-person consultations has decreased, and primary and community care practitioners have increased their use of distant technology. Aligning with current NICE publications on overweight and obesity, the </w:t>
      </w:r>
      <w:r>
        <w:rPr>
          <w:rFonts w:cs="Times New Roman"/>
          <w:lang w:eastAsia="en-GB"/>
        </w:rPr>
        <w:t>All-Wales Weight</w:t>
      </w:r>
      <w:r>
        <w:rPr>
          <w:rFonts w:cs="Times New Roman"/>
          <w:lang w:eastAsia="en-GB"/>
        </w:rPr>
        <w:t xml:space="preserve"> Management Pathway (</w:t>
      </w:r>
      <w:r>
        <w:rPr>
          <w:rFonts w:cs="Times New Roman"/>
        </w:rPr>
        <w:t xml:space="preserve">AWWMP) </w:t>
      </w:r>
      <w:r>
        <w:rPr>
          <w:rFonts w:cs="Times New Roman"/>
        </w:rPr>
        <w:t xml:space="preserve">initiative caters to managing obesity in </w:t>
      </w:r>
      <w:r>
        <w:rPr>
          <w:rFonts w:cs="Times New Roman"/>
        </w:rPr>
        <w:t>adults</w:t>
      </w:r>
      <w:r>
        <w:rPr>
          <w:rFonts w:cs="Times New Roman"/>
        </w:rPr>
        <w:t xml:space="preserve">. It includes an early intervention to the </w:t>
      </w:r>
      <w:r>
        <w:rPr>
          <w:rFonts w:cs="Times New Roman"/>
        </w:rPr>
        <w:t xml:space="preserve">inclusion of </w:t>
      </w:r>
      <w:r>
        <w:rPr>
          <w:rFonts w:cs="Times New Roman"/>
        </w:rPr>
        <w:t xml:space="preserve">specialist intervention (Welsh Government, 2021). The </w:t>
      </w:r>
      <w:r>
        <w:rPr>
          <w:rFonts w:cs="Times New Roman"/>
        </w:rPr>
        <w:t xml:space="preserve">AWWMP initiative </w:t>
      </w:r>
      <w:r>
        <w:rPr>
          <w:rFonts w:cs="Times New Roman"/>
        </w:rPr>
        <w:t xml:space="preserve">acknowledges that </w:t>
      </w:r>
      <w:r>
        <w:rPr>
          <w:rFonts w:cs="Times New Roman"/>
        </w:rPr>
        <w:t xml:space="preserve">patients seeking assistance for health and wellness issues should contact </w:t>
      </w:r>
      <w:r>
        <w:rPr>
          <w:rFonts w:cs="Times New Roman"/>
        </w:rPr>
        <w:t>community care providers</w:t>
      </w:r>
      <w:r>
        <w:rPr>
          <w:rFonts w:cs="Times New Roman"/>
        </w:rPr>
        <w:t xml:space="preserve"> and primary health workers</w:t>
      </w:r>
      <w:r>
        <w:rPr>
          <w:rFonts w:cs="Times New Roman"/>
        </w:rPr>
        <w:t xml:space="preserve">. </w:t>
      </w:r>
      <w:r>
        <w:rPr>
          <w:rFonts w:cs="Times New Roman"/>
        </w:rPr>
        <w:t xml:space="preserve">Trained medical professionals can </w:t>
      </w:r>
      <w:r>
        <w:rPr>
          <w:rFonts w:cs="Times New Roman"/>
        </w:rPr>
        <w:t>recognise that obesity has multiple causes and that people's health-related behaviours are just one of them</w:t>
      </w:r>
      <w:r>
        <w:rPr>
          <w:rFonts w:cs="Times New Roman"/>
        </w:rPr>
        <w:t xml:space="preserve"> (Welsh Government, 2021)</w:t>
      </w:r>
      <w:r>
        <w:rPr>
          <w:rFonts w:cs="Times New Roman"/>
        </w:rPr>
        <w:t>.</w:t>
      </w:r>
    </w:p>
    <w:p w14:paraId="0000004C">
      <w:pPr>
        <w:pStyle w:val="Heading1"/>
        <w:spacing w:line="360" w:lineRule="auto"/>
        <w:rPr>
          <w:rFonts w:ascii="Times New Roman" w:cs="Times New Roman" w:hAnsi="Times New Roman"/>
        </w:rPr>
      </w:pPr>
      <w:bookmarkStart w:id="9" w:name="_Toc148874412"/>
      <w:r>
        <w:rPr>
          <w:rFonts w:ascii="Times New Roman" w:cs="Times New Roman" w:hAnsi="Times New Roman"/>
        </w:rPr>
        <w:t>Health promotion and Obesity prevention in Wales</w:t>
      </w:r>
      <w:bookmarkEnd w:id="9"/>
    </w:p>
    <w:p w14:paraId="0000004D">
      <w:pPr>
        <w:spacing w:line="360" w:lineRule="auto"/>
        <w:rPr>
          <w:rFonts w:cs="Times New Roman"/>
          <w:lang w:eastAsia="en-GB"/>
        </w:rPr>
      </w:pPr>
      <w:r>
        <w:rPr>
          <w:rFonts w:cs="Times New Roman"/>
          <w:lang w:eastAsia="en-GB"/>
        </w:rPr>
        <w:t>When addressing the issue of combating obesity both in the present and the future, primary and community care plays a pivotal role. Notably, 90% of NHS interactions occur within the realm of primary care on an annual basis (Hobbs et al., 2016). In 2019–20, approximately 76% of the Welsh population consulted their primary care physicians at least once in the preceding year (Welsh Government, 2021b). As such, primary care serves as a critical environment for identifying individuals at an elevated risk of developing overweight and obesity through regular touch</w:t>
      </w:r>
      <w:r>
        <w:rPr>
          <w:rFonts w:cs="Times New Roman"/>
          <w:lang w:eastAsia="en-GB"/>
        </w:rPr>
        <w:t xml:space="preserve"> </w:t>
      </w:r>
      <w:r>
        <w:rPr>
          <w:rFonts w:cs="Times New Roman"/>
          <w:lang w:eastAsia="en-GB"/>
        </w:rPr>
        <w:t xml:space="preserve">points </w:t>
      </w:r>
      <w:r>
        <w:rPr>
          <w:rFonts w:cs="Times New Roman"/>
          <w:lang w:eastAsia="en-GB"/>
        </w:rPr>
        <w:t>(</w:t>
      </w:r>
      <w:r>
        <w:rPr>
          <w:rFonts w:cs="Times New Roman"/>
          <w:lang w:eastAsia="en-GB"/>
        </w:rPr>
        <w:t>Hale et al. 2012</w:t>
      </w:r>
      <w:r>
        <w:rPr>
          <w:rFonts w:cs="Times New Roman"/>
          <w:lang w:eastAsia="en-GB"/>
        </w:rPr>
        <w:t xml:space="preserve">). The AWWMP </w:t>
      </w:r>
      <w:r>
        <w:rPr>
          <w:rFonts w:cs="Times New Roman"/>
          <w:lang w:eastAsia="en-GB"/>
        </w:rPr>
        <w:t>includ</w:t>
      </w:r>
      <w:r>
        <w:rPr>
          <w:rFonts w:cs="Times New Roman"/>
          <w:lang w:eastAsia="en-GB"/>
        </w:rPr>
        <w:t xml:space="preserve">es these touch points </w:t>
      </w:r>
      <w:r>
        <w:rPr>
          <w:rFonts w:cs="Times New Roman"/>
          <w:lang w:eastAsia="en-GB"/>
        </w:rPr>
        <w:t xml:space="preserve">as medication reviews, long-term condition clinics, and </w:t>
      </w:r>
      <w:r>
        <w:rPr>
          <w:rFonts w:cs="Times New Roman"/>
          <w:lang w:eastAsia="en-GB"/>
        </w:rPr>
        <w:t>healthcare</w:t>
      </w:r>
      <w:r>
        <w:rPr>
          <w:rFonts w:cs="Times New Roman"/>
          <w:lang w:eastAsia="en-GB"/>
        </w:rPr>
        <w:t xml:space="preserve"> interventions</w:t>
      </w:r>
      <w:r>
        <w:rPr>
          <w:rFonts w:cs="Times New Roman"/>
          <w:lang w:eastAsia="en-GB"/>
        </w:rPr>
        <w:t xml:space="preserve"> for adults and children</w:t>
      </w:r>
      <w:r>
        <w:rPr>
          <w:rFonts w:cs="Times New Roman"/>
          <w:lang w:eastAsia="en-GB"/>
        </w:rPr>
        <w:t>.</w:t>
      </w:r>
    </w:p>
    <w:p w14:paraId="0000004E">
      <w:pPr>
        <w:spacing w:line="360" w:lineRule="auto"/>
        <w:rPr>
          <w:rFonts w:cs="Times New Roman"/>
          <w:lang w:eastAsia="en-GB"/>
        </w:rPr>
      </w:pPr>
      <w:r>
        <w:rPr>
          <w:rFonts w:cs="Times New Roman"/>
          <w:lang w:eastAsia="en-GB"/>
        </w:rPr>
        <w:t xml:space="preserve">The (AWWMP) (Welsh Government, 2021a) recognises </w:t>
      </w:r>
      <w:r>
        <w:rPr>
          <w:rFonts w:cs="Times New Roman"/>
          <w:lang w:eastAsia="en-GB"/>
        </w:rPr>
        <w:t xml:space="preserve">that </w:t>
      </w:r>
      <w:r>
        <w:rPr>
          <w:rFonts w:cs="Times New Roman"/>
          <w:lang w:eastAsia="en-GB"/>
        </w:rPr>
        <w:t xml:space="preserve">it is </w:t>
      </w:r>
      <w:r>
        <w:rPr>
          <w:rFonts w:cs="Times New Roman"/>
          <w:lang w:eastAsia="en-GB"/>
        </w:rPr>
        <w:t xml:space="preserve">more </w:t>
      </w:r>
      <w:r>
        <w:rPr>
          <w:rFonts w:cs="Times New Roman"/>
          <w:lang w:eastAsia="en-GB"/>
        </w:rPr>
        <w:t xml:space="preserve">likely only inclusive of some adults needing weight management support. Younger adults, particularly men, tend to engage less frequently with primary and community care, potentially requiring more opportunities to access weight management assistance (Welsh Government, 2020c). </w:t>
      </w:r>
      <w:r>
        <w:rPr>
          <w:rFonts w:cs="Times New Roman"/>
          <w:lang w:eastAsia="en-GB"/>
        </w:rPr>
        <w:t>Government of Wales reports (2020, 2021) also persisted in e</w:t>
      </w:r>
      <w:r>
        <w:rPr>
          <w:rFonts w:cs="Times New Roman"/>
          <w:lang w:eastAsia="en-GB"/>
        </w:rPr>
        <w:t>xploring options beyond traditional healthcare institutions, such as educational institutions and workplaces, and promoting self-referral could serve as potential solutions to address this challenge.</w:t>
      </w:r>
    </w:p>
    <w:p w14:paraId="0000004F">
      <w:pPr>
        <w:spacing w:line="360" w:lineRule="auto"/>
        <w:rPr>
          <w:rFonts w:cs="Times New Roman"/>
        </w:rPr>
      </w:pPr>
      <w:r>
        <w:rPr>
          <w:rFonts w:cs="Times New Roman"/>
          <w:lang w:eastAsia="en-GB"/>
        </w:rPr>
        <w:t xml:space="preserve">The Public Health (Wales) Act 2017 has mandated the creation of this strategy, which will foster innovative approaches and build upon existing best practices. </w:t>
      </w:r>
      <w:r>
        <w:rPr>
          <w:rFonts w:cs="Times New Roman"/>
          <w:lang w:eastAsia="en-GB"/>
        </w:rPr>
        <w:t xml:space="preserve">Wales government's </w:t>
      </w:r>
      <w:r>
        <w:rPr>
          <w:rFonts w:cs="Times New Roman"/>
          <w:lang w:eastAsia="en-GB"/>
        </w:rPr>
        <w:t>commitment is to maintain a sustained, long-term emphasis on prevention, early intervention, and supporting those in need.</w:t>
      </w:r>
      <w:r>
        <w:rPr>
          <w:rFonts w:cs="Times New Roman"/>
        </w:rPr>
        <w:t xml:space="preserve"> </w:t>
      </w:r>
      <w:r>
        <w:rPr>
          <w:rFonts w:cs="Times New Roman"/>
          <w:lang w:eastAsia="en-GB"/>
        </w:rPr>
        <w:t>This strategy represents a significant outcome outlined in "A Healthier Wales: our Plan for Health and Social Care," articulates the vision for healthcare and social services and establishes our ten national design principles</w:t>
      </w:r>
      <w:r>
        <w:rPr>
          <w:rFonts w:cs="Times New Roman"/>
          <w:lang w:eastAsia="en-GB"/>
        </w:rPr>
        <w:t xml:space="preserve"> (PHW Trust, 2019)</w:t>
      </w:r>
      <w:r>
        <w:rPr>
          <w:rFonts w:cs="Times New Roman"/>
          <w:lang w:eastAsia="en-GB"/>
        </w:rPr>
        <w:t>. By adhering to these principles, we will ensure the implementation of a comprehensive approach involving various partners. Through this strategy, we will establish a 'wellness' system that proactively addresses health requirements, prevents illness, and mitigates the consequences of poor health and disparities.</w:t>
      </w:r>
      <w:r>
        <w:rPr>
          <w:rFonts w:cs="Times New Roman"/>
          <w:lang w:eastAsia="en-GB"/>
        </w:rPr>
        <w:t xml:space="preserve"> </w:t>
      </w:r>
      <w:r>
        <w:rPr>
          <w:rFonts w:cs="Times New Roman"/>
        </w:rPr>
        <w:t xml:space="preserve">To attain the objectives outlined in this strategy by 2030, we will actively promote collaborative efforts across various government departments and partnerships. </w:t>
      </w:r>
      <w:r>
        <w:rPr>
          <w:rFonts w:cs="Times New Roman"/>
        </w:rPr>
        <w:t>Wales Government's (2021)</w:t>
      </w:r>
      <w:r>
        <w:rPr>
          <w:rFonts w:cs="Times New Roman"/>
        </w:rPr>
        <w:t xml:space="preserve"> approach will be rooted in the principles of the Future Generations Act, which emphasises long-term planning, integration, engagement, cooperation, and preventive measures as fundamental components of our actions.</w:t>
      </w:r>
    </w:p>
    <w:p w14:paraId="00000050">
      <w:pPr>
        <w:spacing w:line="360" w:lineRule="auto"/>
        <w:rPr>
          <w:rFonts w:cs="Times New Roman"/>
        </w:rPr>
      </w:pPr>
      <w:r>
        <w:rPr>
          <w:rFonts w:cs="Times New Roman"/>
        </w:rPr>
        <w:t>Since the roots of the obesity pandemic have become so ingrained in the social, environmental, and governmental fabric, the fact that it did not spread like wildfire across countries has made it even more challenging to eradicate. But the fight against obesity, primarily via prevention, is slowly gaining steam. Real progress, however, can only be made when there is a concerted effort to effect change on all levels of society, from the federal and state levels down through the local, regional, and even personal stories. Langford et al. (2015) depict that high levels of approval were found in process assessments with both instructors and students. However, implementation fidelity varied greatly between trials. Though essential to the HPS method, families' participation was cited as particularly difficult. Interventions were most effective when they were adapted to meet the specific needs of each school, when they were in line with the institution's overarching goals when they were created in collaboration with faculty to foster a sense of ownership, and when they included regular opportunities for training, support, and communication. Low priority was given to health efforts due to the concentration on academic topics and a need for more institutional support.</w:t>
      </w:r>
      <w:bookmarkStart w:id="10" w:name="_GoBack"/>
      <w:bookmarkEnd w:id="10"/>
    </w:p>
    <w:p w14:paraId="00000051">
      <w:pPr>
        <w:pStyle w:val="Heading1"/>
        <w:spacing w:line="360" w:lineRule="auto"/>
        <w:rPr>
          <w:rFonts w:ascii="Times New Roman" w:cs="Times New Roman" w:hAnsi="Times New Roman"/>
        </w:rPr>
      </w:pPr>
      <w:bookmarkStart w:id="11" w:name="_Toc148874413"/>
      <w:r>
        <w:rPr>
          <w:rFonts w:ascii="Times New Roman" w:cs="Times New Roman" w:hAnsi="Times New Roman"/>
        </w:rPr>
        <w:t>Conclusion</w:t>
      </w:r>
      <w:bookmarkEnd w:id="11"/>
    </w:p>
    <w:p w14:paraId="00000052">
      <w:pPr>
        <w:spacing w:line="360" w:lineRule="auto"/>
        <w:rPr>
          <w:rFonts w:cs="Times New Roman"/>
        </w:rPr>
      </w:pPr>
      <w:r>
        <w:rPr>
          <w:rFonts w:cs="Times New Roman"/>
        </w:rPr>
        <w:t xml:space="preserve">In conclusion, they are achieving substantial systemic obesity reduction in Wales population. Especially in children, it requires implementing numerous small-scale process adjustments by leaders and teams operating within the system. This approach enables partners to identify local strengths, opportunities, and the levers available within the system to instigate change. </w:t>
      </w:r>
      <w:r>
        <w:rPr>
          <w:rFonts w:cs="Times New Roman"/>
          <w:lang w:eastAsia="en-GB"/>
        </w:rPr>
        <w:t>They are combining nationally delivered initiatives with a variety of community-based strategies. The evaluation of programs will be ongoing and guided by continuous improvement principles. Incorporating health economics and broader public service savings will contribute to an evidence-based approach to identifying cost-effective measures. This will involve constant engagement with key sectors and the public, including children, young people, and families, to assess progress and respond openly and transparently to their views. However, funding partners must prioritise and focus local resources to ensure that investments lead to sustainable outcomes. Therefore, success in obesity reduction includes optimising existing programs and policies to support effective implementation. Moreover, the Wales government should strongly emphasise engagement and collaboration to ensure that all voices are heard and trust is built.</w:t>
      </w:r>
    </w:p>
    <w:p w14:paraId="00000053">
      <w:pPr>
        <w:spacing w:line="360" w:lineRule="auto"/>
        <w:rPr>
          <w:rFonts w:cs="Times New Roman"/>
        </w:rPr>
      </w:pPr>
    </w:p>
    <w:p w14:paraId="00000054">
      <w:pPr>
        <w:spacing w:line="360" w:lineRule="auto"/>
        <w:rPr>
          <w:rFonts w:cs="Times New Roman"/>
        </w:rPr>
      </w:pPr>
    </w:p>
    <w:p w14:paraId="00000055">
      <w:pPr>
        <w:spacing w:line="360" w:lineRule="auto"/>
        <w:rPr>
          <w:rFonts w:cs="Times New Roman"/>
        </w:rPr>
      </w:pPr>
    </w:p>
    <w:p w14:paraId="00000056">
      <w:pPr>
        <w:spacing w:line="360" w:lineRule="auto"/>
        <w:rPr>
          <w:rFonts w:cs="Times New Roman"/>
        </w:rPr>
      </w:pPr>
    </w:p>
    <w:p w14:paraId="00000057">
      <w:pPr>
        <w:spacing w:line="360" w:lineRule="auto"/>
        <w:rPr>
          <w:rFonts w:cs="Times New Roman"/>
        </w:rPr>
      </w:pPr>
    </w:p>
    <w:p w14:paraId="00000058">
      <w:pPr>
        <w:spacing w:line="360" w:lineRule="auto"/>
        <w:rPr>
          <w:rFonts w:cs="Times New Roman"/>
        </w:rPr>
      </w:pPr>
    </w:p>
    <w:p w14:paraId="00000059">
      <w:pPr>
        <w:spacing w:line="360" w:lineRule="auto"/>
        <w:rPr>
          <w:rFonts w:cs="Times New Roman"/>
        </w:rPr>
      </w:pPr>
    </w:p>
    <w:p w14:paraId="0000005A">
      <w:pPr>
        <w:spacing w:line="360" w:lineRule="auto"/>
        <w:rPr>
          <w:rFonts w:cs="Times New Roman"/>
        </w:rPr>
      </w:pPr>
    </w:p>
    <w:p w14:paraId="0000005B">
      <w:pPr>
        <w:spacing w:line="360" w:lineRule="auto"/>
        <w:rPr>
          <w:rFonts w:cs="Times New Roman"/>
        </w:rPr>
      </w:pPr>
    </w:p>
    <w:p w14:paraId="0000005C">
      <w:pPr>
        <w:pStyle w:val="Heading1"/>
        <w:spacing w:line="360" w:lineRule="auto"/>
        <w:rPr>
          <w:rFonts w:ascii="Times New Roman" w:cs="Times New Roman" w:hAnsi="Times New Roman"/>
        </w:rPr>
      </w:pPr>
      <w:bookmarkStart w:id="12" w:name="_Toc148874414"/>
      <w:r>
        <w:rPr>
          <w:rFonts w:ascii="Times New Roman" w:cs="Times New Roman" w:hAnsi="Times New Roman"/>
        </w:rPr>
        <w:t>References</w:t>
      </w:r>
      <w:bookmarkEnd w:id="12"/>
    </w:p>
    <w:p w14:paraId="0000005D">
      <w:pPr>
        <w:spacing w:line="360" w:lineRule="auto"/>
        <w:ind w:left="720" w:hanging="720"/>
        <w:rPr>
          <w:rFonts w:cs="Times New Roman"/>
        </w:rPr>
      </w:pPr>
      <w:r>
        <w:rPr>
          <w:rFonts w:cs="Times New Roman"/>
        </w:rPr>
        <w:t>Beynon, C. (2023). Association between children living with obesity and Mental Health problems: A data analysis of the Welsh Health Survey, UK. </w:t>
      </w:r>
      <w:r>
        <w:rPr>
          <w:rFonts w:cs="Times New Roman"/>
          <w:i/>
          <w:iCs/>
        </w:rPr>
        <w:t>BMC Public Health</w:t>
      </w:r>
      <w:r>
        <w:rPr>
          <w:rFonts w:cs="Times New Roman"/>
        </w:rPr>
        <w:t>, 23.</w:t>
      </w:r>
    </w:p>
    <w:p w14:paraId="0000005E">
      <w:pPr>
        <w:spacing w:line="360" w:lineRule="auto"/>
        <w:ind w:left="720" w:hanging="720"/>
        <w:rPr>
          <w:rFonts w:cs="Times New Roman"/>
        </w:rPr>
      </w:pPr>
      <w:r>
        <w:rPr>
          <w:rFonts w:cs="Times New Roman"/>
        </w:rPr>
        <w:t xml:space="preserve">Hale, J., Phillips, C.J. </w:t>
      </w:r>
      <w:r>
        <w:rPr>
          <w:rFonts w:cs="Times New Roman"/>
        </w:rPr>
        <w:t>and</w:t>
      </w:r>
      <w:r>
        <w:rPr>
          <w:rFonts w:cs="Times New Roman"/>
        </w:rPr>
        <w:t xml:space="preserve"> Jewell, T. </w:t>
      </w:r>
      <w:r>
        <w:rPr>
          <w:rFonts w:cs="Times New Roman"/>
        </w:rPr>
        <w:t>(2012). </w:t>
      </w:r>
      <w:r>
        <w:rPr>
          <w:rFonts w:cs="Times New Roman"/>
        </w:rPr>
        <w:t>Making the economic case for prevention – a view from Wales. </w:t>
      </w:r>
      <w:r>
        <w:rPr>
          <w:rFonts w:cs="Times New Roman"/>
          <w:i/>
          <w:iCs/>
        </w:rPr>
        <w:t>BMC Public Health</w:t>
      </w:r>
      <w:r>
        <w:rPr>
          <w:rFonts w:cs="Times New Roman"/>
        </w:rPr>
        <w:t> 12, 460</w:t>
      </w:r>
      <w:r>
        <w:rPr>
          <w:rFonts w:cs="Times New Roman"/>
        </w:rPr>
        <w:t>.</w:t>
      </w:r>
    </w:p>
    <w:p w14:paraId="0000005F">
      <w:pPr>
        <w:spacing w:line="360" w:lineRule="auto"/>
        <w:ind w:left="720" w:hanging="720"/>
        <w:rPr>
          <w:rFonts w:cs="Times New Roman"/>
        </w:rPr>
      </w:pPr>
      <w:r>
        <w:rPr>
          <w:rFonts w:cs="Times New Roman"/>
        </w:rPr>
        <w:t xml:space="preserve">Haynes, A., Kersvergen, I., Sutin, A., Daly, M., </w:t>
      </w:r>
      <w:r>
        <w:rPr>
          <w:rFonts w:cs="Times New Roman"/>
        </w:rPr>
        <w:t>and</w:t>
      </w:r>
      <w:r>
        <w:rPr>
          <w:rFonts w:cs="Times New Roman"/>
        </w:rPr>
        <w:t xml:space="preserve"> Robinson, E. (2018). A systematic review of the relationship between weight status perceptions and weight loss attempts, strategies, behaviours and outcomes. </w:t>
      </w:r>
      <w:r>
        <w:rPr>
          <w:rFonts w:cs="Times New Roman"/>
          <w:i/>
          <w:iCs/>
        </w:rPr>
        <w:t>Obesity Reviews</w:t>
      </w:r>
      <w:r>
        <w:rPr>
          <w:rFonts w:cs="Times New Roman"/>
        </w:rPr>
        <w:t xml:space="preserve">, 19(3), 347-363. </w:t>
      </w:r>
    </w:p>
    <w:p w14:paraId="00000060">
      <w:pPr>
        <w:spacing w:line="360" w:lineRule="auto"/>
        <w:ind w:left="720" w:hanging="720"/>
        <w:rPr>
          <w:rFonts w:cs="Times New Roman"/>
        </w:rPr>
      </w:pPr>
      <w:r>
        <w:rPr>
          <w:rFonts w:cs="Times New Roman"/>
        </w:rPr>
        <w:t>Lister, N.B., Baur, L.A., Felix, J.F. et al. </w:t>
      </w:r>
      <w:r>
        <w:rPr>
          <w:rFonts w:cs="Times New Roman"/>
        </w:rPr>
        <w:t xml:space="preserve">(2023). </w:t>
      </w:r>
      <w:r>
        <w:rPr>
          <w:rFonts w:cs="Times New Roman"/>
        </w:rPr>
        <w:t>Child and adolescent obesity. </w:t>
      </w:r>
      <w:r>
        <w:rPr>
          <w:rFonts w:cs="Times New Roman"/>
          <w:i/>
          <w:iCs/>
        </w:rPr>
        <w:t>Nat</w:t>
      </w:r>
      <w:r>
        <w:rPr>
          <w:rFonts w:cs="Times New Roman"/>
          <w:i/>
          <w:iCs/>
        </w:rPr>
        <w:t>ional</w:t>
      </w:r>
      <w:r>
        <w:rPr>
          <w:rFonts w:cs="Times New Roman"/>
          <w:i/>
          <w:iCs/>
        </w:rPr>
        <w:t xml:space="preserve"> Rev</w:t>
      </w:r>
      <w:r>
        <w:rPr>
          <w:rFonts w:cs="Times New Roman"/>
          <w:i/>
          <w:iCs/>
        </w:rPr>
        <w:t>iew</w:t>
      </w:r>
      <w:r>
        <w:rPr>
          <w:rFonts w:cs="Times New Roman"/>
          <w:i/>
          <w:iCs/>
        </w:rPr>
        <w:t xml:space="preserve"> Dis</w:t>
      </w:r>
      <w:r>
        <w:rPr>
          <w:rFonts w:cs="Times New Roman"/>
          <w:i/>
          <w:iCs/>
        </w:rPr>
        <w:t>orders</w:t>
      </w:r>
      <w:r>
        <w:rPr>
          <w:rFonts w:cs="Times New Roman"/>
          <w:i/>
          <w:iCs/>
        </w:rPr>
        <w:t xml:space="preserve"> Primers </w:t>
      </w:r>
      <w:r>
        <w:rPr>
          <w:rFonts w:cs="Times New Roman"/>
        </w:rPr>
        <w:t xml:space="preserve">9, 24 </w:t>
      </w:r>
    </w:p>
    <w:p w14:paraId="00000061">
      <w:pPr>
        <w:spacing w:line="360" w:lineRule="auto"/>
        <w:ind w:left="720" w:hanging="720"/>
        <w:rPr>
          <w:rFonts w:cs="Times New Roman"/>
        </w:rPr>
      </w:pPr>
      <w:r>
        <w:rPr>
          <w:rFonts w:cs="Times New Roman"/>
        </w:rPr>
        <w:t>Magarey AM, Daniels LA, Boulton TJ, Cockington RA.</w:t>
      </w:r>
      <w:r>
        <w:rPr>
          <w:rFonts w:cs="Times New Roman"/>
        </w:rPr>
        <w:t xml:space="preserve"> 2013. </w:t>
      </w:r>
      <w:r>
        <w:rPr>
          <w:rFonts w:cs="Times New Roman"/>
        </w:rPr>
        <w:t>Predicting obesity in early adulthood from childhood and parental obesity. </w:t>
      </w:r>
      <w:r>
        <w:rPr>
          <w:rFonts w:cs="Times New Roman"/>
          <w:i/>
          <w:iCs/>
        </w:rPr>
        <w:t>Int</w:t>
      </w:r>
      <w:r>
        <w:rPr>
          <w:rFonts w:cs="Times New Roman"/>
          <w:i/>
          <w:iCs/>
        </w:rPr>
        <w:t>ernational journal of o</w:t>
      </w:r>
      <w:r>
        <w:rPr>
          <w:rFonts w:cs="Times New Roman"/>
          <w:i/>
          <w:iCs/>
        </w:rPr>
        <w:t>bes</w:t>
      </w:r>
      <w:r>
        <w:rPr>
          <w:rFonts w:cs="Times New Roman"/>
          <w:i/>
          <w:iCs/>
        </w:rPr>
        <w:t>ity</w:t>
      </w:r>
      <w:r>
        <w:rPr>
          <w:rFonts w:cs="Times New Roman"/>
          <w:i/>
          <w:iCs/>
        </w:rPr>
        <w:t xml:space="preserve"> Relat</w:t>
      </w:r>
      <w:r>
        <w:rPr>
          <w:rFonts w:cs="Times New Roman"/>
          <w:i/>
          <w:iCs/>
        </w:rPr>
        <w:t>ed M</w:t>
      </w:r>
      <w:r>
        <w:rPr>
          <w:rFonts w:cs="Times New Roman"/>
          <w:i/>
          <w:iCs/>
        </w:rPr>
        <w:t>etab</w:t>
      </w:r>
      <w:r>
        <w:rPr>
          <w:rFonts w:cs="Times New Roman"/>
          <w:i/>
          <w:iCs/>
        </w:rPr>
        <w:t>olism</w:t>
      </w:r>
      <w:r>
        <w:rPr>
          <w:rFonts w:cs="Times New Roman"/>
          <w:i/>
          <w:iCs/>
        </w:rPr>
        <w:t xml:space="preserve"> Disord</w:t>
      </w:r>
      <w:r>
        <w:rPr>
          <w:rFonts w:cs="Times New Roman"/>
          <w:i/>
          <w:iCs/>
        </w:rPr>
        <w:t>ers</w:t>
      </w:r>
      <w:r>
        <w:rPr>
          <w:rFonts w:cs="Times New Roman"/>
          <w:i/>
          <w:iCs/>
        </w:rPr>
        <w:t>.</w:t>
      </w:r>
      <w:r>
        <w:rPr>
          <w:rFonts w:cs="Times New Roman"/>
        </w:rPr>
        <w:t>;27:</w:t>
      </w:r>
      <w:r>
        <w:rPr>
          <w:rFonts w:cs="Times New Roman"/>
        </w:rPr>
        <w:t xml:space="preserve"> </w:t>
      </w:r>
      <w:r>
        <w:rPr>
          <w:rFonts w:cs="Times New Roman"/>
        </w:rPr>
        <w:t>505–13.</w:t>
      </w:r>
    </w:p>
    <w:p w14:paraId="00000062">
      <w:pPr>
        <w:spacing w:line="360" w:lineRule="auto"/>
        <w:ind w:left="720" w:hanging="720"/>
        <w:rPr>
          <w:rFonts w:cs="Times New Roman"/>
        </w:rPr>
      </w:pPr>
      <w:r>
        <w:rPr>
          <w:rFonts w:cs="Times New Roman"/>
        </w:rPr>
        <w:t xml:space="preserve">McHale, C. T., Laidlawn, A. H., </w:t>
      </w:r>
      <w:r>
        <w:rPr>
          <w:rFonts w:cs="Times New Roman"/>
        </w:rPr>
        <w:t>and</w:t>
      </w:r>
      <w:r>
        <w:rPr>
          <w:rFonts w:cs="Times New Roman"/>
        </w:rPr>
        <w:t xml:space="preserve"> Cecil, J. E. (2020). Primary care patient and practitioner views of weight and weight-related discussion: A mixed-methods study</w:t>
      </w:r>
      <w:r>
        <w:rPr>
          <w:rFonts w:cs="Times New Roman"/>
          <w:i/>
          <w:iCs/>
        </w:rPr>
        <w:t>. BMJ Open</w:t>
      </w:r>
      <w:r>
        <w:rPr>
          <w:rFonts w:cs="Times New Roman"/>
        </w:rPr>
        <w:t>, 10. ‘</w:t>
      </w:r>
    </w:p>
    <w:p w14:paraId="00000063">
      <w:pPr>
        <w:spacing w:line="360" w:lineRule="auto"/>
        <w:ind w:left="720" w:hanging="720"/>
        <w:rPr>
          <w:rFonts w:cs="Times New Roman"/>
        </w:rPr>
      </w:pPr>
      <w:r>
        <w:rPr>
          <w:rFonts w:cs="Times New Roman"/>
        </w:rPr>
        <w:t xml:space="preserve">National Institute for Health and Care Excellence (2021). What we do. Our role. [Online]. Retrieved 23 August, 2021 from https://www.nice.org.uk/about/what-we-do NHS. (2019). </w:t>
      </w:r>
      <w:r>
        <w:rPr>
          <w:rFonts w:cs="Times New Roman"/>
        </w:rPr>
        <w:t xml:space="preserve">Your 6-week postnatal check. Retrieved 9 </w:t>
      </w:r>
      <w:r>
        <w:rPr>
          <w:rFonts w:cs="Times New Roman"/>
        </w:rPr>
        <w:t>Oct</w:t>
      </w:r>
      <w:r>
        <w:rPr>
          <w:rFonts w:cs="Times New Roman"/>
        </w:rPr>
        <w:t>, 202</w:t>
      </w:r>
      <w:r>
        <w:rPr>
          <w:rFonts w:cs="Times New Roman"/>
        </w:rPr>
        <w:t>3</w:t>
      </w:r>
      <w:r>
        <w:rPr>
          <w:rFonts w:cs="Times New Roman"/>
        </w:rPr>
        <w:t xml:space="preserve"> from https://www.nhs.uk/conditions/baby/support-and-services/your-6-week-postnatal-check/ </w:t>
      </w:r>
    </w:p>
    <w:p w14:paraId="00000064">
      <w:pPr>
        <w:spacing w:line="360" w:lineRule="auto"/>
        <w:ind w:left="720" w:hanging="720"/>
        <w:rPr>
          <w:rFonts w:cs="Times New Roman"/>
        </w:rPr>
      </w:pPr>
      <w:r>
        <w:rPr>
          <w:rFonts w:cs="Times New Roman"/>
        </w:rPr>
        <w:t>Public Health Wales Trust.</w:t>
      </w:r>
      <w:r>
        <w:rPr>
          <w:rFonts w:cs="Times New Roman"/>
        </w:rPr>
        <w:t xml:space="preserve"> (2018).</w:t>
      </w:r>
      <w:r>
        <w:rPr>
          <w:rFonts w:cs="Times New Roman"/>
        </w:rPr>
        <w:t xml:space="preserve"> Child Measurement Programme for Wales 2016/17 Report., 2018. Available at: </w:t>
      </w:r>
      <w:r>
        <w:fldChar w:fldCharType="begin"/>
      </w:r>
      <w:r>
        <w:instrText xml:space="preserve">HYPERLINK "http://www.wales.nhs.uk/sitesplus/888/page/67762" </w:instrText>
      </w:r>
      <w:r>
        <w:fldChar w:fldCharType="separate"/>
      </w:r>
      <w:r>
        <w:rPr>
          <w:rStyle w:val="Hyperlink"/>
          <w:rFonts w:cs="Times New Roman"/>
        </w:rPr>
        <w:t>http://www.wales.nhs.uk/sitesplus/888/page/67762</w:t>
      </w:r>
      <w:r>
        <w:fldChar w:fldCharType="end"/>
      </w:r>
      <w:r>
        <w:rPr>
          <w:rFonts w:cs="Times New Roman"/>
        </w:rPr>
        <w:t> </w:t>
      </w:r>
    </w:p>
    <w:p w14:paraId="00000065">
      <w:pPr>
        <w:spacing w:line="360" w:lineRule="auto"/>
        <w:ind w:left="720" w:hanging="720"/>
        <w:rPr>
          <w:rFonts w:cs="Times New Roman"/>
        </w:rPr>
      </w:pPr>
      <w:r>
        <w:rPr>
          <w:rFonts w:cs="Times New Roman"/>
        </w:rPr>
        <w:t xml:space="preserve">Phillips CJ, Harper C, Rance J, Farr A. </w:t>
      </w:r>
      <w:r>
        <w:rPr>
          <w:rFonts w:cs="Times New Roman"/>
        </w:rPr>
        <w:t xml:space="preserve">2011. </w:t>
      </w:r>
      <w:r>
        <w:rPr>
          <w:rFonts w:cs="Times New Roman"/>
          <w:i/>
          <w:iCs/>
        </w:rPr>
        <w:t xml:space="preserve">Assessing the costs to the NHS associated with alcohol and obesity in Wales. </w:t>
      </w:r>
      <w:r>
        <w:rPr>
          <w:rFonts w:cs="Times New Roman"/>
        </w:rPr>
        <w:t xml:space="preserve">Welsh Assembly Government; </w:t>
      </w:r>
    </w:p>
    <w:p w14:paraId="00000066">
      <w:pPr>
        <w:spacing w:line="360" w:lineRule="auto"/>
        <w:ind w:left="720" w:hanging="720"/>
        <w:rPr>
          <w:rFonts w:cs="Times New Roman"/>
        </w:rPr>
      </w:pPr>
      <w:r>
        <w:rPr>
          <w:rFonts w:cs="Times New Roman"/>
        </w:rPr>
        <w:t xml:space="preserve">Public Health Wales Observatory. (2019). </w:t>
      </w:r>
      <w:r>
        <w:rPr>
          <w:rFonts w:cs="Times New Roman"/>
          <w:i/>
          <w:iCs/>
        </w:rPr>
        <w:t>Obesity in Wales.</w:t>
      </w:r>
      <w:r>
        <w:rPr>
          <w:rFonts w:cs="Times New Roman"/>
        </w:rPr>
        <w:t xml:space="preserve"> Retrieved 26 July, 2021 from </w:t>
      </w:r>
      <w:r>
        <w:fldChar w:fldCharType="begin"/>
      </w:r>
      <w:r>
        <w:instrText xml:space="preserve">HYPERLINK "https://phw.nhs.wales/topics/obesity/obesity-in-wales-report-pdf/" </w:instrText>
      </w:r>
      <w:r>
        <w:fldChar w:fldCharType="separate"/>
      </w:r>
      <w:r>
        <w:rPr>
          <w:rStyle w:val="Hyperlink"/>
          <w:rFonts w:cs="Times New Roman"/>
        </w:rPr>
        <w:t>https://phw.nhs.wales/topics/obesity/obesity-in-wales-report-pdf/</w:t>
      </w:r>
      <w:r>
        <w:fldChar w:fldCharType="end"/>
      </w:r>
    </w:p>
    <w:p w14:paraId="00000067">
      <w:pPr>
        <w:spacing w:line="360" w:lineRule="auto"/>
        <w:ind w:left="720" w:hanging="720"/>
        <w:rPr>
          <w:rFonts w:cs="Times New Roman"/>
        </w:rPr>
      </w:pPr>
      <w:r>
        <w:rPr>
          <w:rFonts w:cs="Times New Roman"/>
        </w:rPr>
        <w:t xml:space="preserve">Robinson, E., Haynes, A., Sutin, A., </w:t>
      </w:r>
      <w:r>
        <w:rPr>
          <w:rFonts w:cs="Times New Roman"/>
        </w:rPr>
        <w:t>and</w:t>
      </w:r>
      <w:r>
        <w:rPr>
          <w:rFonts w:cs="Times New Roman"/>
        </w:rPr>
        <w:t xml:space="preserve"> Daly, M. (2020). Self-perception of overweight and obesity: A review of mental and physical health outcomes. </w:t>
      </w:r>
      <w:r>
        <w:rPr>
          <w:rFonts w:cs="Times New Roman"/>
          <w:i/>
          <w:iCs/>
        </w:rPr>
        <w:t>Obesity Science and Practice</w:t>
      </w:r>
      <w:r>
        <w:rPr>
          <w:rFonts w:cs="Times New Roman"/>
        </w:rPr>
        <w:t>, 6(5), 552-561.</w:t>
      </w:r>
    </w:p>
    <w:p w14:paraId="00000068">
      <w:pPr>
        <w:spacing w:line="360" w:lineRule="auto"/>
        <w:ind w:left="720" w:hanging="720"/>
        <w:rPr>
          <w:rFonts w:cs="Times New Roman"/>
        </w:rPr>
      </w:pPr>
      <w:r>
        <w:rPr>
          <w:rFonts w:cs="Times New Roman"/>
        </w:rPr>
        <w:t>Simmonds M, Llewellyn A, Owen CG, Woolacott N. Predicting adult obesity from childhood obesity: a systematic review and meta-analysis. Obes</w:t>
      </w:r>
      <w:r>
        <w:rPr>
          <w:rFonts w:cs="Times New Roman"/>
        </w:rPr>
        <w:t>ity</w:t>
      </w:r>
      <w:r>
        <w:rPr>
          <w:rFonts w:cs="Times New Roman"/>
        </w:rPr>
        <w:t xml:space="preserve"> Rev</w:t>
      </w:r>
      <w:r>
        <w:rPr>
          <w:rFonts w:cs="Times New Roman"/>
        </w:rPr>
        <w:t>iew</w:t>
      </w:r>
      <w:r>
        <w:rPr>
          <w:rFonts w:cs="Times New Roman"/>
        </w:rPr>
        <w:t>. 2016;17(2):95–107.</w:t>
      </w:r>
    </w:p>
    <w:p w14:paraId="00000069">
      <w:pPr>
        <w:spacing w:line="360" w:lineRule="auto"/>
        <w:ind w:left="720" w:hanging="720"/>
        <w:rPr>
          <w:rFonts w:cs="Times New Roman"/>
        </w:rPr>
      </w:pPr>
      <w:r>
        <w:rPr>
          <w:rFonts w:cs="Times New Roman"/>
        </w:rPr>
        <w:t xml:space="preserve">Torti, J., Luig, T., Borowitz, M., Johnson, J.A., Sharma, A.M., </w:t>
      </w:r>
      <w:r>
        <w:rPr>
          <w:rFonts w:cs="Times New Roman"/>
        </w:rPr>
        <w:t>and</w:t>
      </w:r>
      <w:r>
        <w:rPr>
          <w:rFonts w:cs="Times New Roman"/>
        </w:rPr>
        <w:t xml:space="preserve"> Campbell-Scherer, D.L. (2017). The 5As team patient study: Patient perspectives on the role of primary care in obesity management. </w:t>
      </w:r>
      <w:r>
        <w:rPr>
          <w:rFonts w:cs="Times New Roman"/>
          <w:i/>
          <w:iCs/>
        </w:rPr>
        <w:t>BMC Family Practice</w:t>
      </w:r>
      <w:r>
        <w:rPr>
          <w:rFonts w:cs="Times New Roman"/>
        </w:rPr>
        <w:t>, 18(19)</w:t>
      </w:r>
    </w:p>
    <w:p w14:paraId="0000006A">
      <w:pPr>
        <w:spacing w:line="360" w:lineRule="auto"/>
        <w:ind w:left="720" w:hanging="720"/>
        <w:rPr>
          <w:rFonts w:cs="Times New Roman"/>
        </w:rPr>
      </w:pPr>
      <w:r>
        <w:rPr>
          <w:rFonts w:cs="Times New Roman"/>
        </w:rPr>
        <w:t xml:space="preserve">Vaughan, K. and Smith, J. (2016). Approaches to understanding outcomes and impact in Welsh public services: a case study of Public Services Boards and childhood obesity GSR report number 67/2016 Available at: </w:t>
      </w:r>
      <w:r>
        <w:fldChar w:fldCharType="begin"/>
      </w:r>
      <w:r>
        <w:instrText xml:space="preserve">HYPERLINK "http://gov.wales/statistics-and-research/approaches-understandingoutcomes-impact-welsh-public-services/?lang=en" </w:instrText>
      </w:r>
      <w:r>
        <w:fldChar w:fldCharType="separate"/>
      </w:r>
      <w:r>
        <w:rPr>
          <w:rStyle w:val="Hyperlink"/>
          <w:rFonts w:cs="Times New Roman"/>
        </w:rPr>
        <w:t>http://gov.wales/statistics-and-research/approaches-understandingoutcomes-impact-welsh-public-services/?lang=en</w:t>
      </w:r>
      <w:r>
        <w:fldChar w:fldCharType="end"/>
      </w:r>
    </w:p>
    <w:p w14:paraId="0000006B">
      <w:pPr>
        <w:spacing w:line="360" w:lineRule="auto"/>
        <w:ind w:left="720" w:hanging="720"/>
        <w:rPr>
          <w:rFonts w:cs="Times New Roman"/>
        </w:rPr>
      </w:pPr>
      <w:r>
        <w:rPr>
          <w:rFonts w:cs="Times New Roman"/>
        </w:rPr>
        <w:t xml:space="preserve">Welsh Government. (2018) </w:t>
      </w:r>
      <w:r>
        <w:rPr>
          <w:rFonts w:cs="Times New Roman"/>
          <w:i/>
          <w:iCs/>
        </w:rPr>
        <w:t>National Survey for Wales.</w:t>
      </w:r>
      <w:r>
        <w:rPr>
          <w:rFonts w:cs="Times New Roman"/>
        </w:rPr>
        <w:t xml:space="preserve"> https://gov.wales/docs/statistics/2018/180627-national-survey-2017-18-population-healthlifestyle-en.pdf [Online]</w:t>
      </w:r>
    </w:p>
    <w:p w14:paraId="0000006C">
      <w:pPr>
        <w:spacing w:line="360" w:lineRule="auto"/>
        <w:ind w:left="720" w:hanging="720"/>
        <w:rPr>
          <w:rFonts w:cs="Times New Roman"/>
        </w:rPr>
      </w:pPr>
      <w:r>
        <w:rPr>
          <w:rFonts w:cs="Times New Roman"/>
        </w:rPr>
        <w:t>Welsh Government. (2019). Welsh index of multiple deprivation (WIMD) 2019.</w:t>
      </w:r>
      <w:r>
        <w:rPr>
          <w:rFonts w:cs="Times New Roman"/>
          <w:i/>
          <w:iCs/>
        </w:rPr>
        <w:t xml:space="preserve"> Welsh Government.</w:t>
      </w:r>
      <w:r>
        <w:rPr>
          <w:rFonts w:cs="Times New Roman"/>
        </w:rPr>
        <w:t xml:space="preserve"> Retrieved July 7, 2021 from https://wimd.gov.wales/explore?lang=en#domain=services</w:t>
      </w:r>
      <w:r>
        <w:rPr>
          <w:rFonts w:cs="Times New Roman"/>
        </w:rPr>
        <w:t>andand</w:t>
      </w:r>
      <w:r>
        <w:rPr>
          <w:rFonts w:cs="Times New Roman"/>
        </w:rPr>
        <w:t>z=8</w:t>
      </w:r>
      <w:r>
        <w:rPr>
          <w:rFonts w:cs="Times New Roman"/>
        </w:rPr>
        <w:t>and</w:t>
      </w:r>
      <w:r>
        <w:rPr>
          <w:rFonts w:cs="Times New Roman"/>
        </w:rPr>
        <w:t>lat=52.4003</w:t>
      </w:r>
      <w:r>
        <w:rPr>
          <w:rFonts w:cs="Times New Roman"/>
        </w:rPr>
        <w:t>and</w:t>
      </w:r>
      <w:r>
        <w:rPr>
          <w:rFonts w:cs="Times New Roman"/>
        </w:rPr>
        <w:t>lng=- 4.1957</w:t>
      </w:r>
    </w:p>
    <w:p w14:paraId="0000006D">
      <w:pPr>
        <w:spacing w:line="360" w:lineRule="auto"/>
        <w:ind w:left="720" w:hanging="720"/>
        <w:rPr>
          <w:rFonts w:cs="Times New Roman"/>
        </w:rPr>
      </w:pPr>
      <w:r>
        <w:rPr>
          <w:rFonts w:cs="Times New Roman"/>
        </w:rPr>
        <w:t xml:space="preserve">Welsh Government. (2021a). </w:t>
      </w:r>
      <w:r>
        <w:rPr>
          <w:rFonts w:cs="Times New Roman"/>
          <w:i/>
          <w:iCs/>
        </w:rPr>
        <w:t>All Wales weight management pathway 2021 (adults): Core components.</w:t>
      </w:r>
      <w:r>
        <w:rPr>
          <w:rFonts w:cs="Times New Roman"/>
        </w:rPr>
        <w:t xml:space="preserve"> Retrieved 7 July, 2021 from </w:t>
      </w:r>
      <w:r>
        <w:fldChar w:fldCharType="begin"/>
      </w:r>
      <w:r>
        <w:instrText xml:space="preserve">HYPERLINK "https://gov.wales/sites/default/files/publications/2021-06/all-wales-weight-managementpathway-2021.pdf" </w:instrText>
      </w:r>
      <w:r>
        <w:fldChar w:fldCharType="separate"/>
      </w:r>
      <w:r>
        <w:rPr>
          <w:rStyle w:val="Hyperlink"/>
          <w:rFonts w:cs="Times New Roman"/>
        </w:rPr>
        <w:t>https://gov.wales/sites/default/files/publications/2021-06/all-wales-weight-managementpathway-2021.pdf</w:t>
      </w:r>
      <w:r>
        <w:fldChar w:fldCharType="end"/>
      </w:r>
    </w:p>
    <w:p w14:paraId="0000006E">
      <w:pPr>
        <w:spacing w:line="360" w:lineRule="auto"/>
        <w:ind w:left="720" w:hanging="720"/>
        <w:rPr>
          <w:rFonts w:cs="Times New Roman"/>
        </w:rPr>
      </w:pPr>
      <w:r>
        <w:rPr>
          <w:rFonts w:cs="Times New Roman"/>
        </w:rPr>
        <w:t xml:space="preserve"> Welsh Government. (2021b). </w:t>
      </w:r>
      <w:r>
        <w:rPr>
          <w:rFonts w:cs="Times New Roman"/>
          <w:i/>
          <w:iCs/>
        </w:rPr>
        <w:t>National survey for Wales: Results viewer: Full-year survey</w:t>
      </w:r>
      <w:r>
        <w:rPr>
          <w:rFonts w:cs="Times New Roman"/>
        </w:rPr>
        <w:t xml:space="preserve">. Welsh Government. Retrieved 21 July, 2021 from </w:t>
      </w:r>
      <w:r>
        <w:fldChar w:fldCharType="begin"/>
      </w:r>
      <w:r>
        <w:instrText xml:space="preserve">HYPERLINK "https://gov.wales/national-survey-walesresults-viewer" </w:instrText>
      </w:r>
      <w:r>
        <w:fldChar w:fldCharType="separate"/>
      </w:r>
      <w:r>
        <w:rPr>
          <w:rStyle w:val="Hyperlink"/>
          <w:rFonts w:cs="Times New Roman"/>
        </w:rPr>
        <w:t>https://gov.wales/national-survey-walesresults-viewer</w:t>
      </w:r>
      <w:r>
        <w:fldChar w:fldCharType="end"/>
      </w:r>
    </w:p>
    <w:p w14:paraId="0000006F">
      <w:pPr>
        <w:spacing w:line="360" w:lineRule="auto"/>
        <w:ind w:left="720" w:hanging="720"/>
        <w:rPr>
          <w:rFonts w:cs="Times New Roman"/>
          <w:b/>
          <w:bCs/>
        </w:rPr>
      </w:pPr>
      <w:r>
        <w:rPr>
          <w:rFonts w:cs="Times New Roman"/>
        </w:rPr>
        <w:t xml:space="preserve">Welsh Government. (2020a). </w:t>
      </w:r>
      <w:r>
        <w:rPr>
          <w:rFonts w:cs="Times New Roman"/>
          <w:i/>
          <w:iCs/>
        </w:rPr>
        <w:t>National survey for Wales - adult lifestyles additional variables</w:t>
      </w:r>
      <w:r>
        <w:rPr>
          <w:rFonts w:cs="Times New Roman"/>
        </w:rPr>
        <w:t>. Retrieved 12 July, 2021 from https://statswales.gov.wales/Catalogue/NationalSurvey-for-Wales/Population-Health/Adult-Lifestyles/adultlifestylesadditional-by-year</w:t>
      </w:r>
    </w:p>
    <w:sectPr>
      <w:headerReference w:type="default" r:id="rId17"/>
      <w:pgSz w:w="12240" w:h="15840"/>
      <w:pgMar w:top="1440" w:right="1440" w:bottom="1440" w:left="1440" w:header="720" w:footer="720" w:gutter="0"/>
      <w:pgBorders w:display="allPages" w:offsetFrom="page" w:zOrder="front">
        <w:top w:val="single" w:color="auto" w:sz="4" w:space="24"/>
        <w:left w:val="single" w:color="auto" w:sz="4" w:space="24"/>
        <w:right w:val="single" w:color="auto" w:sz="4" w:space="24"/>
        <w:bottom w:val="single" w:color="auto" w:sz="4" w:space="24"/>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Tahoma">
    <w:panose1 w:val="020b0604030504040204"/>
    <w:charset w:val="00"/>
    <w:family w:val="swiss"/>
    <w:pitch w:val="variable"/>
    <w:sig w:usb0="00000000" w:usb1="00000000" w:usb2="00000029" w:usb3="00000000" w:csb0="0001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70">
    <w:pPr>
      <w:pStyle w:val="Header"/>
      <w:jc w:val="right"/>
      <w:rPr/>
    </w:pPr>
    <w:r>
      <w:fldChar w:fldCharType="begin"/>
    </w:r>
    <w:r>
      <w:instrText xml:space="preserve"> PAGE   \* MERGEFORMAT </w:instrText>
    </w:r>
    <w:r>
      <w:fldChar w:fldCharType="separate"/>
    </w:r>
    <w:r>
      <w:t>4</w:t>
    </w:r>
    <w:r>
      <w:fldChar w:fldCharType="end"/>
    </w:r>
  </w:p>
  <w:p w14:paraId="00000071">
    <w:pPr>
      <w:pStyle w:val="Header"/>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A0B"/>
    <w:rsid w:val="00022591"/>
    <w:rsid w:val="00073D14"/>
    <w:rsid w:val="0008021F"/>
    <w:rsid w:val="00092FA4"/>
    <w:rsid w:val="001577EE"/>
    <w:rsid w:val="00194728"/>
    <w:rsid w:val="001E3E92"/>
    <w:rsid w:val="001E7D84"/>
    <w:rsid w:val="00315845"/>
    <w:rsid w:val="00353A0B"/>
    <w:rsid w:val="00367D31"/>
    <w:rsid w:val="003E7E69"/>
    <w:rsid w:val="00436AD7"/>
    <w:rsid w:val="00437512"/>
    <w:rsid w:val="004A0396"/>
    <w:rsid w:val="00547C9F"/>
    <w:rsid w:val="00587892"/>
    <w:rsid w:val="00625437"/>
    <w:rsid w:val="00651E90"/>
    <w:rsid w:val="00654ACB"/>
    <w:rsid w:val="006C75DC"/>
    <w:rsid w:val="0073278F"/>
    <w:rsid w:val="0075590B"/>
    <w:rsid w:val="00781B58"/>
    <w:rsid w:val="00783379"/>
    <w:rsid w:val="0078454C"/>
    <w:rsid w:val="007979C5"/>
    <w:rsid w:val="007C3ABD"/>
    <w:rsid w:val="00823B6F"/>
    <w:rsid w:val="00845EF2"/>
    <w:rsid w:val="008617A3"/>
    <w:rsid w:val="008A2CE2"/>
    <w:rsid w:val="008F637A"/>
    <w:rsid w:val="00912CCF"/>
    <w:rsid w:val="009E1F05"/>
    <w:rsid w:val="00A97898"/>
    <w:rsid w:val="00B23479"/>
    <w:rsid w:val="00B53C53"/>
    <w:rsid w:val="00B8054E"/>
    <w:rsid w:val="00BC7EF3"/>
    <w:rsid w:val="00CD1948"/>
    <w:rsid w:val="00D4613F"/>
    <w:rsid w:val="00D95D9E"/>
    <w:rsid w:val="00F50C45"/>
    <w:rsid w:val="00F5629D"/>
    <w:rsid w:val="00F94755"/>
    <w:rsid w:val="00FC4628"/>
    <w:rsid w:val="00FF03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7C8F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14:ligatures w14:val="standardContextual"/>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jc w:val="both"/>
    </w:pPr>
    <w:rPr>
      <w:rFonts w:ascii="Times New Roman" w:hAnsi="Times New Roman"/>
      <w:sz w:val="24"/>
    </w:rPr>
  </w:style>
  <w:style w:type="paragraph" w:styleId="Heading1">
    <w:name w:val="Heading 1"/>
    <w:basedOn w:val="Normal"/>
    <w:next w:val="Normal"/>
    <w:link w:val="Heading1Char"/>
    <w:uiPriority w:val="9"/>
    <w:qFormat w:val="on"/>
    <w:pPr>
      <w:keepNext w:val="on"/>
      <w:keepLines w:val="on"/>
      <w:spacing w:before="240" w:after="0" w:line="240" w:lineRule="auto"/>
    </w:pPr>
    <w:rPr>
      <w:rFonts w:ascii="Arial" w:cstheme="majorBidi" w:eastAsiaTheme="majorEastAsia" w:hAnsi="Arial"/>
      <w:b/>
      <w:sz w:val="28"/>
      <w:szCs w:val="32"/>
      <w:lang w:val="en-US"/>
    </w:rPr>
  </w:style>
  <w:style w:type="paragraph" w:styleId="Heading2">
    <w:name w:val="Heading 2"/>
    <w:basedOn w:val="Normal"/>
    <w:next w:val="Normal"/>
    <w:link w:val="Heading2Char"/>
    <w:uiPriority w:val="9"/>
    <w:unhideWhenUsed w:val="on"/>
    <w:qFormat w:val="on"/>
    <w:pPr>
      <w:keepNext w:val="on"/>
      <w:keepLines w:val="on"/>
      <w:spacing w:before="40" w:after="0" w:line="240" w:lineRule="auto"/>
    </w:pPr>
    <w:rPr>
      <w:rFonts w:ascii="Arial" w:cstheme="majorBidi" w:eastAsiaTheme="majorEastAsia" w:hAnsi="Arial"/>
      <w:b/>
      <w:sz w:val="26"/>
      <w:szCs w:val="26"/>
      <w:lang w:val="en-US"/>
    </w:rPr>
  </w:style>
  <w:style w:type="paragraph" w:styleId="Heading5">
    <w:name w:val="Heading 5"/>
    <w:basedOn w:val="Normal"/>
    <w:next w:val="Normal"/>
    <w:link w:val="Heading5Char"/>
    <w:uiPriority w:val="99"/>
    <w:pPr>
      <w:keepNext w:val="on"/>
      <w:keepLines w:val="on"/>
      <w:spacing w:before="240" w:after="80" w:line="276" w:lineRule="auto"/>
    </w:pPr>
    <w:rPr>
      <w:rFonts w:cs="Arial" w:eastAsia="Arial"/>
      <w:lang w:val="en-US"/>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5Char">
    <w:name w:val="Heading 5 Char"/>
    <w:basedOn w:val="DefaultParagraphFont"/>
    <w:link w:val="Heading5"/>
    <w:uiPriority w:val="99"/>
    <w:rPr>
      <w:rFonts w:ascii="Times New Roman" w:cs="Arial" w:eastAsia="Arial" w:hAnsi="Times New Roman"/>
      <w:sz w:val="24"/>
      <w:lang w:val="en-US"/>
    </w:rPr>
  </w:style>
  <w:style w:type="character" w:customStyle="1" w:styleId="Heading1Char">
    <w:name w:val="Heading 1 Char"/>
    <w:basedOn w:val="DefaultParagraphFont"/>
    <w:link w:val="Heading1"/>
    <w:uiPriority w:val="9"/>
    <w:rPr>
      <w:rFonts w:ascii="Arial" w:cstheme="majorBidi" w:eastAsiaTheme="majorEastAsia" w:hAnsi="Arial"/>
      <w:b/>
      <w:sz w:val="28"/>
      <w:szCs w:val="32"/>
      <w:lang w:val="en-US"/>
    </w:rPr>
  </w:style>
  <w:style w:type="character" w:customStyle="1" w:styleId="Heading2Char">
    <w:name w:val="Heading 2 Char"/>
    <w:basedOn w:val="DefaultParagraphFont"/>
    <w:link w:val="Heading2"/>
    <w:uiPriority w:val="9"/>
    <w:rPr>
      <w:rFonts w:ascii="Arial" w:cstheme="majorBidi" w:eastAsiaTheme="majorEastAsia" w:hAnsi="Arial"/>
      <w:b/>
      <w:sz w:val="26"/>
      <w:szCs w:val="26"/>
      <w:lang w:val="en-US"/>
    </w:rPr>
  </w:style>
  <w:style w:type="character" w:customStyle="1" w:styleId="Fal6plv">
    <w:name w:val="Fal6plv"/>
    <w:basedOn w:val="DefaultParagraphFont"/>
    <w:uiPriority w:val="99"/>
  </w:style>
  <w:style w:type="character" w:styleId="Hyperlink">
    <w:name w:val="Hyperlink"/>
    <w:basedOn w:val="DefaultParagraphFont"/>
    <w:uiPriority w:val="99"/>
    <w:unhideWhenUsed w:val="on"/>
    <w:rPr>
      <w:color w:val="0000ff"/>
      <w:u w:val="single"/>
    </w:rPr>
  </w:style>
  <w:style w:type="character" w:customStyle="1" w:styleId="Ref-journal">
    <w:name w:val="Ref-journal"/>
    <w:basedOn w:val="DefaultParagraphFont"/>
    <w:uiPriority w:val="99"/>
  </w:style>
  <w:style w:type="character" w:customStyle="1" w:styleId="Ref-vol">
    <w:name w:val="Ref-vol"/>
    <w:basedOn w:val="DefaultParagraphFont"/>
    <w:uiPriority w:val="99"/>
  </w:style>
  <w:style w:type="character" w:customStyle="1" w:styleId="UnresolvedMention1">
    <w:name w:val="Unresolved Mention1"/>
    <w:basedOn w:val="DefaultParagraphFont"/>
    <w:uiPriority w:val="99"/>
    <w:semiHidden w:val="on"/>
    <w:unhideWhenUsed w:val="on"/>
    <w:rPr>
      <w:color w:val="605e5c"/>
      <w:shd w:val="clear" w:color="auto" w:fill="e1dfdd"/>
    </w:rPr>
  </w:style>
  <w:style w:type="paragraph" w:styleId="Normal(Web)">
    <w:name w:val="Normal (Web)"/>
    <w:basedOn w:val="Normal"/>
    <w:uiPriority w:val="99"/>
    <w:semiHidden w:val="on"/>
    <w:unhideWhenUsed w:val="on"/>
    <w:pPr>
      <w:spacing w:before="100" w:after="100" w:line="240" w:lineRule="auto"/>
    </w:pPr>
    <w:rPr>
      <w:rFonts w:cs="Times New Roman" w:eastAsia="Times New Roman"/>
      <w:szCs w:val="24"/>
      <w:lang w:eastAsia="en-GB"/>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color w:val="2f5395" w:themeColor="accent1" w:themeShade="bf"/>
      <w:sz w:val="32"/>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NoSpacing">
    <w:name w:val="No Spacing"/>
    <w:uiPriority w:val="1"/>
    <w:qFormat w:val="on"/>
    <w:pPr>
      <w:spacing w:after="0" w:line="240" w:lineRule="auto"/>
      <w:jc w:val="both"/>
    </w:pPr>
    <w:rPr>
      <w:rFonts w:ascii="Times New Roman" w:hAnsi="Times New Roman"/>
      <w:sz w:val="24"/>
    </w:rPr>
  </w:style>
  <w:style w:type="paragraph" w:styleId="BalloonText">
    <w:name w:val="Balloon Text"/>
    <w:basedOn w:val="Normal"/>
    <w:link w:val="BalloonTextChar"/>
    <w:uiPriority w:val="99"/>
    <w:semiHidden w:val="on"/>
    <w:unhideWhenUsed w:val="on"/>
    <w:pPr>
      <w:spacing w:after="0"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591"/>
    <w:pPr>
      <w:jc w:val="both"/>
    </w:pPr>
    <w:rPr>
      <w:rFonts w:ascii="Times New Roman" w:hAnsi="Times New Roman"/>
      <w:sz w:val="24"/>
    </w:rPr>
  </w:style>
  <w:style w:type="paragraph" w:styleId="Heading1">
    <w:name w:val="heading 1"/>
    <w:basedOn w:val="Normal"/>
    <w:next w:val="Normal"/>
    <w:link w:val="Heading1Char"/>
    <w:uiPriority w:val="9"/>
    <w:qFormat/>
    <w:rsid w:val="00625437"/>
    <w:pPr>
      <w:keepNext/>
      <w:keepLines/>
      <w:spacing w:before="240" w:after="0" w:line="240" w:lineRule="auto"/>
      <w:outlineLvl w:val="0"/>
    </w:pPr>
    <w:rPr>
      <w:rFonts w:ascii="Arial" w:eastAsiaTheme="majorEastAsia" w:hAnsi="Arial" w:cstheme="majorBidi"/>
      <w:b/>
      <w:kern w:val="0"/>
      <w:sz w:val="28"/>
      <w:szCs w:val="32"/>
      <w:lang w:val="en-US"/>
    </w:rPr>
  </w:style>
  <w:style w:type="paragraph" w:styleId="Heading2">
    <w:name w:val="heading 2"/>
    <w:basedOn w:val="Normal"/>
    <w:next w:val="Normal"/>
    <w:link w:val="Heading2Char"/>
    <w:uiPriority w:val="9"/>
    <w:unhideWhenUsed/>
    <w:qFormat/>
    <w:rsid w:val="00625437"/>
    <w:pPr>
      <w:keepNext/>
      <w:keepLines/>
      <w:spacing w:before="40" w:after="0" w:line="240" w:lineRule="auto"/>
      <w:outlineLvl w:val="1"/>
    </w:pPr>
    <w:rPr>
      <w:rFonts w:ascii="Arial" w:eastAsiaTheme="majorEastAsia" w:hAnsi="Arial" w:cstheme="majorBidi"/>
      <w:b/>
      <w:kern w:val="0"/>
      <w:sz w:val="26"/>
      <w:szCs w:val="26"/>
      <w:lang w:val="en-US"/>
    </w:rPr>
  </w:style>
  <w:style w:type="paragraph" w:styleId="Heading5">
    <w:name w:val="heading 5"/>
    <w:basedOn w:val="Normal"/>
    <w:next w:val="Normal"/>
    <w:link w:val="Heading5Char"/>
    <w:rsid w:val="00B8054E"/>
    <w:pPr>
      <w:keepNext/>
      <w:keepLines/>
      <w:spacing w:before="240" w:after="80" w:line="276" w:lineRule="auto"/>
      <w:outlineLvl w:val="4"/>
    </w:pPr>
    <w:rPr>
      <w:rFonts w:eastAsia="Arial" w:cs="Arial"/>
      <w:kern w:val="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B8054E"/>
    <w:rPr>
      <w:rFonts w:ascii="Times New Roman" w:eastAsia="Arial" w:hAnsi="Times New Roman" w:cs="Arial"/>
      <w:kern w:val="0"/>
      <w:sz w:val="24"/>
      <w:lang w:val="en-US"/>
    </w:rPr>
  </w:style>
  <w:style w:type="character" w:customStyle="1" w:styleId="Heading1Char">
    <w:name w:val="Heading 1 Char"/>
    <w:basedOn w:val="DefaultParagraphFont"/>
    <w:link w:val="Heading1"/>
    <w:uiPriority w:val="9"/>
    <w:rsid w:val="00625437"/>
    <w:rPr>
      <w:rFonts w:ascii="Arial" w:eastAsiaTheme="majorEastAsia" w:hAnsi="Arial" w:cstheme="majorBidi"/>
      <w:b/>
      <w:kern w:val="0"/>
      <w:sz w:val="28"/>
      <w:szCs w:val="32"/>
      <w:lang w:val="en-US"/>
    </w:rPr>
  </w:style>
  <w:style w:type="character" w:customStyle="1" w:styleId="Heading2Char">
    <w:name w:val="Heading 2 Char"/>
    <w:basedOn w:val="DefaultParagraphFont"/>
    <w:link w:val="Heading2"/>
    <w:uiPriority w:val="9"/>
    <w:rsid w:val="00625437"/>
    <w:rPr>
      <w:rFonts w:ascii="Arial" w:eastAsiaTheme="majorEastAsia" w:hAnsi="Arial" w:cstheme="majorBidi"/>
      <w:b/>
      <w:kern w:val="0"/>
      <w:sz w:val="26"/>
      <w:szCs w:val="26"/>
      <w:lang w:val="en-US"/>
    </w:rPr>
  </w:style>
  <w:style w:type="character" w:customStyle="1" w:styleId="fal6plv">
    <w:name w:val="fal6plv"/>
    <w:basedOn w:val="DefaultParagraphFont"/>
    <w:rsid w:val="00353A0B"/>
  </w:style>
  <w:style w:type="character" w:styleId="Hyperlink">
    <w:name w:val="Hyperlink"/>
    <w:basedOn w:val="DefaultParagraphFont"/>
    <w:uiPriority w:val="99"/>
    <w:unhideWhenUsed/>
    <w:rsid w:val="00353A0B"/>
    <w:rPr>
      <w:color w:val="0000FF"/>
      <w:u w:val="single"/>
    </w:rPr>
  </w:style>
  <w:style w:type="character" w:customStyle="1" w:styleId="ref-journal">
    <w:name w:val="ref-journal"/>
    <w:basedOn w:val="DefaultParagraphFont"/>
    <w:rsid w:val="00353A0B"/>
  </w:style>
  <w:style w:type="character" w:customStyle="1" w:styleId="ref-vol">
    <w:name w:val="ref-vol"/>
    <w:basedOn w:val="DefaultParagraphFont"/>
    <w:rsid w:val="00353A0B"/>
  </w:style>
  <w:style w:type="character" w:customStyle="1" w:styleId="UnresolvedMention1">
    <w:name w:val="Unresolved Mention1"/>
    <w:basedOn w:val="DefaultParagraphFont"/>
    <w:uiPriority w:val="99"/>
    <w:semiHidden/>
    <w:unhideWhenUsed/>
    <w:rsid w:val="00315845"/>
    <w:rPr>
      <w:color w:val="605E5C"/>
      <w:shd w:val="clear" w:color="auto" w:fill="E1DFDD"/>
    </w:rPr>
  </w:style>
  <w:style w:type="paragraph" w:styleId="NormalWeb">
    <w:name w:val="Normal (Web)"/>
    <w:basedOn w:val="Normal"/>
    <w:uiPriority w:val="99"/>
    <w:semiHidden/>
    <w:unhideWhenUsed/>
    <w:rsid w:val="00547C9F"/>
    <w:pPr>
      <w:spacing w:before="100" w:beforeAutospacing="1" w:after="100" w:afterAutospacing="1" w:line="240" w:lineRule="auto"/>
    </w:pPr>
    <w:rPr>
      <w:rFonts w:eastAsia="Times New Roman" w:cs="Times New Roman"/>
      <w:kern w:val="0"/>
      <w:szCs w:val="24"/>
      <w:lang w:eastAsia="en-GB"/>
    </w:rPr>
  </w:style>
  <w:style w:type="paragraph" w:styleId="TOCHeading">
    <w:name w:val="TOC Heading"/>
    <w:basedOn w:val="Heading1"/>
    <w:next w:val="Normal"/>
    <w:uiPriority w:val="39"/>
    <w:unhideWhenUsed/>
    <w:qFormat/>
    <w:rsid w:val="00F50C45"/>
    <w:pPr>
      <w:spacing w:line="259" w:lineRule="auto"/>
      <w:jc w:val="left"/>
      <w:outlineLvl w:val="9"/>
    </w:pPr>
    <w:rPr>
      <w:rFonts w:asciiTheme="majorHAnsi" w:hAnsiTheme="majorHAnsi"/>
      <w:b w:val="0"/>
      <w:color w:val="2F5496" w:themeColor="accent1" w:themeShade="BF"/>
      <w:sz w:val="32"/>
      <w14:ligatures w14:val="none"/>
    </w:rPr>
  </w:style>
  <w:style w:type="paragraph" w:styleId="TOC1">
    <w:name w:val="toc 1"/>
    <w:basedOn w:val="Normal"/>
    <w:next w:val="Normal"/>
    <w:autoRedefine/>
    <w:uiPriority w:val="39"/>
    <w:unhideWhenUsed/>
    <w:rsid w:val="00F50C45"/>
    <w:pPr>
      <w:spacing w:after="100"/>
    </w:pPr>
  </w:style>
  <w:style w:type="paragraph" w:styleId="TOC2">
    <w:name w:val="toc 2"/>
    <w:basedOn w:val="Normal"/>
    <w:next w:val="Normal"/>
    <w:autoRedefine/>
    <w:uiPriority w:val="39"/>
    <w:unhideWhenUsed/>
    <w:rsid w:val="00F50C45"/>
    <w:pPr>
      <w:spacing w:after="100"/>
      <w:ind w:left="240"/>
    </w:pPr>
  </w:style>
  <w:style w:type="paragraph" w:styleId="Header">
    <w:name w:val="header"/>
    <w:basedOn w:val="Normal"/>
    <w:link w:val="HeaderChar"/>
    <w:uiPriority w:val="99"/>
    <w:unhideWhenUsed/>
    <w:rsid w:val="00F94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755"/>
    <w:rPr>
      <w:rFonts w:ascii="Times New Roman" w:hAnsi="Times New Roman"/>
      <w:sz w:val="24"/>
    </w:rPr>
  </w:style>
  <w:style w:type="paragraph" w:styleId="Footer">
    <w:name w:val="footer"/>
    <w:basedOn w:val="Normal"/>
    <w:link w:val="FooterChar"/>
    <w:uiPriority w:val="99"/>
    <w:unhideWhenUsed/>
    <w:rsid w:val="00F94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755"/>
    <w:rPr>
      <w:rFonts w:ascii="Times New Roman" w:hAnsi="Times New Roman"/>
      <w:sz w:val="24"/>
    </w:rPr>
  </w:style>
  <w:style w:type="paragraph" w:styleId="NoSpacing">
    <w:name w:val="No Spacing"/>
    <w:uiPriority w:val="1"/>
    <w:qFormat/>
    <w:rsid w:val="008F637A"/>
    <w:pPr>
      <w:spacing w:after="0" w:line="240" w:lineRule="auto"/>
      <w:jc w:val="both"/>
    </w:pPr>
    <w:rPr>
      <w:rFonts w:ascii="Times New Roman" w:hAnsi="Times New Roman"/>
      <w:sz w:val="24"/>
    </w:rPr>
  </w:style>
  <w:style w:type="paragraph" w:styleId="BalloonText">
    <w:name w:val="Balloon Text"/>
    <w:basedOn w:val="Normal"/>
    <w:link w:val="BalloonTextChar"/>
    <w:uiPriority w:val="99"/>
    <w:semiHidden/>
    <w:unhideWhenUsed/>
    <w:rsid w:val="00D46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1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53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 Type="http://schemas.openxmlformats.org/officeDocument/2006/relationships/fontTable" Target="fontTable.xml"/><Relationship Id="rId16" Type="http://schemas.openxmlformats.org/officeDocument/2006/relationships/theme" Target="theme/theme1.xml"/><Relationship Id="rId17" Type="http://schemas.openxmlformats.org/officeDocument/2006/relationships/header" Target="header1.xml"/><Relationship Id="rId2" Type="http://schemas.openxmlformats.org/officeDocument/2006/relationships/numbering" Target="numbering.xml"/><Relationship Id="rId3" Type="http://schemas.openxmlformats.org/officeDocument/2006/relationships/styles" Target="styles.xml"/><Relationship Id="rId5" Type="http://schemas.openxmlformats.org/officeDocument/2006/relationships/settings" Target="settings.xml"/><Relationship Id="rId7" Type="http://schemas.openxmlformats.org/officeDocument/2006/relationships/footnotes" Target="footnotes.xml"/><Relationship Id="rId8" Type="http://schemas.openxmlformats.org/officeDocument/2006/relationships/endnotes" Target="endnotes.xml"/><Relationship Id="rId1" Type="http://schemas.openxmlformats.org/officeDocument/2006/relationships/customXml" Target="../customXml/item1.xml"/><Relationship Id="rId4" Type="http://schemas.microsoft.com/office/2007/relationships/stylesWithEffects" Target="stylesWithEffects.xml"/><Relationship Id="rId6" Type="http://schemas.openxmlformats.org/officeDocument/2006/relationships/webSettings" Target="webSettings.xml"/><Relationship Id="rId9" Type="http://schemas.openxmlformats.org/officeDocument/2006/relationships/hyperlink" Target="http://www.wales.nhs.uk/sitesplus/888/page/67762" TargetMode="External"/><Relationship Id="rId10" Type="http://schemas.openxmlformats.org/officeDocument/2006/relationships/hyperlink" Target="https://phw.nhs.wales/topics/obesity/obesity-in-wales-report-pdf/" TargetMode="External"/><Relationship Id="rId11" Type="http://schemas.openxmlformats.org/officeDocument/2006/relationships/hyperlink" Target="http://gov.wales/statistics-and-research/approaches-understandingoutcomes-impact-welsh-public-services/?lang=en" TargetMode="External"/><Relationship Id="rId12" Type="http://schemas.openxmlformats.org/officeDocument/2006/relationships/hyperlink" Target="https://gov.wales/sites/default/files/publications/2021-06/all-wales-weight-managementpathway-2021.pdf" TargetMode="External"/><Relationship Id="rId13" Type="http://schemas.openxmlformats.org/officeDocument/2006/relationships/hyperlink" Target="https://gov.wales/national-survey-walesresults-viewer" TargetMode="Externa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7C324-6EA5-44F3-A3E1-5572CB8B1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3086</Words>
  <Characters>17593</Characters>
  <Application>Microsoft Office Word</Application>
  <DocSecurity>0</DocSecurity>
  <Lines>146</Lines>
  <Paragraphs>41</Paragraphs>
  <ScaleCrop>false</ScaleCrop>
  <Company/>
  <LinksUpToDate>false</LinksUpToDate>
  <CharactersWithSpaces>20638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Alam Afridi</dc:creator>
  <cp:lastModifiedBy>Alam Afridi</cp:lastModifiedBy>
</cp:coreProperties>
</file>