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7077" w14:textId="0A6A673F" w:rsidR="000063B8" w:rsidRDefault="000063B8"/>
    <w:p w14:paraId="66A46D14" w14:textId="77777777" w:rsidR="000063B8" w:rsidRDefault="000063B8"/>
    <w:p w14:paraId="4CF98F07" w14:textId="77777777" w:rsidR="000063B8" w:rsidRDefault="000063B8"/>
    <w:p w14:paraId="1CF0D590" w14:textId="77777777" w:rsidR="000063B8" w:rsidRDefault="000063B8"/>
    <w:p w14:paraId="5E3DBCDE" w14:textId="77777777" w:rsidR="000063B8" w:rsidRDefault="00FE001E">
      <w:pPr>
        <w:jc w:val="center"/>
        <w:rPr>
          <w:b/>
          <w:sz w:val="32"/>
          <w:szCs w:val="32"/>
        </w:rPr>
      </w:pPr>
      <w:r>
        <w:rPr>
          <w:b/>
          <w:sz w:val="32"/>
          <w:szCs w:val="32"/>
        </w:rPr>
        <w:t>Module Name- Human Resource and Management</w:t>
      </w:r>
    </w:p>
    <w:p w14:paraId="01837C66" w14:textId="77777777" w:rsidR="000063B8" w:rsidRDefault="00FE001E">
      <w:pPr>
        <w:jc w:val="center"/>
        <w:rPr>
          <w:b/>
          <w:sz w:val="32"/>
          <w:szCs w:val="32"/>
        </w:rPr>
      </w:pPr>
      <w:r>
        <w:rPr>
          <w:b/>
          <w:sz w:val="32"/>
          <w:szCs w:val="32"/>
        </w:rPr>
        <w:t>Module Code- LCMB7000</w:t>
      </w:r>
    </w:p>
    <w:p w14:paraId="2C48102D" w14:textId="77777777" w:rsidR="000063B8" w:rsidRDefault="00FE001E">
      <w:pPr>
        <w:jc w:val="center"/>
        <w:rPr>
          <w:b/>
          <w:sz w:val="32"/>
          <w:szCs w:val="32"/>
        </w:rPr>
      </w:pPr>
      <w:r>
        <w:rPr>
          <w:b/>
          <w:sz w:val="32"/>
          <w:szCs w:val="32"/>
        </w:rPr>
        <w:t xml:space="preserve">Format </w:t>
      </w:r>
    </w:p>
    <w:p w14:paraId="63A14DE3" w14:textId="77777777" w:rsidR="000063B8" w:rsidRDefault="00FE001E">
      <w:pPr>
        <w:jc w:val="center"/>
        <w:rPr>
          <w:b/>
          <w:sz w:val="32"/>
          <w:szCs w:val="32"/>
        </w:rPr>
      </w:pPr>
      <w:r>
        <w:rPr>
          <w:b/>
          <w:sz w:val="32"/>
          <w:szCs w:val="32"/>
        </w:rPr>
        <w:t xml:space="preserve">Title- UK labor market and its environmental analysis                                          </w:t>
      </w:r>
    </w:p>
    <w:p w14:paraId="3E35E401" w14:textId="45FAF916" w:rsidR="000063B8" w:rsidRDefault="00FE001E" w:rsidP="001B37C3">
      <w:pPr>
        <w:jc w:val="center"/>
        <w:rPr>
          <w:b/>
          <w:sz w:val="32"/>
          <w:szCs w:val="32"/>
        </w:rPr>
      </w:pPr>
      <w:bookmarkStart w:id="0" w:name="_heading=h.2xcytpi" w:colFirst="0" w:colLast="0"/>
      <w:bookmarkEnd w:id="0"/>
      <w:r>
        <w:rPr>
          <w:b/>
          <w:sz w:val="32"/>
          <w:szCs w:val="32"/>
        </w:rPr>
        <w:t>Student Name</w:t>
      </w:r>
      <w:r w:rsidR="001B37C3">
        <w:rPr>
          <w:b/>
          <w:sz w:val="32"/>
          <w:szCs w:val="32"/>
        </w:rPr>
        <w:t>: Neha Sharma Student ID: 2130314</w:t>
      </w:r>
    </w:p>
    <w:p w14:paraId="3478D720" w14:textId="77777777" w:rsidR="000063B8" w:rsidRDefault="00FE001E">
      <w:pPr>
        <w:jc w:val="center"/>
      </w:pPr>
      <w:r>
        <w:rPr>
          <w:b/>
          <w:sz w:val="32"/>
          <w:szCs w:val="32"/>
        </w:rPr>
        <w:t>Word Count- 2500</w:t>
      </w:r>
      <w:r>
        <w:br w:type="page"/>
      </w:r>
    </w:p>
    <w:p w14:paraId="1AE1BB85" w14:textId="77777777" w:rsidR="000063B8" w:rsidRDefault="00FE001E">
      <w:pPr>
        <w:jc w:val="center"/>
        <w:rPr>
          <w:b/>
        </w:rPr>
      </w:pPr>
      <w:r>
        <w:rPr>
          <w:b/>
        </w:rPr>
        <w:lastRenderedPageBreak/>
        <w:t xml:space="preserve">Table of Content </w:t>
      </w:r>
    </w:p>
    <w:p w14:paraId="60E3AF70" w14:textId="77777777" w:rsidR="000063B8" w:rsidRDefault="000063B8"/>
    <w:sdt>
      <w:sdtPr>
        <w:id w:val="524294854"/>
        <w:docPartObj>
          <w:docPartGallery w:val="Table of Contents"/>
          <w:docPartUnique/>
        </w:docPartObj>
      </w:sdtPr>
      <w:sdtEndPr/>
      <w:sdtContent>
        <w:p w14:paraId="19CE3887" w14:textId="77777777" w:rsidR="000063B8" w:rsidRDefault="00FE001E">
          <w:pPr>
            <w:tabs>
              <w:tab w:val="right" w:pos="9025"/>
            </w:tabs>
            <w:spacing w:before="80" w:line="240" w:lineRule="auto"/>
            <w:rPr>
              <w:color w:val="000000"/>
            </w:rPr>
          </w:pPr>
          <w:r>
            <w:fldChar w:fldCharType="begin"/>
          </w:r>
          <w:r>
            <w:instrText xml:space="preserve"> TOC \h \u \z </w:instrText>
          </w:r>
          <w:r>
            <w:fldChar w:fldCharType="separate"/>
          </w:r>
          <w:hyperlink w:anchor="_heading=h.gjdgxs">
            <w:r>
              <w:rPr>
                <w:color w:val="000000"/>
              </w:rPr>
              <w:t>Introduction</w:t>
            </w:r>
          </w:hyperlink>
          <w:r>
            <w:rPr>
              <w:color w:val="000000"/>
            </w:rPr>
            <w:tab/>
          </w:r>
          <w:r>
            <w:fldChar w:fldCharType="begin"/>
          </w:r>
          <w:r>
            <w:instrText xml:space="preserve"> HYPERLINK \l "_heading=h.gjdgxs</w:instrText>
          </w:r>
          <w:r>
            <w:instrText xml:space="preserve">" </w:instrText>
          </w:r>
          <w:r>
            <w:fldChar w:fldCharType="separate"/>
          </w:r>
          <w:r>
            <w:rPr>
              <w:color w:val="000000"/>
            </w:rPr>
            <w:t>4</w:t>
          </w:r>
        </w:p>
        <w:p w14:paraId="175B488B" w14:textId="77777777" w:rsidR="000063B8" w:rsidRDefault="00FE001E">
          <w:pPr>
            <w:tabs>
              <w:tab w:val="right" w:pos="9025"/>
            </w:tabs>
            <w:spacing w:before="200" w:line="240" w:lineRule="auto"/>
            <w:rPr>
              <w:color w:val="000000"/>
            </w:rPr>
          </w:pPr>
          <w:r>
            <w:fldChar w:fldCharType="end"/>
          </w:r>
          <w:hyperlink w:anchor="_heading=h.30j0zll">
            <w:r>
              <w:rPr>
                <w:color w:val="000000"/>
              </w:rPr>
              <w:t>The current state of the labor market in the UK</w:t>
            </w:r>
          </w:hyperlink>
          <w:r>
            <w:rPr>
              <w:color w:val="000000"/>
            </w:rPr>
            <w:tab/>
          </w:r>
          <w:r>
            <w:fldChar w:fldCharType="begin"/>
          </w:r>
          <w:r>
            <w:instrText xml:space="preserve"> HYPERLINK \l "_heading=h.30j0zll" </w:instrText>
          </w:r>
          <w:r>
            <w:fldChar w:fldCharType="separate"/>
          </w:r>
          <w:r>
            <w:rPr>
              <w:color w:val="000000"/>
            </w:rPr>
            <w:t>4</w:t>
          </w:r>
        </w:p>
        <w:p w14:paraId="23FACA80" w14:textId="77777777" w:rsidR="000063B8" w:rsidRDefault="00FE001E">
          <w:pPr>
            <w:tabs>
              <w:tab w:val="right" w:pos="9025"/>
            </w:tabs>
            <w:spacing w:before="200" w:line="240" w:lineRule="auto"/>
          </w:pPr>
          <w:r>
            <w:fldChar w:fldCharType="end"/>
          </w:r>
          <w:hyperlink w:anchor="_heading=h.1fob9te">
            <w:r>
              <w:rPr>
                <w:color w:val="000000"/>
              </w:rPr>
              <w:t>Overview of the labor market</w:t>
            </w:r>
          </w:hyperlink>
          <w:r>
            <w:rPr>
              <w:color w:val="000000"/>
            </w:rPr>
            <w:tab/>
          </w:r>
          <w:r>
            <w:fldChar w:fldCharType="begin"/>
          </w:r>
          <w:r>
            <w:instrText xml:space="preserve"> PAGEREF _heading=h.1fob9te \h </w:instrText>
          </w:r>
          <w:r>
            <w:fldChar w:fldCharType="separate"/>
          </w:r>
          <w:r>
            <w:rPr>
              <w:color w:val="000000"/>
            </w:rPr>
            <w:t>4</w:t>
          </w:r>
          <w:hyperlink w:anchor="_heading=h.1fob9te" w:history="1"/>
        </w:p>
        <w:p w14:paraId="67374758" w14:textId="77777777" w:rsidR="000063B8" w:rsidRDefault="00FE001E">
          <w:pPr>
            <w:tabs>
              <w:tab w:val="right" w:pos="9025"/>
            </w:tabs>
            <w:spacing w:before="60" w:line="240" w:lineRule="auto"/>
            <w:ind w:left="360"/>
            <w:rPr>
              <w:color w:val="000000"/>
            </w:rPr>
          </w:pPr>
          <w:r>
            <w:fldChar w:fldCharType="end"/>
          </w:r>
          <w:hyperlink w:anchor="_heading=h.3znysh7">
            <w:r>
              <w:rPr>
                <w:color w:val="000000"/>
              </w:rPr>
              <w:t>Latest Indicators of the UK Labour Market</w:t>
            </w:r>
          </w:hyperlink>
          <w:r>
            <w:rPr>
              <w:color w:val="000000"/>
            </w:rPr>
            <w:tab/>
          </w:r>
          <w:r>
            <w:fldChar w:fldCharType="begin"/>
          </w:r>
          <w:r>
            <w:instrText xml:space="preserve"> HYPERLINK \l "_heading=h.3znysh7" </w:instrText>
          </w:r>
          <w:r>
            <w:fldChar w:fldCharType="separate"/>
          </w:r>
          <w:r>
            <w:rPr>
              <w:color w:val="000000"/>
            </w:rPr>
            <w:t>5</w:t>
          </w:r>
        </w:p>
        <w:p w14:paraId="4EB8F9AC" w14:textId="77777777" w:rsidR="000063B8" w:rsidRDefault="00FE001E">
          <w:pPr>
            <w:tabs>
              <w:tab w:val="right" w:pos="9025"/>
            </w:tabs>
            <w:spacing w:before="60" w:line="240" w:lineRule="auto"/>
            <w:ind w:left="360"/>
            <w:rPr>
              <w:color w:val="000000"/>
            </w:rPr>
          </w:pPr>
          <w:r>
            <w:fldChar w:fldCharType="end"/>
          </w:r>
          <w:hyperlink w:anchor="_heading=h.2et92p0">
            <w:r>
              <w:rPr>
                <w:color w:val="000000"/>
              </w:rPr>
              <w:t>Payroll Employees</w:t>
            </w:r>
          </w:hyperlink>
          <w:r>
            <w:rPr>
              <w:color w:val="000000"/>
            </w:rPr>
            <w:tab/>
          </w:r>
          <w:r>
            <w:fldChar w:fldCharType="begin"/>
          </w:r>
          <w:r>
            <w:instrText xml:space="preserve"> HYPERLINK \l "_heading=h.2et92p0" </w:instrText>
          </w:r>
          <w:r>
            <w:fldChar w:fldCharType="separate"/>
          </w:r>
          <w:r>
            <w:rPr>
              <w:color w:val="000000"/>
            </w:rPr>
            <w:t>5</w:t>
          </w:r>
        </w:p>
        <w:p w14:paraId="294F1B3F" w14:textId="77777777" w:rsidR="000063B8" w:rsidRDefault="00FE001E">
          <w:pPr>
            <w:tabs>
              <w:tab w:val="right" w:pos="9025"/>
            </w:tabs>
            <w:spacing w:before="60" w:line="240" w:lineRule="auto"/>
            <w:ind w:left="360"/>
            <w:rPr>
              <w:color w:val="000000"/>
            </w:rPr>
          </w:pPr>
          <w:r>
            <w:fldChar w:fldCharType="end"/>
          </w:r>
          <w:hyperlink w:anchor="_heading=h.tyjcwt">
            <w:r>
              <w:rPr>
                <w:color w:val="000000"/>
              </w:rPr>
              <w:t>Rate of Employment</w:t>
            </w:r>
          </w:hyperlink>
          <w:r>
            <w:rPr>
              <w:color w:val="000000"/>
            </w:rPr>
            <w:tab/>
          </w:r>
          <w:r>
            <w:fldChar w:fldCharType="begin"/>
          </w:r>
          <w:r>
            <w:instrText xml:space="preserve"> HYPERLINK \l "_heading=h.tyjcwt" </w:instrText>
          </w:r>
          <w:r>
            <w:fldChar w:fldCharType="separate"/>
          </w:r>
          <w:r>
            <w:rPr>
              <w:color w:val="000000"/>
            </w:rPr>
            <w:t>5</w:t>
          </w:r>
        </w:p>
        <w:p w14:paraId="5AD4F89B" w14:textId="77777777" w:rsidR="000063B8" w:rsidRDefault="00FE001E">
          <w:pPr>
            <w:tabs>
              <w:tab w:val="right" w:pos="9025"/>
            </w:tabs>
            <w:spacing w:before="60" w:line="240" w:lineRule="auto"/>
            <w:ind w:left="360"/>
            <w:rPr>
              <w:color w:val="000000"/>
            </w:rPr>
          </w:pPr>
          <w:r>
            <w:fldChar w:fldCharType="end"/>
          </w:r>
          <w:hyperlink w:anchor="_heading=h.3dy6vkm">
            <w:r>
              <w:rPr>
                <w:color w:val="000000"/>
              </w:rPr>
              <w:t>Working Hours</w:t>
            </w:r>
          </w:hyperlink>
          <w:r>
            <w:rPr>
              <w:color w:val="000000"/>
            </w:rPr>
            <w:tab/>
          </w:r>
          <w:r>
            <w:fldChar w:fldCharType="begin"/>
          </w:r>
          <w:r>
            <w:instrText xml:space="preserve"> HYPERLINK \l "_heading=h.3dy6vkm" </w:instrText>
          </w:r>
          <w:r>
            <w:fldChar w:fldCharType="separate"/>
          </w:r>
          <w:r>
            <w:rPr>
              <w:color w:val="000000"/>
            </w:rPr>
            <w:t>6</w:t>
          </w:r>
        </w:p>
        <w:p w14:paraId="37523F68" w14:textId="77777777" w:rsidR="000063B8" w:rsidRDefault="00FE001E">
          <w:pPr>
            <w:tabs>
              <w:tab w:val="right" w:pos="9025"/>
            </w:tabs>
            <w:spacing w:before="60" w:line="240" w:lineRule="auto"/>
            <w:ind w:left="360"/>
            <w:rPr>
              <w:color w:val="000000"/>
            </w:rPr>
          </w:pPr>
          <w:r>
            <w:fldChar w:fldCharType="end"/>
          </w:r>
          <w:hyperlink w:anchor="_heading=h.1t3h5sf">
            <w:r>
              <w:rPr>
                <w:color w:val="000000"/>
              </w:rPr>
              <w:t>Rate of Unemployment</w:t>
            </w:r>
          </w:hyperlink>
          <w:r>
            <w:rPr>
              <w:color w:val="000000"/>
            </w:rPr>
            <w:tab/>
          </w:r>
          <w:r>
            <w:fldChar w:fldCharType="begin"/>
          </w:r>
          <w:r>
            <w:instrText xml:space="preserve"> HYPERLINK \l "_heading=h.1t3h5sf" </w:instrText>
          </w:r>
          <w:r>
            <w:fldChar w:fldCharType="separate"/>
          </w:r>
          <w:r>
            <w:rPr>
              <w:color w:val="000000"/>
            </w:rPr>
            <w:t>6</w:t>
          </w:r>
        </w:p>
        <w:p w14:paraId="69573E3D" w14:textId="77777777" w:rsidR="000063B8" w:rsidRDefault="00FE001E">
          <w:pPr>
            <w:tabs>
              <w:tab w:val="right" w:pos="9025"/>
            </w:tabs>
            <w:spacing w:before="200" w:line="240" w:lineRule="auto"/>
            <w:rPr>
              <w:color w:val="000000"/>
            </w:rPr>
          </w:pPr>
          <w:r>
            <w:fldChar w:fldCharType="end"/>
          </w:r>
          <w:hyperlink w:anchor="_heading=h.4d34og8">
            <w:r>
              <w:rPr>
                <w:color w:val="000000"/>
              </w:rPr>
              <w:t>Inactivity in Economy</w:t>
            </w:r>
          </w:hyperlink>
          <w:r>
            <w:rPr>
              <w:color w:val="000000"/>
            </w:rPr>
            <w:tab/>
          </w:r>
          <w:r>
            <w:fldChar w:fldCharType="begin"/>
          </w:r>
          <w:r>
            <w:instrText xml:space="preserve"> HYPERLINK \l "_heading=h.4d34og8" </w:instrText>
          </w:r>
          <w:r>
            <w:fldChar w:fldCharType="separate"/>
          </w:r>
          <w:r>
            <w:rPr>
              <w:color w:val="000000"/>
            </w:rPr>
            <w:t>6</w:t>
          </w:r>
        </w:p>
        <w:p w14:paraId="52FB929C" w14:textId="77777777" w:rsidR="000063B8" w:rsidRDefault="00FE001E">
          <w:pPr>
            <w:tabs>
              <w:tab w:val="right" w:pos="9025"/>
            </w:tabs>
            <w:spacing w:before="200" w:line="240" w:lineRule="auto"/>
            <w:rPr>
              <w:color w:val="000000"/>
            </w:rPr>
          </w:pPr>
          <w:r>
            <w:fldChar w:fldCharType="end"/>
          </w:r>
          <w:r>
            <w:t>E</w:t>
          </w:r>
          <w:hyperlink w:anchor="_heading=h.2s8eyo1">
            <w:r>
              <w:rPr>
                <w:color w:val="000000"/>
              </w:rPr>
              <w:t>xternal environment.</w:t>
            </w:r>
          </w:hyperlink>
          <w:r>
            <w:rPr>
              <w:color w:val="000000"/>
            </w:rPr>
            <w:tab/>
          </w:r>
          <w:r>
            <w:fldChar w:fldCharType="begin"/>
          </w:r>
          <w:r>
            <w:instrText xml:space="preserve"> HYPERLINK \l "_heading=h.2s8eyo1" </w:instrText>
          </w:r>
          <w:r>
            <w:fldChar w:fldCharType="separate"/>
          </w:r>
          <w:r>
            <w:rPr>
              <w:color w:val="000000"/>
            </w:rPr>
            <w:t>6</w:t>
          </w:r>
        </w:p>
        <w:p w14:paraId="18344C75" w14:textId="77777777" w:rsidR="000063B8" w:rsidRDefault="00FE001E">
          <w:pPr>
            <w:tabs>
              <w:tab w:val="right" w:pos="9025"/>
            </w:tabs>
            <w:spacing w:before="60" w:line="240" w:lineRule="auto"/>
            <w:ind w:left="360"/>
            <w:rPr>
              <w:color w:val="000000"/>
            </w:rPr>
          </w:pPr>
          <w:r>
            <w:fldChar w:fldCharType="end"/>
          </w:r>
          <w:hyperlink w:anchor="_heading=h.17dp8vu">
            <w:r>
              <w:rPr>
                <w:color w:val="000000"/>
              </w:rPr>
              <w:t>Human Resource Resourcing Strategies in the Post-Covidien Era</w:t>
            </w:r>
          </w:hyperlink>
          <w:r>
            <w:rPr>
              <w:color w:val="000000"/>
            </w:rPr>
            <w:tab/>
          </w:r>
          <w:r>
            <w:fldChar w:fldCharType="begin"/>
          </w:r>
          <w:r>
            <w:instrText xml:space="preserve"> HYPERLINK \l "_heading=h.17dp8vu" </w:instrText>
          </w:r>
          <w:r>
            <w:fldChar w:fldCharType="separate"/>
          </w:r>
          <w:r>
            <w:rPr>
              <w:color w:val="000000"/>
            </w:rPr>
            <w:t>6</w:t>
          </w:r>
        </w:p>
        <w:p w14:paraId="2965D98E" w14:textId="77777777" w:rsidR="000063B8" w:rsidRDefault="00FE001E">
          <w:pPr>
            <w:tabs>
              <w:tab w:val="right" w:pos="9025"/>
            </w:tabs>
            <w:spacing w:before="60" w:line="240" w:lineRule="auto"/>
            <w:ind w:left="360"/>
            <w:rPr>
              <w:color w:val="000000"/>
            </w:rPr>
          </w:pPr>
          <w:r>
            <w:fldChar w:fldCharType="end"/>
          </w:r>
          <w:hyperlink w:anchor="_heading=h.3rdcrjn">
            <w:r>
              <w:rPr>
                <w:color w:val="000000"/>
              </w:rPr>
              <w:t>Digitalization</w:t>
            </w:r>
          </w:hyperlink>
          <w:r>
            <w:rPr>
              <w:color w:val="000000"/>
            </w:rPr>
            <w:tab/>
          </w:r>
          <w:r>
            <w:fldChar w:fldCharType="begin"/>
          </w:r>
          <w:r>
            <w:instrText xml:space="preserve"> HYPERLINK \l "_heading=h.3rdcrjn" </w:instrText>
          </w:r>
          <w:r>
            <w:fldChar w:fldCharType="separate"/>
          </w:r>
          <w:r>
            <w:rPr>
              <w:color w:val="000000"/>
            </w:rPr>
            <w:t>8</w:t>
          </w:r>
        </w:p>
        <w:p w14:paraId="4357E724" w14:textId="77777777" w:rsidR="000063B8" w:rsidRDefault="00FE001E">
          <w:pPr>
            <w:tabs>
              <w:tab w:val="right" w:pos="9025"/>
            </w:tabs>
            <w:spacing w:before="60" w:line="240" w:lineRule="auto"/>
            <w:ind w:left="360"/>
            <w:rPr>
              <w:color w:val="000000"/>
            </w:rPr>
          </w:pPr>
          <w:r>
            <w:fldChar w:fldCharType="end"/>
          </w:r>
          <w:hyperlink w:anchor="_heading=h.26in1rg">
            <w:r>
              <w:rPr>
                <w:color w:val="000000"/>
              </w:rPr>
              <w:t>Communication</w:t>
            </w:r>
          </w:hyperlink>
          <w:r>
            <w:rPr>
              <w:color w:val="000000"/>
            </w:rPr>
            <w:tab/>
          </w:r>
          <w:r>
            <w:fldChar w:fldCharType="begin"/>
          </w:r>
          <w:r>
            <w:instrText xml:space="preserve"> HYPERLINK \l "_heading=h.26in1rg" </w:instrText>
          </w:r>
          <w:r>
            <w:fldChar w:fldCharType="separate"/>
          </w:r>
          <w:r>
            <w:rPr>
              <w:color w:val="000000"/>
            </w:rPr>
            <w:t>8</w:t>
          </w:r>
        </w:p>
        <w:p w14:paraId="1E4B1FA8" w14:textId="77777777" w:rsidR="000063B8" w:rsidRDefault="00FE001E">
          <w:pPr>
            <w:tabs>
              <w:tab w:val="right" w:pos="9025"/>
            </w:tabs>
            <w:spacing w:before="200" w:line="240" w:lineRule="auto"/>
          </w:pPr>
          <w:r>
            <w:fldChar w:fldCharType="end"/>
          </w:r>
          <w:hyperlink w:anchor="_heading=h.lnxbz9">
            <w:r>
              <w:t>Strategies of Human Resources in the post-Brexit external environment</w:t>
            </w:r>
          </w:hyperlink>
          <w:r>
            <w:tab/>
          </w:r>
          <w:r>
            <w:fldChar w:fldCharType="begin"/>
          </w:r>
          <w:r>
            <w:instrText xml:space="preserve"> HYPERLINK \l "_heading=h.lnxbz9" </w:instrText>
          </w:r>
          <w:r>
            <w:fldChar w:fldCharType="separate"/>
          </w:r>
          <w:r>
            <w:t>9</w:t>
          </w:r>
        </w:p>
        <w:p w14:paraId="430A1FC3" w14:textId="77777777" w:rsidR="000063B8" w:rsidRDefault="00FE001E">
          <w:pPr>
            <w:tabs>
              <w:tab w:val="right" w:pos="9025"/>
            </w:tabs>
            <w:spacing w:before="60" w:line="240" w:lineRule="auto"/>
            <w:ind w:left="360"/>
            <w:rPr>
              <w:color w:val="000000"/>
            </w:rPr>
          </w:pPr>
          <w:r>
            <w:fldChar w:fldCharType="end"/>
          </w:r>
          <w:hyperlink w:anchor="_heading=h.35nkun2">
            <w:r>
              <w:rPr>
                <w:color w:val="000000"/>
              </w:rPr>
              <w:t>Planning in Workforce</w:t>
            </w:r>
          </w:hyperlink>
          <w:r>
            <w:rPr>
              <w:color w:val="000000"/>
            </w:rPr>
            <w:tab/>
          </w:r>
          <w:r>
            <w:fldChar w:fldCharType="begin"/>
          </w:r>
          <w:r>
            <w:instrText xml:space="preserve"> HYPERLINK \l "_heading=h.35nkun2" </w:instrText>
          </w:r>
          <w:r>
            <w:fldChar w:fldCharType="separate"/>
          </w:r>
          <w:r>
            <w:rPr>
              <w:color w:val="000000"/>
            </w:rPr>
            <w:t>9</w:t>
          </w:r>
        </w:p>
        <w:p w14:paraId="76714A5D" w14:textId="77777777" w:rsidR="000063B8" w:rsidRDefault="00FE001E">
          <w:pPr>
            <w:tabs>
              <w:tab w:val="right" w:pos="9025"/>
            </w:tabs>
            <w:spacing w:before="60" w:line="240" w:lineRule="auto"/>
            <w:ind w:left="360"/>
            <w:rPr>
              <w:color w:val="000000"/>
            </w:rPr>
          </w:pPr>
          <w:r>
            <w:fldChar w:fldCharType="end"/>
          </w:r>
          <w:hyperlink w:anchor="_heading=h.1ksv4uv">
            <w:r>
              <w:rPr>
                <w:color w:val="000000"/>
              </w:rPr>
              <w:t>Att</w:t>
            </w:r>
            <w:r>
              <w:rPr>
                <w:color w:val="000000"/>
              </w:rPr>
              <w:t>ract a Wide Range of Talent</w:t>
            </w:r>
          </w:hyperlink>
          <w:r>
            <w:rPr>
              <w:color w:val="000000"/>
            </w:rPr>
            <w:tab/>
          </w:r>
          <w:r>
            <w:fldChar w:fldCharType="begin"/>
          </w:r>
          <w:r>
            <w:instrText xml:space="preserve"> HYPERLINK \l "_heading=h.1ksv4uv" </w:instrText>
          </w:r>
          <w:r>
            <w:fldChar w:fldCharType="separate"/>
          </w:r>
          <w:r>
            <w:rPr>
              <w:color w:val="000000"/>
            </w:rPr>
            <w:t>9</w:t>
          </w:r>
        </w:p>
        <w:p w14:paraId="733EB968" w14:textId="77777777" w:rsidR="000063B8" w:rsidRDefault="00FE001E">
          <w:pPr>
            <w:tabs>
              <w:tab w:val="right" w:pos="9025"/>
            </w:tabs>
            <w:spacing w:before="60" w:line="240" w:lineRule="auto"/>
            <w:ind w:left="360"/>
            <w:rPr>
              <w:color w:val="000000"/>
            </w:rPr>
          </w:pPr>
          <w:r>
            <w:fldChar w:fldCharType="end"/>
          </w:r>
          <w:hyperlink w:anchor="_heading=h.44sinio">
            <w:r>
              <w:rPr>
                <w:color w:val="000000"/>
              </w:rPr>
              <w:t>A collaborative effort at Work</w:t>
            </w:r>
          </w:hyperlink>
          <w:r>
            <w:rPr>
              <w:color w:val="000000"/>
            </w:rPr>
            <w:tab/>
          </w:r>
          <w:r>
            <w:fldChar w:fldCharType="begin"/>
          </w:r>
          <w:r>
            <w:instrText xml:space="preserve"> PAGEREF _heading=h.44sinio \h </w:instrText>
          </w:r>
          <w:r>
            <w:fldChar w:fldCharType="separate"/>
          </w:r>
          <w:r>
            <w:rPr>
              <w:color w:val="000000"/>
            </w:rPr>
            <w:t>10</w:t>
          </w:r>
          <w:r>
            <w:fldChar w:fldCharType="end"/>
          </w:r>
          <w:r>
            <w:rPr>
              <w:color w:val="000000"/>
            </w:rPr>
            <w:tab/>
          </w:r>
          <w:hyperlink w:anchor="_heading=h.2jxsxqh">
            <w:r>
              <w:rPr>
                <w:color w:val="000000"/>
              </w:rPr>
              <w:t>10</w:t>
            </w:r>
          </w:hyperlink>
        </w:p>
        <w:p w14:paraId="485BD313" w14:textId="77777777" w:rsidR="000063B8" w:rsidRDefault="00FE001E">
          <w:pPr>
            <w:tabs>
              <w:tab w:val="right" w:pos="9025"/>
            </w:tabs>
            <w:spacing w:before="200" w:line="240" w:lineRule="auto"/>
            <w:rPr>
              <w:color w:val="000000"/>
            </w:rPr>
          </w:pPr>
          <w:hyperlink w:anchor="_heading=h.z337ya">
            <w:r>
              <w:rPr>
                <w:color w:val="000000"/>
              </w:rPr>
              <w:t>Swot Analysis of  Strategies of Human Resources</w:t>
            </w:r>
          </w:hyperlink>
          <w:r>
            <w:rPr>
              <w:color w:val="000000"/>
            </w:rPr>
            <w:tab/>
          </w:r>
          <w:r>
            <w:fldChar w:fldCharType="begin"/>
          </w:r>
          <w:r>
            <w:instrText xml:space="preserve"> HYPERLINK \l "_heading=h.z337ya" </w:instrText>
          </w:r>
          <w:r>
            <w:fldChar w:fldCharType="separate"/>
          </w:r>
          <w:r>
            <w:rPr>
              <w:color w:val="000000"/>
            </w:rPr>
            <w:t>10</w:t>
          </w:r>
        </w:p>
        <w:p w14:paraId="05BD6955" w14:textId="77777777" w:rsidR="000063B8" w:rsidRDefault="00FE001E">
          <w:pPr>
            <w:tabs>
              <w:tab w:val="right" w:pos="9025"/>
            </w:tabs>
            <w:spacing w:before="200" w:line="240" w:lineRule="auto"/>
            <w:rPr>
              <w:color w:val="000000"/>
            </w:rPr>
          </w:pPr>
          <w:r>
            <w:fldChar w:fldCharType="end"/>
          </w:r>
          <w:hyperlink w:anchor="_heading=h.3j2qqm3">
            <w:r>
              <w:rPr>
                <w:color w:val="000000"/>
              </w:rPr>
              <w:t>Conclusion</w:t>
            </w:r>
          </w:hyperlink>
          <w:r>
            <w:rPr>
              <w:color w:val="000000"/>
            </w:rPr>
            <w:tab/>
          </w:r>
          <w:r>
            <w:fldChar w:fldCharType="begin"/>
          </w:r>
          <w:r>
            <w:instrText xml:space="preserve"> HYPERLINK \l "_heading=h.3j2qqm3" </w:instrText>
          </w:r>
          <w:r>
            <w:fldChar w:fldCharType="separate"/>
          </w:r>
          <w:r>
            <w:rPr>
              <w:color w:val="000000"/>
            </w:rPr>
            <w:t>11</w:t>
          </w:r>
        </w:p>
        <w:p w14:paraId="4E7E84CC" w14:textId="77777777" w:rsidR="000063B8" w:rsidRDefault="00FE001E">
          <w:pPr>
            <w:tabs>
              <w:tab w:val="right" w:pos="9025"/>
            </w:tabs>
            <w:spacing w:before="200" w:after="80" w:line="240" w:lineRule="auto"/>
            <w:rPr>
              <w:color w:val="000000"/>
            </w:rPr>
          </w:pPr>
          <w:r>
            <w:fldChar w:fldCharType="end"/>
          </w:r>
          <w:hyperlink w:anchor="_heading=h.4i7ojhp">
            <w:r>
              <w:rPr>
                <w:color w:val="000000"/>
              </w:rPr>
              <w:t>Reference</w:t>
            </w:r>
          </w:hyperlink>
          <w:r>
            <w:rPr>
              <w:color w:val="000000"/>
            </w:rPr>
            <w:tab/>
          </w:r>
          <w:r>
            <w:fldChar w:fldCharType="begin"/>
          </w:r>
          <w:r>
            <w:instrText xml:space="preserve"> PAGEREF _heading=h.4i7ojhp \h </w:instrText>
          </w:r>
          <w:r>
            <w:fldChar w:fldCharType="separate"/>
          </w:r>
          <w:r>
            <w:rPr>
              <w:color w:val="000000"/>
            </w:rPr>
            <w:t>12</w:t>
          </w:r>
          <w:r>
            <w:fldChar w:fldCharType="end"/>
          </w:r>
          <w:r>
            <w:fldChar w:fldCharType="end"/>
          </w:r>
        </w:p>
      </w:sdtContent>
    </w:sdt>
    <w:p w14:paraId="66B9524F" w14:textId="77777777" w:rsidR="000063B8" w:rsidRDefault="000063B8"/>
    <w:p w14:paraId="6E97967C" w14:textId="77777777" w:rsidR="000063B8" w:rsidRDefault="00FE001E">
      <w:r>
        <w:br w:type="page"/>
      </w:r>
    </w:p>
    <w:p w14:paraId="48750191" w14:textId="77777777" w:rsidR="000063B8" w:rsidRDefault="00FE001E">
      <w:pPr>
        <w:pStyle w:val="Heading1"/>
        <w:spacing w:line="480" w:lineRule="auto"/>
        <w:rPr>
          <w:b/>
        </w:rPr>
      </w:pPr>
      <w:bookmarkStart w:id="1" w:name="_heading=h.gjdgxs" w:colFirst="0" w:colLast="0"/>
      <w:bookmarkEnd w:id="1"/>
      <w:r>
        <w:rPr>
          <w:b/>
        </w:rPr>
        <w:lastRenderedPageBreak/>
        <w:t xml:space="preserve">Introduction </w:t>
      </w:r>
    </w:p>
    <w:p w14:paraId="4BC9EE84" w14:textId="77777777" w:rsidR="000063B8" w:rsidRDefault="00FE001E">
      <w:pPr>
        <w:spacing w:line="480" w:lineRule="auto"/>
        <w:ind w:firstLine="720"/>
      </w:pPr>
      <w:r>
        <w:t xml:space="preserve">Human resources management (HRM) is the method of recruiting individuals, providing them with the necessary training and compensation, creating regulations related </w:t>
      </w:r>
      <w:r>
        <w:t>to them, and creating retention plans. The general state of the UK labor market and the impact of COVID and BREXIT on human resource planning have been covered in this study.</w:t>
      </w:r>
    </w:p>
    <w:p w14:paraId="1CD02BCD" w14:textId="77777777" w:rsidR="000063B8" w:rsidRDefault="00FE001E">
      <w:pPr>
        <w:pStyle w:val="Heading1"/>
        <w:spacing w:line="480" w:lineRule="auto"/>
        <w:rPr>
          <w:b/>
        </w:rPr>
      </w:pPr>
      <w:bookmarkStart w:id="2" w:name="_heading=h.30j0zll" w:colFirst="0" w:colLast="0"/>
      <w:bookmarkEnd w:id="2"/>
      <w:r>
        <w:rPr>
          <w:b/>
        </w:rPr>
        <w:t>The current state of the labor market in the UK</w:t>
      </w:r>
    </w:p>
    <w:p w14:paraId="792D15E2" w14:textId="77777777" w:rsidR="000063B8" w:rsidRDefault="00FE001E">
      <w:pPr>
        <w:pStyle w:val="Heading1"/>
        <w:spacing w:line="480" w:lineRule="auto"/>
        <w:rPr>
          <w:b/>
        </w:rPr>
      </w:pPr>
      <w:bookmarkStart w:id="3" w:name="_heading=h.1fob9te" w:colFirst="0" w:colLast="0"/>
      <w:bookmarkEnd w:id="3"/>
      <w:r>
        <w:rPr>
          <w:b/>
        </w:rPr>
        <w:t xml:space="preserve">Overview of the labor market </w:t>
      </w:r>
    </w:p>
    <w:p w14:paraId="51AD8B11" w14:textId="77777777" w:rsidR="000063B8" w:rsidRDefault="00FE001E">
      <w:pPr>
        <w:spacing w:line="480" w:lineRule="auto"/>
        <w:ind w:firstLine="720"/>
      </w:pPr>
      <w:r>
        <w:t>Acc</w:t>
      </w:r>
      <w:r>
        <w:t xml:space="preserve">ording to the most recent </w:t>
      </w:r>
      <w:proofErr w:type="spellStart"/>
      <w:r>
        <w:t>Labour</w:t>
      </w:r>
      <w:proofErr w:type="spellEnd"/>
      <w:r>
        <w:t xml:space="preserve"> Force Study (LFS) guesstimates for February to April 2022, the workforce rate has increased during the quarter, whilst also underemployment and financial lack of activity prices reduced.</w:t>
      </w:r>
    </w:p>
    <w:p w14:paraId="09BCF0B5" w14:textId="77777777" w:rsidR="000063B8" w:rsidRDefault="00FE001E">
      <w:pPr>
        <w:spacing w:line="480" w:lineRule="auto"/>
        <w:ind w:firstLine="720"/>
      </w:pPr>
      <w:r>
        <w:t>The rate of employment in the United</w:t>
      </w:r>
      <w:r>
        <w:t xml:space="preserve"> Kingdom grew by 0.2 proportion points during the third quarter to 75.6%, but somehow it remains below the pre-coronavirus (COVID-19) global epidemic stages (</w:t>
      </w:r>
      <w:proofErr w:type="spellStart"/>
      <w:r>
        <w:t>Brell</w:t>
      </w:r>
      <w:proofErr w:type="spellEnd"/>
      <w:r>
        <w:t xml:space="preserve">, </w:t>
      </w:r>
      <w:proofErr w:type="spellStart"/>
      <w:r>
        <w:t>Dustmann</w:t>
      </w:r>
      <w:proofErr w:type="spellEnd"/>
      <w:r>
        <w:t xml:space="preserve"> &amp; Preston, 2020). The percentage of full-time workers employed to historic highs d</w:t>
      </w:r>
      <w:r>
        <w:t xml:space="preserve">uring the quarter, although this was counterbalanced by a reduction in the </w:t>
      </w:r>
      <w:proofErr w:type="gramStart"/>
      <w:r>
        <w:t>amount</w:t>
      </w:r>
      <w:proofErr w:type="gramEnd"/>
      <w:r>
        <w:t xml:space="preserve"> of part-time staff. Self-employment tumbled during the coronavirus disease outbreak and has stayed steady, despite having enhanced so over a quarter.</w:t>
      </w:r>
    </w:p>
    <w:p w14:paraId="306B07F4" w14:textId="77777777" w:rsidR="000063B8" w:rsidRDefault="00FE001E">
      <w:pPr>
        <w:spacing w:line="480" w:lineRule="auto"/>
        <w:ind w:firstLine="720"/>
      </w:pPr>
      <w:r>
        <w:t>The most recent report o</w:t>
      </w:r>
      <w:r>
        <w:t xml:space="preserve">f </w:t>
      </w:r>
      <w:proofErr w:type="spellStart"/>
      <w:r>
        <w:t>payrolled</w:t>
      </w:r>
      <w:proofErr w:type="spellEnd"/>
      <w:r>
        <w:t xml:space="preserve"> staff members for May 2022 demonstrates a monthly increase to a combined total of 29.6 million, up 90,000 from the amended April 2022 guesstimate. Current total weekly overtime hours continued to increase by 12.2 million hours from February to </w:t>
      </w:r>
      <w:r>
        <w:t>April 2022, reaching 1.04 billion times. This remains 7.6 million less than the stage of the pre-coronavirus epidemic (</w:t>
      </w:r>
      <w:proofErr w:type="spellStart"/>
      <w:r>
        <w:t>Su</w:t>
      </w:r>
      <w:proofErr w:type="spellEnd"/>
      <w:r>
        <w:t xml:space="preserve"> et al., 2021). The average </w:t>
      </w:r>
      <w:proofErr w:type="gramStart"/>
      <w:r>
        <w:t>mean</w:t>
      </w:r>
      <w:proofErr w:type="gramEnd"/>
      <w:r>
        <w:t xml:space="preserve"> weekly total hours have already been brought back to similar levels to those before the coronavirus gl</w:t>
      </w:r>
      <w:r>
        <w:t>obal epidemic, with part-time people working 0.6 hours even more since the pandemic. As an outcome, the decrease in overall hours compared to the pre-coronavirus is due to fewer people working.</w:t>
      </w:r>
    </w:p>
    <w:p w14:paraId="151CD7F6" w14:textId="77777777" w:rsidR="000063B8" w:rsidRDefault="00FE001E">
      <w:pPr>
        <w:spacing w:line="480" w:lineRule="auto"/>
        <w:ind w:firstLine="720"/>
      </w:pPr>
      <w:r>
        <w:lastRenderedPageBreak/>
        <w:t xml:space="preserve">From February to April 2022 </w:t>
      </w:r>
      <w:proofErr w:type="gramStart"/>
      <w:r>
        <w:t>The</w:t>
      </w:r>
      <w:proofErr w:type="gramEnd"/>
      <w:r>
        <w:t xml:space="preserve"> rate of unemployment decreased</w:t>
      </w:r>
      <w:r>
        <w:t xml:space="preserve"> by 0.1 percentage point to 3.8%. Unemployment for a minimum of six months was enhanced in the most recent three-month time frame, the highest rise as of late 2020. This was counterbalanced, even so, by declines in those workless for more than six months, </w:t>
      </w:r>
      <w:r>
        <w:t>with all those underemployed for 6 to 12 months falling to a historically low level. The number of people who have been out of work for more than a year have also decreased.</w:t>
      </w:r>
    </w:p>
    <w:p w14:paraId="0E95B450" w14:textId="77777777" w:rsidR="000063B8" w:rsidRDefault="00FE001E">
      <w:pPr>
        <w:spacing w:line="480" w:lineRule="auto"/>
        <w:ind w:firstLine="720"/>
      </w:pPr>
      <w:r>
        <w:t>From February to April 2022, the level of economic lack of activity fell by 0.1 pe</w:t>
      </w:r>
      <w:r>
        <w:t>rcentage point to 21.3%. The decreasing trend in institutional lack of activity compared to the prior three-month period was mainly driven by pupils who were permanently unemployed.</w:t>
      </w:r>
    </w:p>
    <w:p w14:paraId="20332087" w14:textId="77777777" w:rsidR="000063B8" w:rsidRDefault="00FE001E">
      <w:pPr>
        <w:pStyle w:val="Heading1"/>
        <w:spacing w:line="480" w:lineRule="auto"/>
        <w:ind w:firstLine="720"/>
      </w:pPr>
      <w:r>
        <w:t>From March to May 2022, the number of workers reached a new high of 1,300,</w:t>
      </w:r>
      <w:r>
        <w:t>000. Nevertheless, the rate of increase in vacant positions has slowed. From February to April 2022, mean overall compensation (along with bonus payments) increased by 6.8%, while normal pay (with exception of bonus payments) increased by 4.2% (</w:t>
      </w:r>
      <w:proofErr w:type="spellStart"/>
      <w:r>
        <w:t>Petrongolo</w:t>
      </w:r>
      <w:proofErr w:type="spellEnd"/>
      <w:r>
        <w:t xml:space="preserve"> </w:t>
      </w:r>
      <w:r>
        <w:t>&amp; Ronchi, 2020). In fact (accounting for inflation), overall compensation increased by 0.4%, but normal pay decreased by 2.2% year on year; powerful retention bonuses have managed to keep recent real overall compensation expansion optimistic. Foundation an</w:t>
      </w:r>
      <w:r>
        <w:t>d configurational impacts boosted the prior month's powerful levels of growth. These variables have dissipated.</w:t>
      </w:r>
    </w:p>
    <w:p w14:paraId="6473AF1C" w14:textId="77777777" w:rsidR="000063B8" w:rsidRDefault="00FE001E">
      <w:pPr>
        <w:pStyle w:val="Heading2"/>
        <w:spacing w:line="480" w:lineRule="auto"/>
        <w:rPr>
          <w:b/>
        </w:rPr>
      </w:pPr>
      <w:bookmarkStart w:id="4" w:name="_heading=h.3znysh7" w:colFirst="0" w:colLast="0"/>
      <w:bookmarkEnd w:id="4"/>
      <w:r>
        <w:rPr>
          <w:b/>
        </w:rPr>
        <w:t xml:space="preserve">Latest Indicators of the UK Labor Market </w:t>
      </w:r>
    </w:p>
    <w:p w14:paraId="4511BDBB" w14:textId="77777777" w:rsidR="000063B8" w:rsidRDefault="00FE001E">
      <w:pPr>
        <w:pStyle w:val="Heading2"/>
        <w:spacing w:line="480" w:lineRule="auto"/>
        <w:rPr>
          <w:b/>
        </w:rPr>
      </w:pPr>
      <w:bookmarkStart w:id="5" w:name="_heading=h.2et92p0" w:colFirst="0" w:colLast="0"/>
      <w:bookmarkEnd w:id="5"/>
      <w:r>
        <w:rPr>
          <w:b/>
        </w:rPr>
        <w:t xml:space="preserve">Payroll Employees </w:t>
      </w:r>
    </w:p>
    <w:p w14:paraId="54A892BD" w14:textId="77777777" w:rsidR="000063B8" w:rsidRDefault="00FE001E">
      <w:pPr>
        <w:spacing w:line="480" w:lineRule="auto"/>
        <w:ind w:firstLine="720"/>
      </w:pPr>
      <w:r>
        <w:t xml:space="preserve">Preliminary reports for July 2022 show 29.7 million </w:t>
      </w:r>
      <w:proofErr w:type="spellStart"/>
      <w:r>
        <w:t>payrolled</w:t>
      </w:r>
      <w:proofErr w:type="spellEnd"/>
      <w:r>
        <w:t xml:space="preserve"> staff members, a 2.9% increase over the comparable period the preceding year. This represents an increase of 847,000 individuals in a year. In July 2022, the percentage of </w:t>
      </w:r>
      <w:proofErr w:type="spellStart"/>
      <w:r>
        <w:t>payrolled</w:t>
      </w:r>
      <w:proofErr w:type="spellEnd"/>
      <w:r>
        <w:t xml:space="preserve"> employees in</w:t>
      </w:r>
      <w:r>
        <w:t>creased by 0.2% over the preceding period, amounting to 73,000 people. The initial guesstimate for July 2022 reveals that the overall pace of growth has decreased this month but stayed fairly significant (</w:t>
      </w:r>
      <w:proofErr w:type="spellStart"/>
      <w:r>
        <w:t>Goos</w:t>
      </w:r>
      <w:proofErr w:type="spellEnd"/>
      <w:r>
        <w:t>, 2018). This decrease in the rate of growth wo</w:t>
      </w:r>
      <w:r>
        <w:t xml:space="preserve">uld be influenced in part by the comparison </w:t>
      </w:r>
      <w:r>
        <w:lastRenderedPageBreak/>
        <w:t>to the rise in staff figures beginning in March 2021, the very first substantial improvement as of January 2020. Since it is predicated on an initial approximate of July 2022 staff members, this monthly expansion</w:t>
      </w:r>
      <w:r>
        <w:t xml:space="preserve"> of 73,000 should be considered provisional. The most recent time frame, illustrated in orange, is based on preliminary information and thus is more probable to be subject to relatively greater adjustments.</w:t>
      </w:r>
    </w:p>
    <w:p w14:paraId="62123466" w14:textId="77777777" w:rsidR="000063B8" w:rsidRDefault="000063B8">
      <w:pPr>
        <w:spacing w:line="480" w:lineRule="auto"/>
        <w:ind w:firstLine="720"/>
      </w:pPr>
    </w:p>
    <w:p w14:paraId="6F7121CA" w14:textId="77777777" w:rsidR="000063B8" w:rsidRDefault="00FE001E">
      <w:pPr>
        <w:spacing w:line="480" w:lineRule="auto"/>
        <w:ind w:firstLine="720"/>
        <w:jc w:val="center"/>
      </w:pPr>
      <w:r>
        <w:rPr>
          <w:noProof/>
          <w:color w:val="000000"/>
        </w:rPr>
        <w:drawing>
          <wp:inline distT="0" distB="0" distL="0" distR="0" wp14:anchorId="7688AA1C" wp14:editId="73F2DC78">
            <wp:extent cx="3063644" cy="2399080"/>
            <wp:effectExtent l="0" t="0" r="0" b="0"/>
            <wp:docPr id="7" name="image3.png" descr="https://lh6.googleusercontent.com/5Y-8uw6j451IgR6EsErVk4Carb5usI6eqlNHTXBx_OVamzeKpxL1WqiyZ3orRJhVx2HmLnr2V9sHuUgzOctM0xYkQ0S9qzc8U5OfH92-SAcPrs8UqhOS9bdJC6XH0hXCHBaYCZDDB7G7be6TPr4ndg"/>
            <wp:cNvGraphicFramePr/>
            <a:graphic xmlns:a="http://schemas.openxmlformats.org/drawingml/2006/main">
              <a:graphicData uri="http://schemas.openxmlformats.org/drawingml/2006/picture">
                <pic:pic xmlns:pic="http://schemas.openxmlformats.org/drawingml/2006/picture">
                  <pic:nvPicPr>
                    <pic:cNvPr id="0" name="image3.png" descr="https://lh6.googleusercontent.com/5Y-8uw6j451IgR6EsErVk4Carb5usI6eqlNHTXBx_OVamzeKpxL1WqiyZ3orRJhVx2HmLnr2V9sHuUgzOctM0xYkQ0S9qzc8U5OfH92-SAcPrs8UqhOS9bdJC6XH0hXCHBaYCZDDB7G7be6TPr4ndg"/>
                    <pic:cNvPicPr preferRelativeResize="0"/>
                  </pic:nvPicPr>
                  <pic:blipFill>
                    <a:blip r:embed="rId8"/>
                    <a:srcRect/>
                    <a:stretch>
                      <a:fillRect/>
                    </a:stretch>
                  </pic:blipFill>
                  <pic:spPr>
                    <a:xfrm>
                      <a:off x="0" y="0"/>
                      <a:ext cx="3063644" cy="2399080"/>
                    </a:xfrm>
                    <a:prstGeom prst="rect">
                      <a:avLst/>
                    </a:prstGeom>
                    <a:ln/>
                  </pic:spPr>
                </pic:pic>
              </a:graphicData>
            </a:graphic>
          </wp:inline>
        </w:drawing>
      </w:r>
    </w:p>
    <w:p w14:paraId="622A426F" w14:textId="77777777" w:rsidR="000063B8" w:rsidRDefault="00FE001E">
      <w:pPr>
        <w:spacing w:line="480" w:lineRule="auto"/>
        <w:ind w:firstLine="720"/>
        <w:jc w:val="center"/>
        <w:rPr>
          <w:b/>
        </w:rPr>
      </w:pPr>
      <w:r>
        <w:rPr>
          <w:b/>
        </w:rPr>
        <w:t>Figure 1: Payroll employees</w:t>
      </w:r>
    </w:p>
    <w:p w14:paraId="0A438680" w14:textId="77777777" w:rsidR="000063B8" w:rsidRDefault="00FE001E">
      <w:pPr>
        <w:spacing w:line="480" w:lineRule="auto"/>
        <w:ind w:firstLine="720"/>
        <w:jc w:val="center"/>
        <w:rPr>
          <w:b/>
        </w:rPr>
      </w:pPr>
      <w:r>
        <w:rPr>
          <w:b/>
        </w:rPr>
        <w:t>Source: (</w:t>
      </w:r>
      <w:proofErr w:type="spellStart"/>
      <w:r>
        <w:rPr>
          <w:b/>
        </w:rPr>
        <w:t>Goos</w:t>
      </w:r>
      <w:proofErr w:type="spellEnd"/>
      <w:r>
        <w:rPr>
          <w:b/>
        </w:rPr>
        <w:t>, 201</w:t>
      </w:r>
      <w:r>
        <w:rPr>
          <w:b/>
        </w:rPr>
        <w:t>8)</w:t>
      </w:r>
    </w:p>
    <w:p w14:paraId="5B8B9EBC" w14:textId="77777777" w:rsidR="000063B8" w:rsidRDefault="00FE001E">
      <w:pPr>
        <w:pStyle w:val="Heading2"/>
        <w:spacing w:line="480" w:lineRule="auto"/>
        <w:rPr>
          <w:b/>
        </w:rPr>
      </w:pPr>
      <w:bookmarkStart w:id="6" w:name="_heading=h.tyjcwt" w:colFirst="0" w:colLast="0"/>
      <w:bookmarkEnd w:id="6"/>
      <w:r>
        <w:rPr>
          <w:b/>
        </w:rPr>
        <w:t>Rate of Employment</w:t>
      </w:r>
    </w:p>
    <w:p w14:paraId="16558205" w14:textId="77777777" w:rsidR="000063B8" w:rsidRDefault="00FE001E">
      <w:pPr>
        <w:spacing w:line="480" w:lineRule="auto"/>
        <w:ind w:firstLine="720"/>
      </w:pPr>
      <w:r>
        <w:t xml:space="preserve">Further to a rise in employment as of initial 2012, the percentage fell after the coronavirus (COVID-19) global epidemic began. It has seen a rise since the end of </w:t>
      </w:r>
      <w:proofErr w:type="gramStart"/>
      <w:r>
        <w:t>2020,</w:t>
      </w:r>
      <w:proofErr w:type="gramEnd"/>
      <w:r>
        <w:t xml:space="preserve"> however, the labor force participation rate has recently actuall</w:t>
      </w:r>
      <w:r>
        <w:t xml:space="preserve">y decreased. Within the most recent three-month time frame, the </w:t>
      </w:r>
      <w:proofErr w:type="gramStart"/>
      <w:r>
        <w:t>amount</w:t>
      </w:r>
      <w:proofErr w:type="gramEnd"/>
      <w:r>
        <w:t xml:space="preserve"> of full-time employees is increasing. Whilst also part-time employment had already been growing since the start of 2021, indicating healing from the early phases of the coronavirus flu </w:t>
      </w:r>
      <w:r>
        <w:t xml:space="preserve">epidemic, there was a decline in the most recent three-month time frame (Bourguignon, 2018). The number of solo employees fell during the inaugural year of the coronavirus flu epidemic and has stayed steady, albeit marginally greater </w:t>
      </w:r>
      <w:r>
        <w:lastRenderedPageBreak/>
        <w:t>in the most recent thr</w:t>
      </w:r>
      <w:r>
        <w:t>ee-month time frame. This rise was caused by part-time self-employment and was partly mitigated by a reduction in full-time self-employment.</w:t>
      </w:r>
    </w:p>
    <w:p w14:paraId="6969A69F" w14:textId="77777777" w:rsidR="000063B8" w:rsidRDefault="00FE001E">
      <w:pPr>
        <w:spacing w:line="480" w:lineRule="auto"/>
        <w:ind w:firstLine="720"/>
        <w:jc w:val="center"/>
      </w:pPr>
      <w:r>
        <w:rPr>
          <w:noProof/>
          <w:color w:val="000000"/>
        </w:rPr>
        <w:drawing>
          <wp:inline distT="0" distB="0" distL="0" distR="0" wp14:anchorId="4700E1CD" wp14:editId="07E35935">
            <wp:extent cx="3172463" cy="3090885"/>
            <wp:effectExtent l="0" t="0" r="0" b="0"/>
            <wp:docPr id="9" name="image1.png" descr="https://lh5.googleusercontent.com/gqKLWKXA0aZLO71Arms-pGd4vRiWEb68qMfhAEUC6VSTG8MaB-XjqZGpLDrWNiDS5bhuTG-i5ezsBqAeUz-gpDkMn8SklEVrPwp4xV_07lRqa-sBwSj4GfvF8pMN_sDsDL_KGfhmMb1fX_9hQ4KGZw"/>
            <wp:cNvGraphicFramePr/>
            <a:graphic xmlns:a="http://schemas.openxmlformats.org/drawingml/2006/main">
              <a:graphicData uri="http://schemas.openxmlformats.org/drawingml/2006/picture">
                <pic:pic xmlns:pic="http://schemas.openxmlformats.org/drawingml/2006/picture">
                  <pic:nvPicPr>
                    <pic:cNvPr id="0" name="image1.png" descr="https://lh5.googleusercontent.com/gqKLWKXA0aZLO71Arms-pGd4vRiWEb68qMfhAEUC6VSTG8MaB-XjqZGpLDrWNiDS5bhuTG-i5ezsBqAeUz-gpDkMn8SklEVrPwp4xV_07lRqa-sBwSj4GfvF8pMN_sDsDL_KGfhmMb1fX_9hQ4KGZw"/>
                    <pic:cNvPicPr preferRelativeResize="0"/>
                  </pic:nvPicPr>
                  <pic:blipFill>
                    <a:blip r:embed="rId9"/>
                    <a:srcRect/>
                    <a:stretch>
                      <a:fillRect/>
                    </a:stretch>
                  </pic:blipFill>
                  <pic:spPr>
                    <a:xfrm>
                      <a:off x="0" y="0"/>
                      <a:ext cx="3172463" cy="3090885"/>
                    </a:xfrm>
                    <a:prstGeom prst="rect">
                      <a:avLst/>
                    </a:prstGeom>
                    <a:ln/>
                  </pic:spPr>
                </pic:pic>
              </a:graphicData>
            </a:graphic>
          </wp:inline>
        </w:drawing>
      </w:r>
    </w:p>
    <w:p w14:paraId="152A136E" w14:textId="77777777" w:rsidR="000063B8" w:rsidRDefault="00FE001E">
      <w:pPr>
        <w:pStyle w:val="Heading2"/>
        <w:spacing w:line="480" w:lineRule="auto"/>
        <w:jc w:val="center"/>
        <w:rPr>
          <w:b/>
        </w:rPr>
      </w:pPr>
      <w:bookmarkStart w:id="7" w:name="_heading=h.3dy6vkm" w:colFirst="0" w:colLast="0"/>
      <w:bookmarkEnd w:id="7"/>
      <w:r>
        <w:rPr>
          <w:b/>
        </w:rPr>
        <w:t>Figure: Role of Employment</w:t>
      </w:r>
    </w:p>
    <w:p w14:paraId="0A382B7F" w14:textId="77777777" w:rsidR="000063B8" w:rsidRDefault="00FE001E">
      <w:pPr>
        <w:spacing w:line="480" w:lineRule="auto"/>
        <w:jc w:val="center"/>
        <w:rPr>
          <w:b/>
        </w:rPr>
      </w:pPr>
      <w:r>
        <w:rPr>
          <w:b/>
        </w:rPr>
        <w:t>Source: (Bourguignon, 2018)</w:t>
      </w:r>
    </w:p>
    <w:p w14:paraId="27E95405" w14:textId="77777777" w:rsidR="000063B8" w:rsidRDefault="00FE001E">
      <w:pPr>
        <w:pStyle w:val="Heading2"/>
        <w:spacing w:line="480" w:lineRule="auto"/>
        <w:rPr>
          <w:b/>
        </w:rPr>
      </w:pPr>
      <w:r>
        <w:rPr>
          <w:b/>
        </w:rPr>
        <w:t xml:space="preserve">Working Hours </w:t>
      </w:r>
    </w:p>
    <w:p w14:paraId="3D491617" w14:textId="77777777" w:rsidR="000063B8" w:rsidRDefault="00FE001E">
      <w:pPr>
        <w:spacing w:line="480" w:lineRule="auto"/>
        <w:ind w:firstLine="720"/>
      </w:pPr>
      <w:r>
        <w:t>Since the stress relief of coronavirus full</w:t>
      </w:r>
      <w:r>
        <w:t xml:space="preserve"> defensive metrics, current total weekly average hours in the UK have increased. Current total weekly overtime hours reduced by 0.8 overtime opportunities to 1.04 billion hours from April to June 2022, versus the previous three-month period (</w:t>
      </w:r>
      <w:proofErr w:type="spellStart"/>
      <w:r>
        <w:t>Abdurakhmanova</w:t>
      </w:r>
      <w:proofErr w:type="spellEnd"/>
      <w:r>
        <w:t xml:space="preserve"> &amp; </w:t>
      </w:r>
      <w:proofErr w:type="spellStart"/>
      <w:r>
        <w:t>Abdurakhmanov</w:t>
      </w:r>
      <w:proofErr w:type="spellEnd"/>
      <w:r>
        <w:t>, 2019). This remains 9.5 million hour shifts less than pre-pandemic tiers (December 2019 to February 2020); even so, the current total once-a-week average hours by women surpassed pre-pandemic tiers. As an outcome, the decrease in total ho</w:t>
      </w:r>
      <w:r>
        <w:t xml:space="preserve">urs relative to pre-coronavirus global epidemic stages is due to fewer people working </w:t>
      </w:r>
    </w:p>
    <w:p w14:paraId="37E134C4" w14:textId="77777777" w:rsidR="000063B8" w:rsidRDefault="00FE001E">
      <w:pPr>
        <w:spacing w:line="480" w:lineRule="auto"/>
        <w:ind w:firstLine="720"/>
        <w:jc w:val="center"/>
      </w:pPr>
      <w:r>
        <w:rPr>
          <w:noProof/>
          <w:color w:val="000000"/>
        </w:rPr>
        <w:lastRenderedPageBreak/>
        <w:drawing>
          <wp:inline distT="0" distB="0" distL="0" distR="0" wp14:anchorId="37E1F0AA" wp14:editId="71DA7C40">
            <wp:extent cx="3840320" cy="3002893"/>
            <wp:effectExtent l="0" t="0" r="0" b="0"/>
            <wp:docPr id="8" name="image2.png" descr="https://lh3.googleusercontent.com/sZ8ZpSlY0da5omOSur-yYO5wSWJM5qG3_leXSiEH4hXik13_3NC-i1ERGnqmtAFNDKhj9MVHWj0HzkPRzib3qjYmdQttTpSt1Pz4AWMz3IDK97uSyvgKFuB6fKKfgbQaf1exEuH4QvXnC872Otzwmw"/>
            <wp:cNvGraphicFramePr/>
            <a:graphic xmlns:a="http://schemas.openxmlformats.org/drawingml/2006/main">
              <a:graphicData uri="http://schemas.openxmlformats.org/drawingml/2006/picture">
                <pic:pic xmlns:pic="http://schemas.openxmlformats.org/drawingml/2006/picture">
                  <pic:nvPicPr>
                    <pic:cNvPr id="0" name="image2.png" descr="https://lh3.googleusercontent.com/sZ8ZpSlY0da5omOSur-yYO5wSWJM5qG3_leXSiEH4hXik13_3NC-i1ERGnqmtAFNDKhj9MVHWj0HzkPRzib3qjYmdQttTpSt1Pz4AWMz3IDK97uSyvgKFuB6fKKfgbQaf1exEuH4QvXnC872Otzwmw"/>
                    <pic:cNvPicPr preferRelativeResize="0"/>
                  </pic:nvPicPr>
                  <pic:blipFill>
                    <a:blip r:embed="rId10"/>
                    <a:srcRect/>
                    <a:stretch>
                      <a:fillRect/>
                    </a:stretch>
                  </pic:blipFill>
                  <pic:spPr>
                    <a:xfrm>
                      <a:off x="0" y="0"/>
                      <a:ext cx="3840320" cy="3002893"/>
                    </a:xfrm>
                    <a:prstGeom prst="rect">
                      <a:avLst/>
                    </a:prstGeom>
                    <a:ln/>
                  </pic:spPr>
                </pic:pic>
              </a:graphicData>
            </a:graphic>
          </wp:inline>
        </w:drawing>
      </w:r>
    </w:p>
    <w:p w14:paraId="55B216D2" w14:textId="77777777" w:rsidR="000063B8" w:rsidRDefault="00FE001E">
      <w:pPr>
        <w:pStyle w:val="Heading2"/>
        <w:spacing w:line="480" w:lineRule="auto"/>
        <w:jc w:val="center"/>
        <w:rPr>
          <w:b/>
        </w:rPr>
      </w:pPr>
      <w:bookmarkStart w:id="8" w:name="_heading=h.1t3h5sf" w:colFirst="0" w:colLast="0"/>
      <w:bookmarkEnd w:id="8"/>
      <w:r>
        <w:rPr>
          <w:b/>
        </w:rPr>
        <w:t>Figure 3: Working Hours</w:t>
      </w:r>
    </w:p>
    <w:p w14:paraId="2C226B67" w14:textId="77777777" w:rsidR="000063B8" w:rsidRDefault="00FE001E">
      <w:pPr>
        <w:spacing w:line="480" w:lineRule="auto"/>
        <w:jc w:val="center"/>
        <w:rPr>
          <w:b/>
        </w:rPr>
      </w:pPr>
      <w:r>
        <w:rPr>
          <w:b/>
        </w:rPr>
        <w:t>Source: (</w:t>
      </w:r>
      <w:proofErr w:type="spellStart"/>
      <w:r>
        <w:rPr>
          <w:b/>
        </w:rPr>
        <w:t>Abdurakhmanova</w:t>
      </w:r>
      <w:proofErr w:type="spellEnd"/>
      <w:r>
        <w:rPr>
          <w:b/>
        </w:rPr>
        <w:t xml:space="preserve"> &amp; </w:t>
      </w:r>
      <w:proofErr w:type="spellStart"/>
      <w:r>
        <w:rPr>
          <w:b/>
        </w:rPr>
        <w:t>Abdurakhmanov</w:t>
      </w:r>
      <w:proofErr w:type="spellEnd"/>
      <w:r>
        <w:rPr>
          <w:b/>
        </w:rPr>
        <w:t>, 2019)</w:t>
      </w:r>
    </w:p>
    <w:p w14:paraId="3F7F2496" w14:textId="77777777" w:rsidR="000063B8" w:rsidRDefault="000063B8">
      <w:pPr>
        <w:pStyle w:val="Heading2"/>
        <w:spacing w:line="480" w:lineRule="auto"/>
        <w:rPr>
          <w:b/>
        </w:rPr>
      </w:pPr>
    </w:p>
    <w:p w14:paraId="0BAB63FD" w14:textId="77777777" w:rsidR="000063B8" w:rsidRDefault="00FE001E">
      <w:pPr>
        <w:pStyle w:val="Heading2"/>
        <w:spacing w:line="480" w:lineRule="auto"/>
        <w:rPr>
          <w:b/>
          <w:sz w:val="34"/>
          <w:szCs w:val="34"/>
        </w:rPr>
      </w:pPr>
      <w:r>
        <w:rPr>
          <w:b/>
        </w:rPr>
        <w:t>Rate of Unemployment</w:t>
      </w:r>
      <w:r>
        <w:rPr>
          <w:b/>
          <w:sz w:val="34"/>
          <w:szCs w:val="34"/>
        </w:rPr>
        <w:t xml:space="preserve">  </w:t>
      </w:r>
    </w:p>
    <w:p w14:paraId="49279E0D" w14:textId="77777777" w:rsidR="000063B8" w:rsidRDefault="00FE001E">
      <w:pPr>
        <w:spacing w:line="480" w:lineRule="auto"/>
        <w:ind w:firstLine="720"/>
      </w:pPr>
      <w:r>
        <w:t xml:space="preserve">Until about the beginning of the coronavirus flu epidemic in late 2013, </w:t>
      </w:r>
      <w:r>
        <w:t xml:space="preserve">the recession had already been usually declining. It rose till the finish of 2020 but has since been brought back to pre-pandemic tiers. The rate of unemployment grew mildly during the last three months. Unemployment for up to 12 months rose over the most </w:t>
      </w:r>
      <w:r>
        <w:t>recent three-month time frame, with those underemployed for 6 to 12 months continuing to increase from the very first moment as of February to April 2021 (Furman &amp; Seamans, 2019)</w:t>
      </w:r>
      <w:proofErr w:type="gramStart"/>
      <w:r>
        <w:t>. .</w:t>
      </w:r>
      <w:proofErr w:type="gramEnd"/>
      <w:r>
        <w:t xml:space="preserve"> This rise was partly mitigated by a reduction among those who had been out</w:t>
      </w:r>
      <w:r>
        <w:t xml:space="preserve"> of work for more than a year. </w:t>
      </w:r>
    </w:p>
    <w:p w14:paraId="0FE73AF5" w14:textId="77777777" w:rsidR="000063B8" w:rsidRDefault="00FE001E">
      <w:pPr>
        <w:pStyle w:val="Heading1"/>
        <w:spacing w:line="480" w:lineRule="auto"/>
        <w:rPr>
          <w:b/>
        </w:rPr>
      </w:pPr>
      <w:bookmarkStart w:id="9" w:name="_heading=h.4d34og8" w:colFirst="0" w:colLast="0"/>
      <w:bookmarkEnd w:id="9"/>
      <w:r>
        <w:rPr>
          <w:b/>
        </w:rPr>
        <w:t xml:space="preserve">Inactivity in Economy </w:t>
      </w:r>
    </w:p>
    <w:p w14:paraId="34CD8180" w14:textId="77777777" w:rsidR="000063B8" w:rsidRDefault="00FE001E">
      <w:pPr>
        <w:spacing w:line="480" w:lineRule="auto"/>
        <w:ind w:firstLine="720"/>
      </w:pPr>
      <w:r>
        <w:t>The level of economic complacency has usually been reducing since comparable record-keeping began in 1971; even so, it has risen as during the coronavirus outbreak. Rises in financial stagnation were driven mainly by those aged 16 to 24 years at the beginn</w:t>
      </w:r>
      <w:r>
        <w:t xml:space="preserve">ing of the coronavirus flu epidemic. Even so, recent increases have been driven by those aged 50 to 64 </w:t>
      </w:r>
      <w:r>
        <w:lastRenderedPageBreak/>
        <w:t>years, with this age cohort accounting for further than 60% of the rise in socioeconomic complacency during the flu epidemic (Schiff et al., 2020). Where</w:t>
      </w:r>
      <w:r>
        <w:t>as the percentage of long-term unemployed persons aged 16 to 24 years has been reducing since the initial 2021, it rose marginally during the most recent three-month timeframe (Mayhew &amp; Anand, 2020). And meanwhile, the percentage of long-term unemployed pe</w:t>
      </w:r>
      <w:r>
        <w:t>ople between the ages of 35 to 49 years fell in the most recent three-month time frame. The emerging changes in Human Resourcing Strategies in the post-Covid, post-Brexit</w:t>
      </w:r>
    </w:p>
    <w:p w14:paraId="4AEDE3B1" w14:textId="77777777" w:rsidR="000063B8" w:rsidRDefault="00FE001E">
      <w:pPr>
        <w:pStyle w:val="Heading1"/>
        <w:spacing w:line="480" w:lineRule="auto"/>
      </w:pPr>
      <w:bookmarkStart w:id="10" w:name="_heading=h.2s8eyo1" w:colFirst="0" w:colLast="0"/>
      <w:bookmarkEnd w:id="10"/>
      <w:r>
        <w:t>external environment.</w:t>
      </w:r>
    </w:p>
    <w:p w14:paraId="2344CF20" w14:textId="77777777" w:rsidR="000063B8" w:rsidRDefault="00FE001E">
      <w:pPr>
        <w:pStyle w:val="Heading2"/>
        <w:spacing w:line="480" w:lineRule="auto"/>
        <w:rPr>
          <w:b/>
        </w:rPr>
      </w:pPr>
      <w:bookmarkStart w:id="11" w:name="_heading=h.17dp8vu" w:colFirst="0" w:colLast="0"/>
      <w:bookmarkEnd w:id="11"/>
      <w:r>
        <w:rPr>
          <w:b/>
        </w:rPr>
        <w:t>Human Resource Resourcing Strategies in the Post-Covidien Era</w:t>
      </w:r>
    </w:p>
    <w:p w14:paraId="21CABF97" w14:textId="77777777" w:rsidR="000063B8" w:rsidRDefault="00FE001E">
      <w:pPr>
        <w:spacing w:line="480" w:lineRule="auto"/>
        <w:ind w:firstLine="720"/>
      </w:pPr>
      <w:r>
        <w:t>U</w:t>
      </w:r>
      <w:r>
        <w:t>nforeseen occurrences that cause a worldwide scale emergency can have a significant impact on workers' well-being. The condition caused by the COVID-19 flu epidemic is certain to have a long-term impact on staff's mental well-being, having caused accumulat</w:t>
      </w:r>
      <w:r>
        <w:t xml:space="preserve">ed strain for numerous of them as well as, as a result, affecting performance, a crucial component for organizations (El </w:t>
      </w:r>
      <w:proofErr w:type="spellStart"/>
      <w:r>
        <w:t>Dessouky</w:t>
      </w:r>
      <w:proofErr w:type="spellEnd"/>
      <w:r>
        <w:t xml:space="preserve"> &amp; Al-</w:t>
      </w:r>
      <w:proofErr w:type="spellStart"/>
      <w:r>
        <w:t>Ghareeb</w:t>
      </w:r>
      <w:proofErr w:type="spellEnd"/>
      <w:r>
        <w:t>, 2020). Throughout a COVID-19 disease outbreak, employees generally face issues both at work and at home. As a co</w:t>
      </w:r>
      <w:r>
        <w:t xml:space="preserve">nsequence, human resource professionals must be prepared to handle any problems or issues that arise as a result of the COVID-19 flu epidemic. After the flu epidemic, Human resources holds great significance in the organization, and its primary task is to </w:t>
      </w:r>
      <w:r>
        <w:t>reduce the adverse consequences of a worldwide epidemic among many staff.</w:t>
      </w:r>
    </w:p>
    <w:p w14:paraId="7A24C9D6" w14:textId="77777777" w:rsidR="000063B8" w:rsidRDefault="00FE001E">
      <w:pPr>
        <w:spacing w:line="480" w:lineRule="auto"/>
        <w:rPr>
          <w:b/>
        </w:rPr>
      </w:pPr>
      <w:r>
        <w:rPr>
          <w:b/>
        </w:rPr>
        <w:t xml:space="preserve">Hiring </w:t>
      </w:r>
    </w:p>
    <w:p w14:paraId="7060099B" w14:textId="77777777" w:rsidR="000063B8" w:rsidRDefault="00FE001E">
      <w:pPr>
        <w:spacing w:line="480" w:lineRule="auto"/>
        <w:ind w:firstLine="720"/>
      </w:pPr>
      <w:r>
        <w:t>The COVID-19 flu epidemic has severely disrupted an organizational framework, and the need to develop an implementation plan in reply to a sudden and unanticipated event is difficult to predict. The economic effect of the COVID-19 flu epidemic, for example</w:t>
      </w:r>
      <w:r>
        <w:t>, is extremely difficult to assess. As a result, determining the impact of the disease outbreak on the organization's financial affairs is challenging (</w:t>
      </w:r>
      <w:proofErr w:type="spellStart"/>
      <w:r>
        <w:t>Przytuła</w:t>
      </w:r>
      <w:proofErr w:type="spellEnd"/>
      <w:r>
        <w:t xml:space="preserve">, </w:t>
      </w:r>
      <w:proofErr w:type="spellStart"/>
      <w:r>
        <w:t>Strzelec</w:t>
      </w:r>
      <w:proofErr w:type="spellEnd"/>
      <w:r>
        <w:t xml:space="preserve">, &amp; </w:t>
      </w:r>
      <w:proofErr w:type="spellStart"/>
      <w:r>
        <w:t>Krysińska-Kościańska</w:t>
      </w:r>
      <w:proofErr w:type="spellEnd"/>
      <w:r>
        <w:t xml:space="preserve">, </w:t>
      </w:r>
      <w:r>
        <w:lastRenderedPageBreak/>
        <w:t>2020). There are multiple techniques that an organization ca</w:t>
      </w:r>
      <w:r>
        <w:t xml:space="preserve">n use to safeguard its financial implications by cooling specific expenditures, such as devoted employing expenditures. The worker hiring process entails two fundamental </w:t>
      </w:r>
      <w:proofErr w:type="spellStart"/>
      <w:r>
        <w:t>Hr</w:t>
      </w:r>
      <w:proofErr w:type="spellEnd"/>
      <w:r>
        <w:t xml:space="preserve"> functions: selection and hiring. A most commonly used strategy after a pandemic is </w:t>
      </w:r>
      <w:r>
        <w:t>to temporarily or permanently halt the hiring of new staff.</w:t>
      </w:r>
    </w:p>
    <w:p w14:paraId="2F5D6AAF" w14:textId="77777777" w:rsidR="000063B8" w:rsidRDefault="00FE001E">
      <w:pPr>
        <w:spacing w:line="480" w:lineRule="auto"/>
        <w:rPr>
          <w:b/>
        </w:rPr>
      </w:pPr>
      <w:r>
        <w:rPr>
          <w:b/>
        </w:rPr>
        <w:t xml:space="preserve">Employee Development </w:t>
      </w:r>
    </w:p>
    <w:p w14:paraId="2DD27A4A" w14:textId="77777777" w:rsidR="000063B8" w:rsidRDefault="00FE001E">
      <w:pPr>
        <w:spacing w:line="480" w:lineRule="auto"/>
        <w:ind w:firstLine="720"/>
      </w:pPr>
      <w:r>
        <w:t>Staff members, as a major element of any organization, have a major impact on its productive output, achievement, and prospective. This is the primary reason why companies de</w:t>
      </w:r>
      <w:r>
        <w:t>cide to invest heavily in career progression. Employee motivation and advancement are widely regarded to be one of the most efficacious methods for improving employee productivity. In times of financial crisis, when the necessity to remain competitive in t</w:t>
      </w:r>
      <w:r>
        <w:t>he marketplace becomes critical, organizations decide to adopt many different procedures that remove the group's leeway. Human resources are also crucial in managing the aftermath of the emergency (</w:t>
      </w:r>
      <w:proofErr w:type="spellStart"/>
      <w:r>
        <w:t>Kutieshat</w:t>
      </w:r>
      <w:proofErr w:type="spellEnd"/>
      <w:r>
        <w:t xml:space="preserve"> &amp; </w:t>
      </w:r>
      <w:proofErr w:type="spellStart"/>
      <w:r>
        <w:t>Farmanesh</w:t>
      </w:r>
      <w:proofErr w:type="spellEnd"/>
      <w:r>
        <w:t xml:space="preserve">, 2022). Following the pandemic, one </w:t>
      </w:r>
      <w:r>
        <w:t>of the primary HR strategies is to alleviate anxiety among workers in the company. Human resource departments plan to offer substitute employment, part-time roles, or work-life balance to ease the scenario and retain existing staff after the Covid-19 epide</w:t>
      </w:r>
      <w:r>
        <w:t>mic. This gives employees a feeling of safety, that has a greater impact on staff their achievement, and their original intent to remain in an organization during times of international emergency.</w:t>
      </w:r>
    </w:p>
    <w:p w14:paraId="7EAA43FE" w14:textId="77777777" w:rsidR="000063B8" w:rsidRDefault="00FE001E">
      <w:pPr>
        <w:pStyle w:val="Heading2"/>
        <w:spacing w:line="480" w:lineRule="auto"/>
        <w:rPr>
          <w:b/>
        </w:rPr>
      </w:pPr>
      <w:bookmarkStart w:id="12" w:name="_heading=h.3rdcrjn" w:colFirst="0" w:colLast="0"/>
      <w:bookmarkEnd w:id="12"/>
      <w:r>
        <w:rPr>
          <w:b/>
        </w:rPr>
        <w:t>Digitalization</w:t>
      </w:r>
    </w:p>
    <w:p w14:paraId="64FF62AE" w14:textId="77777777" w:rsidR="000063B8" w:rsidRDefault="00FE001E">
      <w:pPr>
        <w:spacing w:line="480" w:lineRule="auto"/>
        <w:ind w:firstLine="720"/>
      </w:pPr>
      <w:r>
        <w:t>Even after the several, frequently severe, a</w:t>
      </w:r>
      <w:r>
        <w:t xml:space="preserve">djustments that must be created in an organization as a result of COVID-19, there are a few types of </w:t>
      </w:r>
      <w:proofErr w:type="gramStart"/>
      <w:r>
        <w:t>reconfiguration</w:t>
      </w:r>
      <w:proofErr w:type="gramEnd"/>
      <w:r>
        <w:t xml:space="preserve"> that can assist in minimizing the adverse impacts of the COVID-19 flu epidemic. Undoubtedly, had there lately become an uptick in the organ</w:t>
      </w:r>
      <w:r>
        <w:t xml:space="preserve">izational digital revolution, the implementation of which frequently overpowers or markedly reduces the adverse impacts of the flu epidemic. Among </w:t>
      </w:r>
      <w:r>
        <w:lastRenderedPageBreak/>
        <w:t>the primary HR strategies are worksite digitalization (</w:t>
      </w:r>
      <w:proofErr w:type="spellStart"/>
      <w:r>
        <w:t>Mefi</w:t>
      </w:r>
      <w:proofErr w:type="spellEnd"/>
      <w:r>
        <w:t xml:space="preserve"> &amp; </w:t>
      </w:r>
      <w:proofErr w:type="spellStart"/>
      <w:r>
        <w:t>Asoba</w:t>
      </w:r>
      <w:proofErr w:type="spellEnd"/>
      <w:r>
        <w:t>, 2021). The application of digitization h</w:t>
      </w:r>
      <w:r>
        <w:t>as assisted in the creation of so many growth possibilities, allowing organizations to stay alive in the tough moment following the disease outbreak and providing new market opportunities. Digitalization has recognized novel possibilities for putting techn</w:t>
      </w:r>
      <w:r>
        <w:t>ological advances, such as the realignment of an organization's assets to more respond adequately to emergencies.</w:t>
      </w:r>
    </w:p>
    <w:p w14:paraId="34798D58" w14:textId="77777777" w:rsidR="000063B8" w:rsidRDefault="00FE001E">
      <w:pPr>
        <w:spacing w:line="480" w:lineRule="auto"/>
        <w:rPr>
          <w:b/>
        </w:rPr>
      </w:pPr>
      <w:r>
        <w:rPr>
          <w:b/>
        </w:rPr>
        <w:t xml:space="preserve">Redesign of Job </w:t>
      </w:r>
    </w:p>
    <w:p w14:paraId="36304488" w14:textId="77777777" w:rsidR="000063B8" w:rsidRDefault="00FE001E">
      <w:pPr>
        <w:spacing w:line="480" w:lineRule="auto"/>
        <w:ind w:firstLine="720"/>
      </w:pPr>
      <w:r>
        <w:t>Job design is crucial in Management approaches since it deems not just all organizational and social facets, but as well as t</w:t>
      </w:r>
      <w:r>
        <w:t>he effect of the workplace on staff. Moreover, when one job development is done, it needs to be retrospectively evaluated and refitted although many variables including the approach to management, conditions of employment, organizational technology, as wel</w:t>
      </w:r>
      <w:r>
        <w:t>l as environmental trends impact how well the job will appear (</w:t>
      </w:r>
      <w:proofErr w:type="spellStart"/>
      <w:r>
        <w:t>Hamouche</w:t>
      </w:r>
      <w:proofErr w:type="spellEnd"/>
      <w:r>
        <w:t>, 2021). On a worldwide scale, the post-pandemic impact has resulted in some adjustments in work design. HR strategy should make sure that perhaps the organization's activities and staf</w:t>
      </w:r>
      <w:r>
        <w:t>f are in sync with the adjustments. The strategies aid staff members in adjusting to these adjustments, ensuring long-term advantages in talent management.</w:t>
      </w:r>
    </w:p>
    <w:p w14:paraId="74C1EDE5" w14:textId="77777777" w:rsidR="000063B8" w:rsidRDefault="00FE001E">
      <w:pPr>
        <w:pStyle w:val="Heading2"/>
        <w:spacing w:line="480" w:lineRule="auto"/>
        <w:rPr>
          <w:b/>
        </w:rPr>
      </w:pPr>
      <w:bookmarkStart w:id="13" w:name="_heading=h.26in1rg" w:colFirst="0" w:colLast="0"/>
      <w:bookmarkEnd w:id="13"/>
      <w:r>
        <w:rPr>
          <w:b/>
        </w:rPr>
        <w:t xml:space="preserve">Communication </w:t>
      </w:r>
    </w:p>
    <w:p w14:paraId="4ED057E3" w14:textId="77777777" w:rsidR="000063B8" w:rsidRDefault="00FE001E">
      <w:pPr>
        <w:spacing w:line="480" w:lineRule="auto"/>
        <w:ind w:firstLine="720"/>
      </w:pPr>
      <w:r>
        <w:t xml:space="preserve">Communication is essential in HR management because it motivates employees and keeps </w:t>
      </w:r>
      <w:r>
        <w:t>them motivated and committed to the company. Effective communication will influence employees' sentimental contribution to change transformation, improve their confidence in the brand, and stimulate their contribution to the company, particularly during th</w:t>
      </w:r>
      <w:r>
        <w:t>e new dynamics induced by the COVID-19 flu epidemic. HR strategies implement informal communication. Informal communication can effects of workplace's opposition to learning new skills and assuming fresh positions as a consequence of the COVID-19 reconfigu</w:t>
      </w:r>
      <w:r>
        <w:t>ration (</w:t>
      </w:r>
      <w:proofErr w:type="spellStart"/>
      <w:r>
        <w:t>Elayan</w:t>
      </w:r>
      <w:proofErr w:type="spellEnd"/>
      <w:r>
        <w:t>, 2021)</w:t>
      </w:r>
      <w:proofErr w:type="gramStart"/>
      <w:r>
        <w:t>. .</w:t>
      </w:r>
      <w:proofErr w:type="gramEnd"/>
      <w:r>
        <w:t xml:space="preserve"> Furthermore, keeping workers aware of crucial components of the disease outbreak or the </w:t>
      </w:r>
      <w:r>
        <w:lastRenderedPageBreak/>
        <w:t xml:space="preserve">group's perspective means allowing them to participate in the firm's ongoing development, reducing unpleasant sensations, ambiguity, and other </w:t>
      </w:r>
      <w:r>
        <w:t>bad feelings that can interrupt perceptions of job gratification or employee commitment.</w:t>
      </w:r>
    </w:p>
    <w:p w14:paraId="29C8764F" w14:textId="77777777" w:rsidR="000063B8" w:rsidRDefault="00FE001E">
      <w:pPr>
        <w:pStyle w:val="Heading1"/>
        <w:spacing w:line="480" w:lineRule="auto"/>
        <w:rPr>
          <w:b/>
        </w:rPr>
      </w:pPr>
      <w:bookmarkStart w:id="14" w:name="_heading=h.lnxbz9" w:colFirst="0" w:colLast="0"/>
      <w:bookmarkEnd w:id="14"/>
      <w:r>
        <w:rPr>
          <w:b/>
        </w:rPr>
        <w:t>Strategies of Human Resources in the post-Brexit external environment</w:t>
      </w:r>
    </w:p>
    <w:p w14:paraId="0A6F7C2F" w14:textId="77777777" w:rsidR="000063B8" w:rsidRDefault="00FE001E">
      <w:pPr>
        <w:pStyle w:val="Heading2"/>
        <w:spacing w:line="480" w:lineRule="auto"/>
      </w:pPr>
      <w:bookmarkStart w:id="15" w:name="_heading=h.35nkun2" w:colFirst="0" w:colLast="0"/>
      <w:bookmarkEnd w:id="15"/>
      <w:r>
        <w:rPr>
          <w:b/>
        </w:rPr>
        <w:t>Planning in Workforce</w:t>
      </w:r>
      <w:r>
        <w:t xml:space="preserve"> </w:t>
      </w:r>
    </w:p>
    <w:p w14:paraId="71FBD57D" w14:textId="77777777" w:rsidR="000063B8" w:rsidRDefault="00FE001E">
      <w:pPr>
        <w:spacing w:line="480" w:lineRule="auto"/>
        <w:ind w:firstLine="720"/>
      </w:pPr>
      <w:r>
        <w:t>While European immigrants process as part for 7% of the UK workforce, rese</w:t>
      </w:r>
      <w:r>
        <w:t>arch from the Employment and Recruitment Confederation (REC) implies that after Brexit, very few Eu citizens will decide to fill such positions. Recruiters and businesses are worried about stuffing these roles with UK applicants, and they've lately had alm</w:t>
      </w:r>
      <w:r>
        <w:t>ost no achievement looking to recruit UK employees into low- or medium-skill vacant posts because either UK workers are highly qualified, reluctant, or incapable of performing the job due to impairments or family obligations (</w:t>
      </w:r>
      <w:proofErr w:type="spellStart"/>
      <w:r>
        <w:t>Moradlou</w:t>
      </w:r>
      <w:proofErr w:type="spellEnd"/>
      <w:r>
        <w:t xml:space="preserve"> et al., 2020). Numero</w:t>
      </w:r>
      <w:r>
        <w:t>us businesses will have similar ideals and ways to work, but advantages packages are not governed by outside powers, as well as instead, can be tailored to the requirements and desires of both perpetual and independent contractors (Ridgway, 2019). An outst</w:t>
      </w:r>
      <w:r>
        <w:t>anding compensation package could entice new employees while also making existing workers feel more empowered, appreciated, and engaged in the workplace, increasing fealty to their own company and trying to improve retention. This is among the best post-Br</w:t>
      </w:r>
      <w:r>
        <w:t>exit techniques.</w:t>
      </w:r>
    </w:p>
    <w:p w14:paraId="653A0203" w14:textId="77777777" w:rsidR="000063B8" w:rsidRDefault="00FE001E">
      <w:pPr>
        <w:spacing w:line="480" w:lineRule="auto"/>
        <w:rPr>
          <w:b/>
        </w:rPr>
      </w:pPr>
      <w:r>
        <w:rPr>
          <w:b/>
        </w:rPr>
        <w:t>A View to Recruiting Eu Nationals</w:t>
      </w:r>
    </w:p>
    <w:p w14:paraId="7D6C129D" w14:textId="77777777" w:rsidR="000063B8" w:rsidRDefault="00FE001E">
      <w:pPr>
        <w:spacing w:line="480" w:lineRule="auto"/>
        <w:ind w:firstLine="720"/>
      </w:pPr>
      <w:r>
        <w:t>From the day that the United Kingdom leaves the European Union until December 31, 2020, there will be a long transition immigration time frame. Eu people and their family members have had the opportunity t</w:t>
      </w:r>
      <w:r>
        <w:t>o continue residing and working in the UK even during the transitional phase. The UK government plans to implement a new immigration process beginning in January 2021, which might also impact the employment privileges of EU citizens in the UK (Smith, 2019)</w:t>
      </w:r>
      <w:r>
        <w:t xml:space="preserve">. A strategic plan is changing to accommodate this. Companies that </w:t>
      </w:r>
      <w:r>
        <w:lastRenderedPageBreak/>
        <w:t>can provide clear instructions to staff members on the EU settlement scheme and their employment and living privileges will help to calm and save their workers.</w:t>
      </w:r>
    </w:p>
    <w:p w14:paraId="361315F5" w14:textId="77777777" w:rsidR="000063B8" w:rsidRDefault="00FE001E">
      <w:pPr>
        <w:pStyle w:val="Heading2"/>
        <w:spacing w:line="480" w:lineRule="auto"/>
        <w:rPr>
          <w:b/>
        </w:rPr>
      </w:pPr>
      <w:bookmarkStart w:id="16" w:name="_heading=h.1ksv4uv" w:colFirst="0" w:colLast="0"/>
      <w:bookmarkEnd w:id="16"/>
      <w:r>
        <w:rPr>
          <w:b/>
        </w:rPr>
        <w:t>Attract a Wide Range of Tale</w:t>
      </w:r>
      <w:r>
        <w:rPr>
          <w:b/>
        </w:rPr>
        <w:t>nt</w:t>
      </w:r>
    </w:p>
    <w:p w14:paraId="153E3AD6" w14:textId="77777777" w:rsidR="000063B8" w:rsidRDefault="00FE001E">
      <w:pPr>
        <w:spacing w:line="480" w:lineRule="auto"/>
        <w:ind w:firstLine="720"/>
      </w:pPr>
      <w:r>
        <w:t xml:space="preserve">Current engagement prerequisites may meet current employment demand, but adapting to shifts in the European and UK markets requires flexible staff numbers strategies. Perform an unofficial audit of the employment requirements: some roles may not profit </w:t>
      </w:r>
      <w:r>
        <w:t>from the credentials or technological competencies required that are currently preventing new applicants from applying. Numerous abilities can be learned while working or obtained through a series of instructions. Businesses' human resources departments ar</w:t>
      </w:r>
      <w:r>
        <w:t xml:space="preserve">e reevaluating prerequisites while also tapping into unutilized talented employees that are currently available in the UK (Brown, </w:t>
      </w:r>
      <w:proofErr w:type="spellStart"/>
      <w:r>
        <w:t>Liñares-Zegarra</w:t>
      </w:r>
      <w:proofErr w:type="spellEnd"/>
      <w:r>
        <w:t>, &amp; Wilson, 2019)</w:t>
      </w:r>
      <w:proofErr w:type="gramStart"/>
      <w:r>
        <w:t>. .</w:t>
      </w:r>
      <w:proofErr w:type="gramEnd"/>
      <w:r>
        <w:t xml:space="preserve"> Workplace flexibility is a particularly attractive employer provided that it crosses demog</w:t>
      </w:r>
      <w:r>
        <w:t>raphic characteristics, boosts employee well-being, inspiration, and involvement, and costs businesses nothing.</w:t>
      </w:r>
    </w:p>
    <w:p w14:paraId="0F63EDA0" w14:textId="77777777" w:rsidR="000063B8" w:rsidRDefault="00FE001E">
      <w:pPr>
        <w:pStyle w:val="Heading2"/>
        <w:spacing w:line="480" w:lineRule="auto"/>
        <w:rPr>
          <w:b/>
        </w:rPr>
      </w:pPr>
      <w:bookmarkStart w:id="17" w:name="_heading=h.44sinio" w:colFirst="0" w:colLast="0"/>
      <w:bookmarkEnd w:id="17"/>
      <w:r>
        <w:rPr>
          <w:b/>
        </w:rPr>
        <w:t>A collaborative effort at Work</w:t>
      </w:r>
    </w:p>
    <w:p w14:paraId="079FCA5A" w14:textId="77777777" w:rsidR="000063B8" w:rsidRDefault="00FE001E">
      <w:pPr>
        <w:pStyle w:val="Heading1"/>
        <w:spacing w:line="480" w:lineRule="auto"/>
        <w:ind w:firstLine="720"/>
      </w:pPr>
      <w:bookmarkStart w:id="18" w:name="_heading=h.2jxsxqh" w:colFirst="0" w:colLast="0"/>
      <w:bookmarkEnd w:id="18"/>
      <w:r>
        <w:t xml:space="preserve">Collaborate with other industries, business groups, and industry groups to recognize what the segment has had to </w:t>
      </w:r>
      <w:r>
        <w:t xml:space="preserve">give new applicants, and collaborate with local colleges and universities to showcase instances of staff who enjoy their work and instances of advancement that started in low-skill positions (James &amp; </w:t>
      </w:r>
      <w:proofErr w:type="spellStart"/>
      <w:r>
        <w:t>Quaglia</w:t>
      </w:r>
      <w:proofErr w:type="spellEnd"/>
      <w:r>
        <w:t xml:space="preserve">, 2019). Irrespective of the result of Brexit, a </w:t>
      </w:r>
      <w:r>
        <w:t>worldwide HR strategy can proceed to provide streamlined development services to companies in the UK, Europe, and around the world.</w:t>
      </w:r>
    </w:p>
    <w:p w14:paraId="18228D27" w14:textId="77777777" w:rsidR="000063B8" w:rsidRDefault="00FE001E">
      <w:pPr>
        <w:pStyle w:val="Heading1"/>
        <w:spacing w:line="480" w:lineRule="auto"/>
        <w:rPr>
          <w:b/>
        </w:rPr>
      </w:pPr>
      <w:bookmarkStart w:id="19" w:name="_heading=h.z337ya" w:colFirst="0" w:colLast="0"/>
      <w:bookmarkEnd w:id="19"/>
      <w:r>
        <w:rPr>
          <w:b/>
        </w:rPr>
        <w:t xml:space="preserve">Swot Analysis </w:t>
      </w:r>
      <w:proofErr w:type="gramStart"/>
      <w:r>
        <w:rPr>
          <w:b/>
        </w:rPr>
        <w:t>of  Strategies</w:t>
      </w:r>
      <w:proofErr w:type="gramEnd"/>
      <w:r>
        <w:rPr>
          <w:b/>
        </w:rPr>
        <w:t xml:space="preserve"> of Human Resources </w:t>
      </w:r>
    </w:p>
    <w:p w14:paraId="008DDC53" w14:textId="77777777" w:rsidR="000063B8" w:rsidRDefault="000063B8">
      <w:pPr>
        <w:spacing w:line="480" w:lineRule="auto"/>
        <w:rPr>
          <w:b/>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063B8" w14:paraId="60AA8B7D" w14:textId="77777777">
        <w:tc>
          <w:tcPr>
            <w:tcW w:w="4514" w:type="dxa"/>
            <w:shd w:val="clear" w:color="auto" w:fill="auto"/>
            <w:tcMar>
              <w:top w:w="100" w:type="dxa"/>
              <w:left w:w="100" w:type="dxa"/>
              <w:bottom w:w="100" w:type="dxa"/>
              <w:right w:w="100" w:type="dxa"/>
            </w:tcMar>
          </w:tcPr>
          <w:p w14:paraId="5D4A16BF" w14:textId="77777777" w:rsidR="000063B8" w:rsidRDefault="00FE001E">
            <w:pPr>
              <w:spacing w:line="480" w:lineRule="auto"/>
              <w:rPr>
                <w:b/>
              </w:rPr>
            </w:pPr>
            <w:r>
              <w:rPr>
                <w:b/>
              </w:rPr>
              <w:t>Strength</w:t>
            </w:r>
          </w:p>
          <w:p w14:paraId="7E5778DF" w14:textId="77777777" w:rsidR="000063B8" w:rsidRDefault="000063B8">
            <w:pPr>
              <w:spacing w:line="480" w:lineRule="auto"/>
            </w:pPr>
          </w:p>
          <w:p w14:paraId="7CC5065C" w14:textId="77777777" w:rsidR="000063B8" w:rsidRDefault="00FE001E">
            <w:pPr>
              <w:numPr>
                <w:ilvl w:val="0"/>
                <w:numId w:val="3"/>
              </w:numPr>
              <w:spacing w:line="480" w:lineRule="auto"/>
            </w:pPr>
            <w:r>
              <w:lastRenderedPageBreak/>
              <w:t>The United Kingdom's financial system is indeed a highly advanced social market and market-oriented economy.</w:t>
            </w:r>
          </w:p>
          <w:p w14:paraId="2D91E14C" w14:textId="77777777" w:rsidR="000063B8" w:rsidRDefault="000063B8">
            <w:pPr>
              <w:spacing w:line="480" w:lineRule="auto"/>
            </w:pPr>
          </w:p>
          <w:p w14:paraId="507CED69" w14:textId="77777777" w:rsidR="000063B8" w:rsidRDefault="00FE001E">
            <w:pPr>
              <w:numPr>
                <w:ilvl w:val="0"/>
                <w:numId w:val="3"/>
              </w:numPr>
              <w:spacing w:line="480" w:lineRule="auto"/>
            </w:pPr>
            <w:r>
              <w:t>One of the most significant strengths is the excellent pay increase provided by the Department of Human Resources.</w:t>
            </w:r>
          </w:p>
          <w:p w14:paraId="63ACB5F3" w14:textId="77777777" w:rsidR="000063B8" w:rsidRDefault="000063B8">
            <w:pPr>
              <w:widowControl w:val="0"/>
              <w:pBdr>
                <w:top w:val="nil"/>
                <w:left w:val="nil"/>
                <w:bottom w:val="nil"/>
                <w:right w:val="nil"/>
                <w:between w:val="nil"/>
              </w:pBdr>
              <w:spacing w:line="480" w:lineRule="auto"/>
              <w:ind w:left="720"/>
              <w:rPr>
                <w:b/>
              </w:rPr>
            </w:pPr>
          </w:p>
        </w:tc>
        <w:tc>
          <w:tcPr>
            <w:tcW w:w="4515" w:type="dxa"/>
            <w:shd w:val="clear" w:color="auto" w:fill="auto"/>
            <w:tcMar>
              <w:top w:w="100" w:type="dxa"/>
              <w:left w:w="100" w:type="dxa"/>
              <w:bottom w:w="100" w:type="dxa"/>
              <w:right w:w="100" w:type="dxa"/>
            </w:tcMar>
          </w:tcPr>
          <w:p w14:paraId="73CD1F30" w14:textId="77777777" w:rsidR="000063B8" w:rsidRDefault="00FE001E">
            <w:pPr>
              <w:spacing w:line="480" w:lineRule="auto"/>
              <w:rPr>
                <w:b/>
              </w:rPr>
            </w:pPr>
            <w:r>
              <w:rPr>
                <w:b/>
              </w:rPr>
              <w:lastRenderedPageBreak/>
              <w:t>Weakness</w:t>
            </w:r>
          </w:p>
          <w:p w14:paraId="1F327491" w14:textId="77777777" w:rsidR="000063B8" w:rsidRDefault="00FE001E">
            <w:pPr>
              <w:spacing w:line="480" w:lineRule="auto"/>
            </w:pPr>
            <w:r>
              <w:lastRenderedPageBreak/>
              <w:t>Brexit is impacting a</w:t>
            </w:r>
            <w:r>
              <w:t xml:space="preserve"> large number of HR departments from Europe, which will be exacerbated by rising prices and variances in operational expenses.</w:t>
            </w:r>
          </w:p>
          <w:p w14:paraId="6DAEA987" w14:textId="77777777" w:rsidR="000063B8" w:rsidRDefault="000063B8">
            <w:pPr>
              <w:widowControl w:val="0"/>
              <w:pBdr>
                <w:top w:val="nil"/>
                <w:left w:val="nil"/>
                <w:bottom w:val="nil"/>
                <w:right w:val="nil"/>
                <w:between w:val="nil"/>
              </w:pBdr>
              <w:spacing w:line="480" w:lineRule="auto"/>
              <w:rPr>
                <w:b/>
              </w:rPr>
            </w:pPr>
          </w:p>
        </w:tc>
      </w:tr>
      <w:tr w:rsidR="000063B8" w14:paraId="27D51EE8" w14:textId="77777777">
        <w:tc>
          <w:tcPr>
            <w:tcW w:w="4514" w:type="dxa"/>
            <w:shd w:val="clear" w:color="auto" w:fill="auto"/>
            <w:tcMar>
              <w:top w:w="100" w:type="dxa"/>
              <w:left w:w="100" w:type="dxa"/>
              <w:bottom w:w="100" w:type="dxa"/>
              <w:right w:w="100" w:type="dxa"/>
            </w:tcMar>
          </w:tcPr>
          <w:p w14:paraId="09B62689" w14:textId="77777777" w:rsidR="000063B8" w:rsidRDefault="00FE001E">
            <w:pPr>
              <w:spacing w:line="480" w:lineRule="auto"/>
              <w:rPr>
                <w:b/>
              </w:rPr>
            </w:pPr>
            <w:r>
              <w:rPr>
                <w:b/>
              </w:rPr>
              <w:lastRenderedPageBreak/>
              <w:t xml:space="preserve">Opportunities </w:t>
            </w:r>
          </w:p>
          <w:p w14:paraId="2BF10D5E" w14:textId="77777777" w:rsidR="000063B8" w:rsidRDefault="00FE001E">
            <w:pPr>
              <w:spacing w:line="480" w:lineRule="auto"/>
            </w:pPr>
            <w:r>
              <w:tab/>
            </w:r>
          </w:p>
          <w:p w14:paraId="599AA072" w14:textId="77777777" w:rsidR="000063B8" w:rsidRDefault="00FE001E">
            <w:pPr>
              <w:numPr>
                <w:ilvl w:val="0"/>
                <w:numId w:val="2"/>
              </w:numPr>
              <w:spacing w:line="480" w:lineRule="auto"/>
            </w:pPr>
            <w:r>
              <w:t xml:space="preserve">The market is reviving after the global pandemic. </w:t>
            </w:r>
          </w:p>
          <w:p w14:paraId="1C0A1254" w14:textId="77777777" w:rsidR="000063B8" w:rsidRDefault="00FE001E">
            <w:pPr>
              <w:numPr>
                <w:ilvl w:val="0"/>
                <w:numId w:val="2"/>
              </w:numPr>
              <w:spacing w:line="480" w:lineRule="auto"/>
            </w:pPr>
            <w:r>
              <w:t xml:space="preserve">Digitization in the workplace, Flexibility in working hours is </w:t>
            </w:r>
          </w:p>
          <w:p w14:paraId="496DDCFC" w14:textId="77777777" w:rsidR="000063B8" w:rsidRDefault="000063B8">
            <w:pPr>
              <w:spacing w:line="480" w:lineRule="auto"/>
            </w:pPr>
          </w:p>
          <w:p w14:paraId="16C3796E" w14:textId="77777777" w:rsidR="000063B8" w:rsidRDefault="000063B8">
            <w:pPr>
              <w:widowControl w:val="0"/>
              <w:pBdr>
                <w:top w:val="nil"/>
                <w:left w:val="nil"/>
                <w:bottom w:val="nil"/>
                <w:right w:val="nil"/>
                <w:between w:val="nil"/>
              </w:pBdr>
              <w:spacing w:line="480" w:lineRule="auto"/>
              <w:rPr>
                <w:b/>
              </w:rPr>
            </w:pPr>
          </w:p>
        </w:tc>
        <w:tc>
          <w:tcPr>
            <w:tcW w:w="4515" w:type="dxa"/>
            <w:shd w:val="clear" w:color="auto" w:fill="auto"/>
            <w:tcMar>
              <w:top w:w="100" w:type="dxa"/>
              <w:left w:w="100" w:type="dxa"/>
              <w:bottom w:w="100" w:type="dxa"/>
              <w:right w:w="100" w:type="dxa"/>
            </w:tcMar>
          </w:tcPr>
          <w:p w14:paraId="6416282E" w14:textId="77777777" w:rsidR="000063B8" w:rsidRDefault="00FE001E">
            <w:pPr>
              <w:spacing w:line="480" w:lineRule="auto"/>
              <w:rPr>
                <w:b/>
              </w:rPr>
            </w:pPr>
            <w:r>
              <w:rPr>
                <w:b/>
              </w:rPr>
              <w:t xml:space="preserve">Threat </w:t>
            </w:r>
          </w:p>
          <w:p w14:paraId="411067E5" w14:textId="77777777" w:rsidR="000063B8" w:rsidRDefault="000063B8">
            <w:pPr>
              <w:spacing w:line="480" w:lineRule="auto"/>
            </w:pPr>
          </w:p>
          <w:p w14:paraId="2D6E8759" w14:textId="77777777" w:rsidR="000063B8" w:rsidRDefault="00FE001E">
            <w:pPr>
              <w:numPr>
                <w:ilvl w:val="0"/>
                <w:numId w:val="1"/>
              </w:numPr>
              <w:spacing w:line="480" w:lineRule="auto"/>
            </w:pPr>
            <w:r>
              <w:t xml:space="preserve">Labor mobility is going to be very tough. In the future people will be attracted by the euro zone job market rather than the UK. </w:t>
            </w:r>
          </w:p>
          <w:p w14:paraId="044B1BEE" w14:textId="77777777" w:rsidR="000063B8" w:rsidRDefault="000063B8">
            <w:pPr>
              <w:spacing w:line="480" w:lineRule="auto"/>
            </w:pPr>
          </w:p>
          <w:p w14:paraId="507B2E96" w14:textId="77777777" w:rsidR="000063B8" w:rsidRDefault="000063B8">
            <w:pPr>
              <w:spacing w:line="480" w:lineRule="auto"/>
            </w:pPr>
          </w:p>
          <w:p w14:paraId="20B70204" w14:textId="77777777" w:rsidR="000063B8" w:rsidRDefault="000063B8">
            <w:pPr>
              <w:widowControl w:val="0"/>
              <w:pBdr>
                <w:top w:val="nil"/>
                <w:left w:val="nil"/>
                <w:bottom w:val="nil"/>
                <w:right w:val="nil"/>
                <w:between w:val="nil"/>
              </w:pBdr>
              <w:spacing w:line="480" w:lineRule="auto"/>
              <w:rPr>
                <w:b/>
              </w:rPr>
            </w:pPr>
          </w:p>
        </w:tc>
      </w:tr>
    </w:tbl>
    <w:p w14:paraId="360F80C0" w14:textId="77777777" w:rsidR="000063B8" w:rsidRDefault="000063B8">
      <w:pPr>
        <w:spacing w:line="480" w:lineRule="auto"/>
        <w:rPr>
          <w:b/>
        </w:rPr>
      </w:pPr>
    </w:p>
    <w:p w14:paraId="0BCB10C2" w14:textId="77777777" w:rsidR="000063B8" w:rsidRDefault="00FE001E">
      <w:pPr>
        <w:pStyle w:val="Heading1"/>
        <w:spacing w:line="480" w:lineRule="auto"/>
        <w:rPr>
          <w:b/>
        </w:rPr>
      </w:pPr>
      <w:bookmarkStart w:id="20" w:name="_heading=h.3j2qqm3" w:colFirst="0" w:colLast="0"/>
      <w:bookmarkEnd w:id="20"/>
      <w:r>
        <w:rPr>
          <w:b/>
        </w:rPr>
        <w:t xml:space="preserve">Conclusion </w:t>
      </w:r>
    </w:p>
    <w:p w14:paraId="084E8F23" w14:textId="77777777" w:rsidR="000063B8" w:rsidRDefault="00FE001E">
      <w:pPr>
        <w:spacing w:line="480" w:lineRule="auto"/>
        <w:ind w:firstLine="720"/>
      </w:pPr>
      <w:r>
        <w:t>From the above discussion it can be concluded that after Covid and Brexit the strategies of human resources h</w:t>
      </w:r>
      <w:r>
        <w:t xml:space="preserve">ave been changed a </w:t>
      </w:r>
      <w:proofErr w:type="gramStart"/>
      <w:r>
        <w:t>lot .</w:t>
      </w:r>
      <w:proofErr w:type="gramEnd"/>
      <w:r>
        <w:t xml:space="preserve"> Digitization, flexible working hours are the most </w:t>
      </w:r>
      <w:r>
        <w:lastRenderedPageBreak/>
        <w:t xml:space="preserve">important things in new strategies of human resources. After Brexit the human resource policies of the UK have changed a lot. </w:t>
      </w:r>
    </w:p>
    <w:p w14:paraId="48D5EF15" w14:textId="77777777" w:rsidR="000063B8" w:rsidRDefault="000063B8">
      <w:pPr>
        <w:spacing w:line="480" w:lineRule="auto"/>
      </w:pPr>
    </w:p>
    <w:p w14:paraId="5241C967" w14:textId="77777777" w:rsidR="000063B8" w:rsidRDefault="00FE001E">
      <w:pPr>
        <w:pStyle w:val="Heading1"/>
      </w:pPr>
      <w:bookmarkStart w:id="21" w:name="_heading=h.1y810tw" w:colFirst="0" w:colLast="0"/>
      <w:bookmarkEnd w:id="21"/>
      <w:r>
        <w:br w:type="page"/>
      </w:r>
    </w:p>
    <w:p w14:paraId="40D846EA" w14:textId="77777777" w:rsidR="000063B8" w:rsidRDefault="00FE001E">
      <w:pPr>
        <w:pStyle w:val="Heading1"/>
        <w:rPr>
          <w:b/>
        </w:rPr>
      </w:pPr>
      <w:bookmarkStart w:id="22" w:name="_heading=h.4i7ojhp" w:colFirst="0" w:colLast="0"/>
      <w:bookmarkEnd w:id="22"/>
      <w:r>
        <w:rPr>
          <w:b/>
        </w:rPr>
        <w:lastRenderedPageBreak/>
        <w:t>Reference</w:t>
      </w:r>
    </w:p>
    <w:p w14:paraId="44255853" w14:textId="77777777" w:rsidR="000063B8" w:rsidRDefault="00FE001E">
      <w:pPr>
        <w:pStyle w:val="Heading1"/>
        <w:spacing w:line="480" w:lineRule="auto"/>
        <w:ind w:left="567" w:hanging="567"/>
        <w:rPr>
          <w:b/>
        </w:rPr>
      </w:pPr>
      <w:proofErr w:type="spellStart"/>
      <w:r>
        <w:t>Abdurakhmanova</w:t>
      </w:r>
      <w:proofErr w:type="spellEnd"/>
      <w:r>
        <w:t xml:space="preserve">, G., &amp; </w:t>
      </w:r>
      <w:proofErr w:type="spellStart"/>
      <w:r>
        <w:t>Abdurakhmanov</w:t>
      </w:r>
      <w:proofErr w:type="spellEnd"/>
      <w:r>
        <w:t xml:space="preserve">, K. (2019). Labor migration of the population and evaluation of supply chain on the labor market. </w:t>
      </w:r>
      <w:proofErr w:type="spellStart"/>
      <w:r>
        <w:t>Архив</w:t>
      </w:r>
      <w:proofErr w:type="spellEnd"/>
      <w:r>
        <w:t xml:space="preserve"> </w:t>
      </w:r>
      <w:proofErr w:type="spellStart"/>
      <w:r>
        <w:t>научных</w:t>
      </w:r>
      <w:proofErr w:type="spellEnd"/>
      <w:r>
        <w:t xml:space="preserve"> </w:t>
      </w:r>
      <w:proofErr w:type="spellStart"/>
      <w:r>
        <w:t>исследований</w:t>
      </w:r>
      <w:proofErr w:type="spellEnd"/>
      <w:r>
        <w:t>.</w:t>
      </w:r>
    </w:p>
    <w:p w14:paraId="67BA2F68" w14:textId="77777777" w:rsidR="000063B8" w:rsidRDefault="00FE001E">
      <w:pPr>
        <w:spacing w:line="480" w:lineRule="auto"/>
        <w:ind w:left="567" w:hanging="567"/>
      </w:pPr>
      <w:r>
        <w:tab/>
        <w:t>Bourguignon, F. (2018). World changes in inequality: An overview of facts, causes, consequenc</w:t>
      </w:r>
      <w:r>
        <w:t xml:space="preserve">es, and policies. </w:t>
      </w:r>
      <w:proofErr w:type="spellStart"/>
      <w:r>
        <w:t>CESifo</w:t>
      </w:r>
      <w:proofErr w:type="spellEnd"/>
      <w:r>
        <w:t xml:space="preserve"> Economic Studies, 64(3), 345-370. </w:t>
      </w:r>
      <w:hyperlink r:id="rId11">
        <w:r>
          <w:rPr>
            <w:color w:val="1155CC"/>
            <w:u w:val="single"/>
          </w:rPr>
          <w:t>https://academic.oup.com/cesifo/article-abstract/64/3/345/4823412</w:t>
        </w:r>
      </w:hyperlink>
      <w:r>
        <w:t xml:space="preserve">  </w:t>
      </w:r>
    </w:p>
    <w:p w14:paraId="6CB99F04" w14:textId="77777777" w:rsidR="000063B8" w:rsidRDefault="00FE001E">
      <w:pPr>
        <w:spacing w:line="480" w:lineRule="auto"/>
        <w:ind w:left="567" w:hanging="567"/>
        <w:rPr>
          <w:color w:val="000000"/>
        </w:rPr>
      </w:pPr>
      <w:proofErr w:type="spellStart"/>
      <w:r>
        <w:t>Brell</w:t>
      </w:r>
      <w:proofErr w:type="spellEnd"/>
      <w:r>
        <w:t xml:space="preserve">, C., </w:t>
      </w:r>
      <w:proofErr w:type="spellStart"/>
      <w:r>
        <w:t>Dustmann</w:t>
      </w:r>
      <w:proofErr w:type="spellEnd"/>
      <w:r>
        <w:t>, C., &amp; Preston, I. (2020). The labor market integration of refugee migrants in high-income countries. Journal of Economic Perspectives, 34(1), 94-121.</w:t>
      </w:r>
    </w:p>
    <w:p w14:paraId="28164E6C" w14:textId="77777777" w:rsidR="000063B8" w:rsidRDefault="00FE001E">
      <w:pPr>
        <w:spacing w:line="480" w:lineRule="auto"/>
        <w:ind w:left="567" w:hanging="567"/>
      </w:pPr>
      <w:hyperlink r:id="rId12">
        <w:r>
          <w:rPr>
            <w:color w:val="1155CC"/>
            <w:u w:val="single"/>
          </w:rPr>
          <w:t>https://pubs.a</w:t>
        </w:r>
        <w:r>
          <w:rPr>
            <w:color w:val="1155CC"/>
            <w:u w:val="single"/>
          </w:rPr>
          <w:t>eaweb.org/doi/pdf/10.1257/jep.34.1.94</w:t>
        </w:r>
      </w:hyperlink>
      <w:r>
        <w:t xml:space="preserve">  </w:t>
      </w:r>
    </w:p>
    <w:p w14:paraId="7ACB4359" w14:textId="77777777" w:rsidR="000063B8" w:rsidRDefault="00FE001E">
      <w:pPr>
        <w:pBdr>
          <w:top w:val="nil"/>
          <w:left w:val="nil"/>
          <w:bottom w:val="nil"/>
          <w:right w:val="nil"/>
          <w:between w:val="nil"/>
        </w:pBdr>
        <w:spacing w:line="480" w:lineRule="auto"/>
        <w:ind w:left="567" w:hanging="567"/>
        <w:rPr>
          <w:color w:val="000000"/>
        </w:rPr>
      </w:pPr>
      <w:r>
        <w:t xml:space="preserve">Brown, R., </w:t>
      </w:r>
      <w:proofErr w:type="spellStart"/>
      <w:r>
        <w:t>Liñares-Zegarra</w:t>
      </w:r>
      <w:proofErr w:type="spellEnd"/>
      <w:r>
        <w:t>, J., &amp; Wilson, J. O. (2019). The (potential) impact of Brexit on UK SMEs: regional evidence and public policy implications. Regional Studies, 53(5), 761-770.</w:t>
      </w:r>
    </w:p>
    <w:p w14:paraId="62E39D6C" w14:textId="77777777" w:rsidR="000063B8" w:rsidRDefault="00FE001E">
      <w:pPr>
        <w:pBdr>
          <w:top w:val="nil"/>
          <w:left w:val="nil"/>
          <w:bottom w:val="nil"/>
          <w:right w:val="nil"/>
          <w:between w:val="nil"/>
        </w:pBdr>
        <w:spacing w:line="480" w:lineRule="auto"/>
        <w:ind w:left="567" w:hanging="567"/>
      </w:pPr>
      <w:hyperlink r:id="rId13">
        <w:r>
          <w:rPr>
            <w:color w:val="1155CC"/>
            <w:u w:val="single"/>
          </w:rPr>
          <w:t>http://repository.essex.ac.uk/24260/1/RS%20Accepted%20version.pdf</w:t>
        </w:r>
      </w:hyperlink>
      <w:r>
        <w:t> </w:t>
      </w:r>
    </w:p>
    <w:p w14:paraId="511B2E3F" w14:textId="77777777" w:rsidR="000063B8" w:rsidRDefault="000063B8">
      <w:pPr>
        <w:pBdr>
          <w:top w:val="nil"/>
          <w:left w:val="nil"/>
          <w:bottom w:val="nil"/>
          <w:right w:val="nil"/>
          <w:between w:val="nil"/>
        </w:pBdr>
        <w:spacing w:line="480" w:lineRule="auto"/>
        <w:ind w:left="567" w:hanging="567"/>
      </w:pPr>
    </w:p>
    <w:p w14:paraId="1ACA03F3" w14:textId="77777777" w:rsidR="000063B8" w:rsidRDefault="00FE001E">
      <w:pPr>
        <w:pBdr>
          <w:top w:val="nil"/>
          <w:left w:val="nil"/>
          <w:bottom w:val="nil"/>
          <w:right w:val="nil"/>
          <w:between w:val="nil"/>
        </w:pBdr>
        <w:spacing w:line="480" w:lineRule="auto"/>
        <w:ind w:left="567" w:hanging="657"/>
        <w:rPr>
          <w:color w:val="000000"/>
        </w:rPr>
      </w:pPr>
      <w:proofErr w:type="spellStart"/>
      <w:r>
        <w:rPr>
          <w:color w:val="000000"/>
        </w:rPr>
        <w:t>Elayan</w:t>
      </w:r>
      <w:proofErr w:type="spellEnd"/>
      <w:r>
        <w:rPr>
          <w:color w:val="000000"/>
        </w:rPr>
        <w:t xml:space="preserve">, M. B. (2021). The impact of COVID-19 on human resource practices. In The effect of coronavirus disease (COVID-19) on business </w:t>
      </w:r>
      <w:r>
        <w:rPr>
          <w:color w:val="000000"/>
        </w:rPr>
        <w:t xml:space="preserve">intelligence (pp. 311-321). Springer, Cham. </w:t>
      </w:r>
      <w:hyperlink r:id="rId14">
        <w:r>
          <w:rPr>
            <w:color w:val="0000FF"/>
            <w:u w:val="single"/>
          </w:rPr>
          <w:t>https://www.researchgate.net/profile/Malek-Elayan-2/publication/350600331_The_Impact_of_COVID-19_on_Human_Resource_Practices/links/61233d59169a1a01031c7a0b/The-Impact-of-COVID-19-on-Human-Resource-Practices.pdf</w:t>
        </w:r>
      </w:hyperlink>
      <w:r>
        <w:rPr>
          <w:color w:val="000000"/>
        </w:rPr>
        <w:t xml:space="preserve"> </w:t>
      </w:r>
    </w:p>
    <w:p w14:paraId="53064BAE" w14:textId="77777777" w:rsidR="000063B8" w:rsidRDefault="000063B8">
      <w:pPr>
        <w:pBdr>
          <w:top w:val="nil"/>
          <w:left w:val="nil"/>
          <w:bottom w:val="nil"/>
          <w:right w:val="nil"/>
          <w:between w:val="nil"/>
        </w:pBdr>
        <w:spacing w:line="480" w:lineRule="auto"/>
        <w:ind w:left="567" w:hanging="657"/>
      </w:pPr>
    </w:p>
    <w:p w14:paraId="33923A36" w14:textId="77777777" w:rsidR="000063B8" w:rsidRDefault="00FE001E">
      <w:pPr>
        <w:pBdr>
          <w:top w:val="nil"/>
          <w:left w:val="nil"/>
          <w:bottom w:val="nil"/>
          <w:right w:val="nil"/>
          <w:between w:val="nil"/>
        </w:pBdr>
        <w:spacing w:line="480" w:lineRule="auto"/>
        <w:ind w:left="567" w:hanging="657"/>
        <w:rPr>
          <w:color w:val="000000"/>
        </w:rPr>
      </w:pPr>
      <w:r>
        <w:rPr>
          <w:color w:val="000000"/>
        </w:rPr>
        <w:t xml:space="preserve">Furman, J., &amp; Seamans, R. (2019). AI and the Economy. Innovation policy and the economy, 19(1), 161-191. </w:t>
      </w:r>
      <w:hyperlink r:id="rId15">
        <w:r>
          <w:rPr>
            <w:color w:val="1155CC"/>
            <w:u w:val="single"/>
          </w:rPr>
          <w:t>https://www.journals.uchicago.edu/doi/abs/10.1086/699936</w:t>
        </w:r>
      </w:hyperlink>
    </w:p>
    <w:p w14:paraId="0BD007F5" w14:textId="77777777" w:rsidR="000063B8" w:rsidRDefault="00FE001E">
      <w:pPr>
        <w:spacing w:line="480" w:lineRule="auto"/>
        <w:ind w:left="567" w:hanging="567"/>
      </w:pPr>
      <w:r>
        <w:t xml:space="preserve">  </w:t>
      </w:r>
    </w:p>
    <w:p w14:paraId="46CDE96B" w14:textId="77777777" w:rsidR="000063B8" w:rsidRDefault="00FE001E">
      <w:pPr>
        <w:spacing w:line="480" w:lineRule="auto"/>
        <w:ind w:left="567" w:hanging="567"/>
      </w:pPr>
      <w:proofErr w:type="spellStart"/>
      <w:r>
        <w:lastRenderedPageBreak/>
        <w:t>Goos</w:t>
      </w:r>
      <w:proofErr w:type="spellEnd"/>
      <w:r>
        <w:t>, M. (2018)</w:t>
      </w:r>
      <w:r>
        <w:t xml:space="preserve">. The impact of technological progress on </w:t>
      </w:r>
      <w:proofErr w:type="spellStart"/>
      <w:r>
        <w:t>labour</w:t>
      </w:r>
      <w:proofErr w:type="spellEnd"/>
      <w:r>
        <w:t xml:space="preserve"> markets: policy challenges. Oxford review of economic policy, 34(3), 362-</w:t>
      </w:r>
      <w:proofErr w:type="gramStart"/>
      <w:r>
        <w:t>375.`</w:t>
      </w:r>
      <w:proofErr w:type="gramEnd"/>
      <w:r>
        <w:t xml:space="preserve"> </w:t>
      </w:r>
      <w:hyperlink r:id="rId16">
        <w:r>
          <w:rPr>
            <w:color w:val="1155CC"/>
            <w:u w:val="single"/>
          </w:rPr>
          <w:t>https://academic.oup.com/oxrep/article-abstr</w:t>
        </w:r>
        <w:r>
          <w:rPr>
            <w:color w:val="1155CC"/>
            <w:u w:val="single"/>
          </w:rPr>
          <w:t>act/34/3/362/5047371</w:t>
        </w:r>
      </w:hyperlink>
      <w:r>
        <w:t xml:space="preserve">  </w:t>
      </w:r>
    </w:p>
    <w:p w14:paraId="6480762D" w14:textId="77777777" w:rsidR="000063B8" w:rsidRDefault="00FE001E">
      <w:pPr>
        <w:pBdr>
          <w:top w:val="nil"/>
          <w:left w:val="nil"/>
          <w:bottom w:val="nil"/>
          <w:right w:val="nil"/>
          <w:between w:val="nil"/>
        </w:pBdr>
        <w:spacing w:line="480" w:lineRule="auto"/>
        <w:ind w:left="567" w:hanging="567"/>
        <w:rPr>
          <w:color w:val="000000"/>
        </w:rPr>
      </w:pPr>
      <w:r>
        <w:tab/>
      </w:r>
      <w:proofErr w:type="spellStart"/>
      <w:r>
        <w:t>Hamouche</w:t>
      </w:r>
      <w:proofErr w:type="spellEnd"/>
      <w:r>
        <w:t>, S. (2021). Human resource management and the COVID-19 crisis: Implications, challenges, opportunities, and future organizational directions. Journal of Management &amp; Organization, 1, 1-16.</w:t>
      </w:r>
      <w:r>
        <w:rPr>
          <w:color w:val="000000"/>
        </w:rPr>
        <w:t xml:space="preserve"> </w:t>
      </w:r>
      <w:hyperlink r:id="rId17">
        <w:r>
          <w:rPr>
            <w:color w:val="1155CC"/>
            <w:u w:val="single"/>
          </w:rPr>
          <w:t>https://www.cam</w:t>
        </w:r>
        <w:r>
          <w:rPr>
            <w:color w:val="1155CC"/>
            <w:u w:val="single"/>
          </w:rPr>
          <w:t>bridge.org/core/services/aop-cambridge-core/content/view/6857481FD64558659EE4C17C6DAE9AB9/S1833367221000158a.pdf/human_resource_management_and_the_covid19_crisis_implications_challenges_opportunities_and_future_organizational_directions.pdf</w:t>
        </w:r>
      </w:hyperlink>
      <w:r>
        <w:t>  </w:t>
      </w:r>
    </w:p>
    <w:p w14:paraId="2F42810D" w14:textId="77777777" w:rsidR="000063B8" w:rsidRDefault="00FE001E">
      <w:pPr>
        <w:spacing w:line="480" w:lineRule="auto"/>
        <w:ind w:left="567" w:hanging="567"/>
      </w:pPr>
      <w:r>
        <w:t xml:space="preserve">   </w:t>
      </w:r>
    </w:p>
    <w:p w14:paraId="255DAE5C" w14:textId="77777777" w:rsidR="000063B8" w:rsidRDefault="00FE001E">
      <w:pPr>
        <w:pBdr>
          <w:top w:val="nil"/>
          <w:left w:val="nil"/>
          <w:bottom w:val="nil"/>
          <w:right w:val="nil"/>
          <w:between w:val="nil"/>
        </w:pBdr>
        <w:spacing w:line="480" w:lineRule="auto"/>
        <w:ind w:left="567" w:hanging="567"/>
        <w:rPr>
          <w:color w:val="000000"/>
        </w:rPr>
      </w:pPr>
      <w:r>
        <w:rPr>
          <w:color w:val="000000"/>
        </w:rPr>
        <w:t>James, S.</w:t>
      </w:r>
      <w:r>
        <w:rPr>
          <w:color w:val="000000"/>
        </w:rPr>
        <w:t xml:space="preserve">, &amp; </w:t>
      </w:r>
      <w:proofErr w:type="spellStart"/>
      <w:r>
        <w:rPr>
          <w:color w:val="000000"/>
        </w:rPr>
        <w:t>Quaglia</w:t>
      </w:r>
      <w:proofErr w:type="spellEnd"/>
      <w:r>
        <w:rPr>
          <w:color w:val="000000"/>
        </w:rPr>
        <w:t xml:space="preserve">, L. (2019). Brexit, the city and the contingent power of finance. New political economy, 24(2), 258-271. </w:t>
      </w:r>
      <w:hyperlink r:id="rId18">
        <w:r>
          <w:rPr>
            <w:color w:val="1155CC"/>
            <w:u w:val="single"/>
          </w:rPr>
          <w:t>https://kclpure.kcl.ac.</w:t>
        </w:r>
        <w:r>
          <w:rPr>
            <w:color w:val="1155CC"/>
            <w:u w:val="single"/>
          </w:rPr>
          <w:t>uk/portal/files/92032799/Brexit_and_the_City_AuthorAcceptedManuscript.pdf</w:t>
        </w:r>
      </w:hyperlink>
      <w:r>
        <w:t> </w:t>
      </w:r>
    </w:p>
    <w:p w14:paraId="15F6C2B6" w14:textId="77777777" w:rsidR="000063B8" w:rsidRDefault="000063B8">
      <w:pPr>
        <w:spacing w:line="480" w:lineRule="auto"/>
        <w:ind w:left="567" w:hanging="567"/>
      </w:pPr>
    </w:p>
    <w:p w14:paraId="369877F1" w14:textId="77777777" w:rsidR="000063B8" w:rsidRDefault="00FE001E">
      <w:pPr>
        <w:pBdr>
          <w:top w:val="nil"/>
          <w:left w:val="nil"/>
          <w:bottom w:val="nil"/>
          <w:right w:val="nil"/>
          <w:between w:val="nil"/>
        </w:pBdr>
        <w:spacing w:line="480" w:lineRule="auto"/>
        <w:ind w:left="567" w:hanging="567"/>
      </w:pPr>
      <w:proofErr w:type="spellStart"/>
      <w:r>
        <w:rPr>
          <w:color w:val="000000"/>
        </w:rPr>
        <w:t>Kutieshat</w:t>
      </w:r>
      <w:proofErr w:type="spellEnd"/>
      <w:r>
        <w:rPr>
          <w:color w:val="000000"/>
        </w:rPr>
        <w:t xml:space="preserve">, R., &amp; </w:t>
      </w:r>
      <w:proofErr w:type="spellStart"/>
      <w:r>
        <w:rPr>
          <w:color w:val="000000"/>
        </w:rPr>
        <w:t>Farmanesh</w:t>
      </w:r>
      <w:proofErr w:type="spellEnd"/>
      <w:r>
        <w:rPr>
          <w:color w:val="000000"/>
        </w:rPr>
        <w:t>, P. (2022). The Impact of New Human Resource Management Practices on Innovation Performance during the COVID 19 Crisis: A New Perception on Enhancing the</w:t>
      </w:r>
      <w:r>
        <w:rPr>
          <w:color w:val="000000"/>
        </w:rPr>
        <w:t xml:space="preserve"> Educational Sector. Sustainability, 14(5), 2872. </w:t>
      </w:r>
      <w:hyperlink r:id="rId19">
        <w:r>
          <w:rPr>
            <w:color w:val="1155CC"/>
            <w:u w:val="single"/>
          </w:rPr>
          <w:t>https://www.mdpi.com/2071-1050/14/5/2872/pdf</w:t>
        </w:r>
      </w:hyperlink>
      <w:r>
        <w:t>  </w:t>
      </w:r>
    </w:p>
    <w:p w14:paraId="123E1865" w14:textId="77777777" w:rsidR="000063B8" w:rsidRDefault="000063B8">
      <w:pPr>
        <w:pBdr>
          <w:top w:val="nil"/>
          <w:left w:val="nil"/>
          <w:bottom w:val="nil"/>
          <w:right w:val="nil"/>
          <w:between w:val="nil"/>
        </w:pBdr>
        <w:spacing w:line="480" w:lineRule="auto"/>
        <w:ind w:left="567" w:hanging="567"/>
        <w:rPr>
          <w:color w:val="000000"/>
        </w:rPr>
      </w:pPr>
    </w:p>
    <w:p w14:paraId="733A84E0" w14:textId="77777777" w:rsidR="000063B8" w:rsidRDefault="00FE001E">
      <w:pPr>
        <w:spacing w:line="480" w:lineRule="auto"/>
        <w:ind w:left="567" w:hanging="567"/>
      </w:pPr>
      <w:r>
        <w:t xml:space="preserve">Mayhew, K., &amp; Anand, P. (2020). COVID-19 and the UK </w:t>
      </w:r>
      <w:proofErr w:type="spellStart"/>
      <w:r>
        <w:t>labour</w:t>
      </w:r>
      <w:proofErr w:type="spellEnd"/>
      <w:r>
        <w:t xml:space="preserve"> market. Oxford Review of Economic P</w:t>
      </w:r>
      <w:r>
        <w:t xml:space="preserve">olicy, 36(Supplement_1), S215-S224. </w:t>
      </w:r>
      <w:hyperlink r:id="rId20">
        <w:r>
          <w:rPr>
            <w:color w:val="0000FF"/>
            <w:u w:val="single"/>
          </w:rPr>
          <w:t>https://academic.oup.com/oxrep/article-abstract/36/Supplement_1/S215/5850129</w:t>
        </w:r>
      </w:hyperlink>
      <w:r>
        <w:t xml:space="preserve">    </w:t>
      </w:r>
    </w:p>
    <w:p w14:paraId="27086955" w14:textId="77777777" w:rsidR="000063B8" w:rsidRDefault="00FE001E">
      <w:pPr>
        <w:spacing w:line="480" w:lineRule="auto"/>
        <w:ind w:left="567" w:hanging="567"/>
      </w:pPr>
      <w:proofErr w:type="spellStart"/>
      <w:r>
        <w:lastRenderedPageBreak/>
        <w:t>Mefi</w:t>
      </w:r>
      <w:proofErr w:type="spellEnd"/>
      <w:r>
        <w:t xml:space="preserve">, N. P., &amp; </w:t>
      </w:r>
      <w:proofErr w:type="spellStart"/>
      <w:r>
        <w:t>Asoba</w:t>
      </w:r>
      <w:proofErr w:type="spellEnd"/>
      <w:r>
        <w:t>, S. N. (2021). Sustain</w:t>
      </w:r>
      <w:r>
        <w:t xml:space="preserve">able human resource practices for organizational competitiveness post the COVID-19 pandemic. Academy of Entrepreneurship Journal, 27(2), 1-7. </w:t>
      </w:r>
      <w:hyperlink r:id="rId21">
        <w:r>
          <w:rPr>
            <w:color w:val="1155CC"/>
            <w:u w:val="single"/>
          </w:rPr>
          <w:t>https://www.researchgate.net/profile/Sa</w:t>
        </w:r>
        <w:r>
          <w:rPr>
            <w:color w:val="1155CC"/>
            <w:u w:val="single"/>
          </w:rPr>
          <w:t>mson-Nambei-Asoba/publication/350603401_SUSTAINABLE_HUMAN_RESOURCE_PRACTICES_FOR_ORGANIZATIONAL_COMPETITIVENESS_POST_THE_COVID-19_PANDEMIC/links/60680e54a6fdccad3f69960d/SUSTAINABLE-HUMAN-RESOURCE-PRACTICES-FOR-ORGANIZATIONAL-COMPETITIVENESS-POST-THE-COVID</w:t>
        </w:r>
        <w:r>
          <w:rPr>
            <w:color w:val="1155CC"/>
            <w:u w:val="single"/>
          </w:rPr>
          <w:t>-19-PANDEMIC.pdf</w:t>
        </w:r>
      </w:hyperlink>
    </w:p>
    <w:p w14:paraId="08BDA159" w14:textId="77777777" w:rsidR="000063B8" w:rsidRDefault="00FE001E">
      <w:pPr>
        <w:spacing w:line="480" w:lineRule="auto"/>
        <w:ind w:left="567" w:hanging="567"/>
      </w:pPr>
      <w:proofErr w:type="spellStart"/>
      <w:r>
        <w:t>Moradlou</w:t>
      </w:r>
      <w:proofErr w:type="spellEnd"/>
      <w:r>
        <w:t xml:space="preserve">, H., </w:t>
      </w:r>
      <w:proofErr w:type="spellStart"/>
      <w:r>
        <w:t>Fratocchi</w:t>
      </w:r>
      <w:proofErr w:type="spellEnd"/>
      <w:r>
        <w:t xml:space="preserve">, L., </w:t>
      </w:r>
      <w:proofErr w:type="spellStart"/>
      <w:r>
        <w:t>Skipworth</w:t>
      </w:r>
      <w:proofErr w:type="spellEnd"/>
      <w:r>
        <w:t xml:space="preserve">, H., &amp; Ghadge, A. (2020). Post-Brexit back-shoring strategies: what UK manufacturing companies could learn from the </w:t>
      </w:r>
      <w:proofErr w:type="gramStart"/>
      <w:r>
        <w:t>past?.</w:t>
      </w:r>
      <w:proofErr w:type="gramEnd"/>
      <w:r>
        <w:t xml:space="preserve"> Production Planning &amp; Control, 1-18. </w:t>
      </w:r>
      <w:hyperlink r:id="rId22">
        <w:r>
          <w:rPr>
            <w:color w:val="1155CC"/>
            <w:u w:val="single"/>
          </w:rPr>
          <w:t>https://dspace.lib.cranfield.ac.uk/bitstream/handle/1826/16276/Post-Brexit_back-shoring_strategies-2021.pdf?sequence=1&amp;isAllowed=n</w:t>
        </w:r>
      </w:hyperlink>
      <w:r>
        <w:t> </w:t>
      </w:r>
    </w:p>
    <w:p w14:paraId="6DE38109" w14:textId="77777777" w:rsidR="000063B8" w:rsidRDefault="00FE001E">
      <w:pPr>
        <w:spacing w:line="480" w:lineRule="auto"/>
        <w:ind w:left="567" w:hanging="567"/>
      </w:pPr>
      <w:proofErr w:type="spellStart"/>
      <w:r>
        <w:t>Petrongolo</w:t>
      </w:r>
      <w:proofErr w:type="spellEnd"/>
      <w:r>
        <w:t xml:space="preserve">, B., &amp; Ronchi, M. (2020). Gender gaps and the structure of local labor markets. </w:t>
      </w:r>
      <w:proofErr w:type="spellStart"/>
      <w:r>
        <w:t>Labour</w:t>
      </w:r>
      <w:proofErr w:type="spellEnd"/>
      <w:r>
        <w:t xml:space="preserve"> Economics, 64, </w:t>
      </w:r>
      <w:proofErr w:type="gramStart"/>
      <w:r>
        <w:t>101819 .</w:t>
      </w:r>
      <w:proofErr w:type="gramEnd"/>
      <w:r>
        <w:t xml:space="preserve"> </w:t>
      </w:r>
      <w:hyperlink r:id="rId23">
        <w:r>
          <w:rPr>
            <w:color w:val="1155CC"/>
            <w:u w:val="single"/>
          </w:rPr>
          <w:t>https://www.sciencedirect.com/science/article/p</w:t>
        </w:r>
        <w:r>
          <w:rPr>
            <w:color w:val="1155CC"/>
            <w:u w:val="single"/>
          </w:rPr>
          <w:t>ii/S0927537120300257</w:t>
        </w:r>
      </w:hyperlink>
      <w:r>
        <w:t xml:space="preserve">  </w:t>
      </w:r>
    </w:p>
    <w:p w14:paraId="4BDA2ED4" w14:textId="77777777" w:rsidR="000063B8" w:rsidRDefault="00FE001E">
      <w:pPr>
        <w:spacing w:line="480" w:lineRule="auto"/>
        <w:ind w:left="567" w:hanging="567"/>
      </w:pPr>
      <w:proofErr w:type="spellStart"/>
      <w:r>
        <w:t>Przytuła</w:t>
      </w:r>
      <w:proofErr w:type="spellEnd"/>
      <w:r>
        <w:t xml:space="preserve">, S., </w:t>
      </w:r>
      <w:proofErr w:type="spellStart"/>
      <w:r>
        <w:t>Strzelec</w:t>
      </w:r>
      <w:proofErr w:type="spellEnd"/>
      <w:r>
        <w:t xml:space="preserve">, G., &amp; </w:t>
      </w:r>
      <w:proofErr w:type="spellStart"/>
      <w:r>
        <w:t>Krysińska-Kościańska</w:t>
      </w:r>
      <w:proofErr w:type="spellEnd"/>
      <w:r>
        <w:t xml:space="preserve">, K. (2020). Re-vision of future trends in human resource management (HRM) after COVID-19. Journal of Intercultural Management, 12(4). </w:t>
      </w:r>
      <w:hyperlink r:id="rId24">
        <w:r>
          <w:rPr>
            <w:color w:val="1155CC"/>
            <w:u w:val="single"/>
          </w:rPr>
          <w:t>https://www.wir.ue.wroc.pl/docstore/download/UEWRf9b0e5aededc4c6582927908000f2092/Przytula_Strzelec_Krysinska-Koscianska_Re-vision_Of</w:t>
        </w:r>
        <w:r>
          <w:rPr>
            <w:color w:val="1155CC"/>
            <w:u w:val="single"/>
          </w:rPr>
          <w:t>_Future_Trends.pdf</w:t>
        </w:r>
      </w:hyperlink>
      <w:r>
        <w:t xml:space="preserve">   </w:t>
      </w:r>
    </w:p>
    <w:p w14:paraId="0C435EE6" w14:textId="77777777" w:rsidR="000063B8" w:rsidRDefault="00FE001E">
      <w:pPr>
        <w:pBdr>
          <w:top w:val="nil"/>
          <w:left w:val="nil"/>
          <w:bottom w:val="nil"/>
          <w:right w:val="nil"/>
          <w:between w:val="nil"/>
        </w:pBdr>
        <w:spacing w:line="480" w:lineRule="auto"/>
        <w:ind w:left="567" w:hanging="567"/>
      </w:pPr>
      <w:r>
        <w:rPr>
          <w:color w:val="000000"/>
        </w:rPr>
        <w:t xml:space="preserve">Ridgway, M. (2019). Brexit: human resourcing implications. Employee Relations: The International Journal. </w:t>
      </w:r>
      <w:hyperlink r:id="rId25">
        <w:r>
          <w:rPr>
            <w:color w:val="1155CC"/>
            <w:u w:val="single"/>
          </w:rPr>
          <w:t>http://irep.ntu.ac.uk/id/eprint/36824/1/14067_Ridg</w:t>
        </w:r>
        <w:r>
          <w:rPr>
            <w:color w:val="1155CC"/>
            <w:u w:val="single"/>
          </w:rPr>
          <w:t>eway.PDF</w:t>
        </w:r>
      </w:hyperlink>
      <w:r>
        <w:t>  </w:t>
      </w:r>
    </w:p>
    <w:p w14:paraId="0F9C55E7" w14:textId="77777777" w:rsidR="000063B8" w:rsidRDefault="000063B8">
      <w:pPr>
        <w:pBdr>
          <w:top w:val="nil"/>
          <w:left w:val="nil"/>
          <w:bottom w:val="nil"/>
          <w:right w:val="nil"/>
          <w:between w:val="nil"/>
        </w:pBdr>
        <w:spacing w:line="480" w:lineRule="auto"/>
        <w:ind w:left="567" w:hanging="567"/>
        <w:rPr>
          <w:color w:val="000000"/>
        </w:rPr>
      </w:pPr>
    </w:p>
    <w:p w14:paraId="7B98492B" w14:textId="77777777" w:rsidR="000063B8" w:rsidRDefault="00FE001E">
      <w:pPr>
        <w:spacing w:line="480" w:lineRule="auto"/>
        <w:ind w:left="567" w:hanging="567"/>
      </w:pPr>
      <w:r>
        <w:lastRenderedPageBreak/>
        <w:t xml:space="preserve">Schiff, D., Biddle, J., </w:t>
      </w:r>
      <w:proofErr w:type="spellStart"/>
      <w:r>
        <w:t>Borenstein</w:t>
      </w:r>
      <w:proofErr w:type="spellEnd"/>
      <w:r>
        <w:t xml:space="preserve">, J., &amp; Laas, K. (2020, February). What's next for ai ethics, policy, and governance? a global overview. In Proceedings of the AAAI/ACM Conference on AI, Ethics, and Society (pp. 153-158). </w:t>
      </w:r>
      <w:hyperlink r:id="rId26">
        <w:r>
          <w:rPr>
            <w:color w:val="1155CC"/>
            <w:u w:val="single"/>
          </w:rPr>
          <w:t>https://dl.acm.org/doi/abs/10.1145/3375627.3375804?casa_token=0v9sbVxJVTkAAAAA:EHyLtTuVcXaz89bstri1q1-oC9cVER0of</w:t>
        </w:r>
        <w:r>
          <w:rPr>
            <w:color w:val="1155CC"/>
            <w:u w:val="single"/>
          </w:rPr>
          <w:t>y85eGzASSWRStAKJWQVD3NffvZZldGmQZ9BfNwmlyqmnw</w:t>
        </w:r>
      </w:hyperlink>
      <w:r>
        <w:t xml:space="preserve">   </w:t>
      </w:r>
    </w:p>
    <w:p w14:paraId="1C3BF70D" w14:textId="77777777" w:rsidR="000063B8" w:rsidRDefault="00FE001E">
      <w:pPr>
        <w:pBdr>
          <w:top w:val="nil"/>
          <w:left w:val="nil"/>
          <w:bottom w:val="nil"/>
          <w:right w:val="nil"/>
          <w:between w:val="nil"/>
        </w:pBdr>
        <w:spacing w:line="480" w:lineRule="auto"/>
        <w:ind w:left="567" w:hanging="567"/>
        <w:rPr>
          <w:color w:val="000000"/>
        </w:rPr>
      </w:pPr>
      <w:r>
        <w:rPr>
          <w:color w:val="000000"/>
        </w:rPr>
        <w:t xml:space="preserve">Smith, M. (2019). The European Union and the global arena: In search of post-Brexit roles. Politics and Governance, 7(3), 83-92. </w:t>
      </w:r>
      <w:hyperlink r:id="rId27">
        <w:r>
          <w:rPr>
            <w:color w:val="1155CC"/>
            <w:u w:val="single"/>
          </w:rPr>
          <w:t>http://repository.essex.ac.uk/24260/1/RS%20Accepted%20version.pdf</w:t>
        </w:r>
      </w:hyperlink>
      <w:r>
        <w:t> </w:t>
      </w:r>
    </w:p>
    <w:p w14:paraId="43816E16" w14:textId="77777777" w:rsidR="000063B8" w:rsidRDefault="000063B8">
      <w:pPr>
        <w:spacing w:line="480" w:lineRule="auto"/>
        <w:ind w:left="567" w:hanging="567"/>
      </w:pPr>
    </w:p>
    <w:p w14:paraId="57691CF4" w14:textId="77777777" w:rsidR="000063B8" w:rsidRDefault="00FE001E">
      <w:pPr>
        <w:spacing w:line="480" w:lineRule="auto"/>
        <w:ind w:left="567" w:hanging="567"/>
      </w:pPr>
      <w:proofErr w:type="spellStart"/>
      <w:r>
        <w:t>Su</w:t>
      </w:r>
      <w:proofErr w:type="spellEnd"/>
      <w:r>
        <w:t xml:space="preserve">, C. W., Dai, K., Ullah, S., &amp; </w:t>
      </w:r>
      <w:proofErr w:type="spellStart"/>
      <w:r>
        <w:t>Andlib</w:t>
      </w:r>
      <w:proofErr w:type="spellEnd"/>
      <w:r>
        <w:t>, Z. (2021). COVID-19 pandemic and unemployment dynamics in European economies. Economic Research-</w:t>
      </w:r>
      <w:proofErr w:type="spellStart"/>
      <w:r>
        <w:t>Ekonomska</w:t>
      </w:r>
      <w:proofErr w:type="spellEnd"/>
      <w:r>
        <w:t xml:space="preserve"> </w:t>
      </w:r>
      <w:proofErr w:type="spellStart"/>
      <w:r>
        <w:t>Istraživanja</w:t>
      </w:r>
      <w:proofErr w:type="spellEnd"/>
      <w:r>
        <w:t xml:space="preserve">, 1-13. </w:t>
      </w:r>
      <w:hyperlink r:id="rId28">
        <w:r>
          <w:rPr>
            <w:color w:val="1155CC"/>
            <w:u w:val="single"/>
          </w:rPr>
          <w:t>https://www.tandfonline.com/doi/abs/10.1080/1331677X.2021.1912627</w:t>
        </w:r>
      </w:hyperlink>
      <w:r>
        <w:t xml:space="preserve"> </w:t>
      </w:r>
    </w:p>
    <w:sectPr w:rsidR="000063B8">
      <w:headerReference w:type="default" r:id="rId29"/>
      <w:headerReference w:type="first" r:id="rId3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EE2D8" w14:textId="77777777" w:rsidR="00FE001E" w:rsidRDefault="00FE001E">
      <w:pPr>
        <w:spacing w:line="240" w:lineRule="auto"/>
      </w:pPr>
      <w:r>
        <w:separator/>
      </w:r>
    </w:p>
  </w:endnote>
  <w:endnote w:type="continuationSeparator" w:id="0">
    <w:p w14:paraId="46A660C8" w14:textId="77777777" w:rsidR="00FE001E" w:rsidRDefault="00FE00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1EDEF" w14:textId="77777777" w:rsidR="00FE001E" w:rsidRDefault="00FE001E">
      <w:pPr>
        <w:spacing w:line="240" w:lineRule="auto"/>
      </w:pPr>
      <w:r>
        <w:separator/>
      </w:r>
    </w:p>
  </w:footnote>
  <w:footnote w:type="continuationSeparator" w:id="0">
    <w:p w14:paraId="0A25F4B3" w14:textId="77777777" w:rsidR="00FE001E" w:rsidRDefault="00FE00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46E13" w14:textId="77777777" w:rsidR="000063B8" w:rsidRDefault="00FE001E">
    <w:r>
      <w:t xml:space="preserve">Human Resource Management:                                                                           </w:t>
    </w:r>
    <w:r>
      <w:t xml:space="preserve">          </w:t>
    </w:r>
    <w:r>
      <w:fldChar w:fldCharType="begin"/>
    </w:r>
    <w:r>
      <w:instrText>PAGE</w:instrText>
    </w:r>
    <w:r>
      <w:fldChar w:fldCharType="separate"/>
    </w:r>
    <w:r w:rsidR="001B37C3">
      <w:rPr>
        <w:noProof/>
      </w:rPr>
      <w:t>2</w:t>
    </w:r>
    <w:r>
      <w:fldChar w:fldCharType="end"/>
    </w:r>
  </w:p>
  <w:p w14:paraId="4CFFA944" w14:textId="77777777" w:rsidR="000063B8" w:rsidRDefault="000063B8">
    <w:pPr>
      <w:widowControl w:val="0"/>
      <w:pBdr>
        <w:top w:val="nil"/>
        <w:left w:val="nil"/>
        <w:bottom w:val="nil"/>
        <w:right w:val="nil"/>
        <w:between w:val="nil"/>
      </w:pBdr>
      <w:spacing w:line="276" w:lineRule="auto"/>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3354A" w14:textId="77777777" w:rsidR="000063B8" w:rsidRDefault="00FE001E">
    <w:r>
      <w:t>Running Head: UK labor market and its environmental analysis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95AD1"/>
    <w:multiLevelType w:val="multilevel"/>
    <w:tmpl w:val="A87410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074AD9"/>
    <w:multiLevelType w:val="multilevel"/>
    <w:tmpl w:val="3BE882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D90B27"/>
    <w:multiLevelType w:val="multilevel"/>
    <w:tmpl w:val="09DC7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3B8"/>
    <w:rsid w:val="000063B8"/>
    <w:rsid w:val="001B37C3"/>
    <w:rsid w:val="00FE00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C23E1"/>
  <w15:docId w15:val="{00A9C71E-6146-4925-BE40-7A5604774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0E101A"/>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style>
  <w:style w:type="paragraph" w:styleId="Heading2">
    <w:name w:val="heading 2"/>
    <w:basedOn w:val="Normal"/>
    <w:next w:val="Normal"/>
    <w:uiPriority w:val="9"/>
    <w:unhideWhenUsed/>
    <w:qFormat/>
    <w:pPr>
      <w:keepNext/>
      <w:keepLines/>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EB5A68"/>
    <w:pPr>
      <w:spacing w:before="100" w:beforeAutospacing="1" w:after="100" w:afterAutospacing="1" w:line="240" w:lineRule="auto"/>
      <w:jc w:val="left"/>
    </w:pPr>
    <w:rPr>
      <w:color w:val="auto"/>
    </w:rPr>
  </w:style>
  <w:style w:type="character" w:styleId="Hyperlink">
    <w:name w:val="Hyperlink"/>
    <w:basedOn w:val="DefaultParagraphFont"/>
    <w:uiPriority w:val="99"/>
    <w:unhideWhenUsed/>
    <w:rsid w:val="00EB5A68"/>
    <w:rPr>
      <w:color w:val="0000FF"/>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572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2B3"/>
    <w:rPr>
      <w:rFonts w:ascii="Tahoma" w:hAnsi="Tahoma" w:cs="Tahoma"/>
      <w:sz w:val="16"/>
      <w:szCs w:val="16"/>
    </w:rPr>
  </w:style>
  <w:style w:type="paragraph" w:styleId="Header">
    <w:name w:val="header"/>
    <w:basedOn w:val="Normal"/>
    <w:link w:val="HeaderChar"/>
    <w:uiPriority w:val="99"/>
    <w:unhideWhenUsed/>
    <w:rsid w:val="004572B3"/>
    <w:pPr>
      <w:tabs>
        <w:tab w:val="center" w:pos="4513"/>
        <w:tab w:val="right" w:pos="9026"/>
      </w:tabs>
      <w:spacing w:line="240" w:lineRule="auto"/>
    </w:pPr>
  </w:style>
  <w:style w:type="character" w:customStyle="1" w:styleId="HeaderChar">
    <w:name w:val="Header Char"/>
    <w:basedOn w:val="DefaultParagraphFont"/>
    <w:link w:val="Header"/>
    <w:uiPriority w:val="99"/>
    <w:rsid w:val="004572B3"/>
  </w:style>
  <w:style w:type="paragraph" w:styleId="Footer">
    <w:name w:val="footer"/>
    <w:basedOn w:val="Normal"/>
    <w:link w:val="FooterChar"/>
    <w:uiPriority w:val="99"/>
    <w:unhideWhenUsed/>
    <w:rsid w:val="004572B3"/>
    <w:pPr>
      <w:tabs>
        <w:tab w:val="center" w:pos="4513"/>
        <w:tab w:val="right" w:pos="9026"/>
      </w:tabs>
      <w:spacing w:line="240" w:lineRule="auto"/>
    </w:pPr>
  </w:style>
  <w:style w:type="character" w:customStyle="1" w:styleId="FooterChar">
    <w:name w:val="Footer Char"/>
    <w:basedOn w:val="DefaultParagraphFont"/>
    <w:link w:val="Footer"/>
    <w:uiPriority w:val="99"/>
    <w:rsid w:val="004572B3"/>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repository.essex.ac.uk/24260/1/RS%20Accepted%20version.pdf" TargetMode="External"/><Relationship Id="rId18" Type="http://schemas.openxmlformats.org/officeDocument/2006/relationships/hyperlink" Target="https://kclpure.kcl.ac.uk/portal/files/92032799/Brexit_and_the_City_AuthorAcceptedManuscript.pdf" TargetMode="External"/><Relationship Id="rId26" Type="http://schemas.openxmlformats.org/officeDocument/2006/relationships/hyperlink" Target="https://dl.acm.org/doi/abs/10.1145/3375627.3375804?casa_token=0v9sbVxJVTkAAAAA:EHyLtTuVcXaz89bstri1q1-oC9cVER0ofy85eGzASSWRStAKJWQVD3NffvZZldGmQZ9BfNwmlyqmnw" TargetMode="External"/><Relationship Id="rId3" Type="http://schemas.openxmlformats.org/officeDocument/2006/relationships/styles" Target="styles.xml"/><Relationship Id="rId21" Type="http://schemas.openxmlformats.org/officeDocument/2006/relationships/hyperlink" Target="https://www.researchgate.net/profile/Samson-Nambei-Asoba/publication/350603401_SUSTAINABLE_HUMAN_RESOURCE_PRACTICES_FOR_ORGANIZATIONAL_COMPETITIVENESS_POST_THE_COVID-19_PANDEMIC/links/60680e54a6fdccad3f69960d/SUSTAINABLE-HUMAN-RESOURCE-PRACTICES-FOR-ORGANIZATIONAL-COMPETITIVENESS-POST-THE-COVID-19-PANDEMIC.pdf" TargetMode="External"/><Relationship Id="rId7" Type="http://schemas.openxmlformats.org/officeDocument/2006/relationships/endnotes" Target="endnotes.xml"/><Relationship Id="rId12" Type="http://schemas.openxmlformats.org/officeDocument/2006/relationships/hyperlink" Target="https://pubs.aeaweb.org/doi/pdf/10.1257/jep.34.1.94" TargetMode="External"/><Relationship Id="rId17" Type="http://schemas.openxmlformats.org/officeDocument/2006/relationships/hyperlink" Target="https://www.cambridge.org/core/services/aop-cambridge-core/content/view/6857481FD64558659EE4C17C6DAE9AB9/S1833367221000158a.pdf/human_resource_management_and_the_covid19_crisis_implications_challenges_opportunities_and_future_organizational_directions.pdf" TargetMode="External"/><Relationship Id="rId25" Type="http://schemas.openxmlformats.org/officeDocument/2006/relationships/hyperlink" Target="http://irep.ntu.ac.uk/id/eprint/36824/1/14067_Ridgeway.PDF" TargetMode="External"/><Relationship Id="rId2" Type="http://schemas.openxmlformats.org/officeDocument/2006/relationships/numbering" Target="numbering.xml"/><Relationship Id="rId16" Type="http://schemas.openxmlformats.org/officeDocument/2006/relationships/hyperlink" Target="https://academic.oup.com/oxrep/article-abstract/34/3/362/5047371" TargetMode="External"/><Relationship Id="rId20" Type="http://schemas.openxmlformats.org/officeDocument/2006/relationships/hyperlink" Target="https://academic.oup.com/oxrep/article-abstract/36/Supplement_1/S215/5850129"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cesifo/article-abstract/64/3/345/4823412" TargetMode="External"/><Relationship Id="rId24" Type="http://schemas.openxmlformats.org/officeDocument/2006/relationships/hyperlink" Target="https://www.wir.ue.wroc.pl/docstore/download/UEWRf9b0e5aededc4c6582927908000f2092/Przytula_Strzelec_Krysinska-Koscianska_Re-vision_Of_Future_Trends.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journals.uchicago.edu/doi/abs/10.1086/699936" TargetMode="External"/><Relationship Id="rId23" Type="http://schemas.openxmlformats.org/officeDocument/2006/relationships/hyperlink" Target="https://www.sciencedirect.com/science/article/pii/S0927537120300257" TargetMode="External"/><Relationship Id="rId28" Type="http://schemas.openxmlformats.org/officeDocument/2006/relationships/hyperlink" Target="https://www.tandfonline.com/doi/abs/10.1080/1331677X.2021.1912627" TargetMode="External"/><Relationship Id="rId10" Type="http://schemas.openxmlformats.org/officeDocument/2006/relationships/image" Target="media/image3.png"/><Relationship Id="rId19" Type="http://schemas.openxmlformats.org/officeDocument/2006/relationships/hyperlink" Target="https://www.mdpi.com/2071-1050/14/5/2872/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Malek-Elayan-2/publication/350600331_The_Impact_of_COVID-19_on_Human_Resource_Practices/links/61233d59169a1a01031c7a0b/The-Impact-of-COVID-19-on-Human-Resource-Practices.pdf" TargetMode="External"/><Relationship Id="rId22" Type="http://schemas.openxmlformats.org/officeDocument/2006/relationships/hyperlink" Target="https://dspace.lib.cranfield.ac.uk/bitstream/handle/1826/16276/Post-Brexit_back-shoring_strategies-2021.pdf?sequence=1&amp;isAllowed=n" TargetMode="External"/><Relationship Id="rId27" Type="http://schemas.openxmlformats.org/officeDocument/2006/relationships/hyperlink" Target="http://repository.essex.ac.uk/24260/1/RS%20Accepted%20version.pdf"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pjN7BUta44ENxfwbLKNJv2ciqtA==">AMUW2mVSlcXIHqnZjpgQ9Eg02rf2lzZfNwZx3n8cl44HT2CfuAGPOORrYIviJh5GNu7YyTcEvyuJ0KWnHJ8FWXkE2Fw++lhThJh1VxdyrHUMe6M/xqvFc3SS8SkivBNXyxO0ZVM15C/K/kAeVW6+md5FDPqhCRl0tbtIBjN2+UF/sSMM1QWuA/6zunAAUTUSVdWUrcPi1hQVTZOgCzg+IRKqYbZw+rfFtAmY2MlBMlfn0UVxcX0lqDZ5ZEfZGUL1VH7LYzjUtsu6Ukuc6hXvvnWomfyifYt8EmL4RcIkjsHM0m+PgLdY58qqQnJM3sc2YU3D0LknBNzhdVSx9R8dM3F+edyVDtW4ZbsIJ0drieah+MW0a9LouYdpxVJDPtwTtpAyp2XJHOKLxnQu7s14KAl5H9WYuvl+WRwCjfGaC3DiN1tnnIkidpFjeNnKFlTLtO7ibTImF6V9</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4153</Words>
  <Characters>23674</Characters>
  <Application>Microsoft Office Word</Application>
  <DocSecurity>0</DocSecurity>
  <Lines>197</Lines>
  <Paragraphs>55</Paragraphs>
  <ScaleCrop>false</ScaleCrop>
  <Company/>
  <LinksUpToDate>false</LinksUpToDate>
  <CharactersWithSpaces>27772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Ankana</dc:creator>
  <cp:lastModifiedBy>neha sharma</cp:lastModifiedBy>
  <cp:revision>2</cp:revision>
  <dcterms:created xsi:type="dcterms:W3CDTF">2022-08-24T07:23:00Z</dcterms:created>
  <dcterms:modified xsi:type="dcterms:W3CDTF">2022-08-24T07:23:00Z</dcterms:modified>
</cp:coreProperties>
</file>