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6137043"/>
        <w:docPartObj>
          <w:docPartGallery w:val="Table of Contents"/>
          <w:docPartUnique/>
        </w:docPartObj>
      </w:sdtPr>
      <w:sdtEndPr>
        <w:rPr>
          <w:rFonts w:asciiTheme="minorHAnsi" w:hAnsiTheme="minorHAnsi" w:eastAsiaTheme="minorHAnsi" w:cstheme="minorBidi"/>
          <w:b/>
          <w:bCs/>
          <w:color w:val="auto"/>
          <w:kern w:val="2"/>
          <w:sz w:val="24"/>
          <w:szCs w:val="24"/>
          <w14:ligatures w14:val="standardContextual"/>
        </w:rPr>
      </w:sdtEndPr>
      <w:sdtContent>
        <w:p w14:paraId="02DE2F7F">
          <w:pPr>
            <w:pStyle w:val="38"/>
          </w:pPr>
          <w:bookmarkStart w:id="0" w:name="_Toc225605691"/>
          <w:bookmarkStart w:id="1" w:name="_Toc225605172"/>
        </w:p>
        <w:p w14:paraId="3DFA871E">
          <w:pPr>
            <w:pStyle w:val="38"/>
            <w:rPr>
              <w:u w:val="single"/>
            </w:rPr>
          </w:pPr>
          <w:r>
            <w:t xml:space="preserve">                                                                                    </w:t>
          </w:r>
          <w:r>
            <w:drawing>
              <wp:inline distT="0" distB="0" distL="0" distR="0">
                <wp:extent cx="1927860" cy="815340"/>
                <wp:effectExtent l="0" t="0" r="0" b="3810"/>
                <wp:docPr id="867572653" name="Picture 2" descr="Prifysgol Cymru Y Drindod Dewi Sa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72653" name="Picture 2" descr="Prifysgol Cymru Y Drindod Dewi San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927860" cy="815340"/>
                        </a:xfrm>
                        <a:prstGeom prst="rect">
                          <a:avLst/>
                        </a:prstGeom>
                        <a:noFill/>
                        <a:ln>
                          <a:noFill/>
                        </a:ln>
                      </pic:spPr>
                    </pic:pic>
                  </a:graphicData>
                </a:graphic>
              </wp:inline>
            </w:drawing>
          </w:r>
        </w:p>
        <w:p w14:paraId="4F1E6B9B">
          <w:pPr>
            <w:pStyle w:val="38"/>
            <w:rPr>
              <w:b/>
              <w:bCs/>
            </w:rPr>
          </w:pPr>
          <w:r>
            <w:rPr>
              <w:u w:val="single"/>
            </w:rPr>
            <w:t xml:space="preserve"> </w:t>
          </w:r>
          <w:r>
            <w:rPr>
              <w:u w:val="single"/>
            </w:rPr>
            <w:br w:type="textWrapping"/>
          </w:r>
        </w:p>
        <w:p w14:paraId="5D12EDC0">
          <w:pPr>
            <w:pStyle w:val="38"/>
            <w:jc w:val="center"/>
            <w:rPr>
              <w:rFonts w:ascii="Arial" w:hAnsi="Arial" w:cs="Arial"/>
              <w:color w:val="000000" w:themeColor="text1"/>
              <w14:textFill>
                <w14:solidFill>
                  <w14:schemeClr w14:val="tx1"/>
                </w14:solidFill>
              </w14:textFill>
            </w:rPr>
          </w:pPr>
          <w:r>
            <w:rPr>
              <w:rFonts w:ascii="Arial" w:hAnsi="Arial" w:cs="Arial"/>
              <w:bCs/>
              <w:color w:val="000000" w:themeColor="text1"/>
              <w14:textFill>
                <w14:solidFill>
                  <w14:schemeClr w14:val="tx1"/>
                </w14:solidFill>
              </w14:textFill>
            </w:rPr>
            <w:t>Psychological Theories in Health and Social Care</w:t>
          </w:r>
        </w:p>
        <w:p w14:paraId="3A37D3CA">
          <w:pPr>
            <w:pStyle w:val="38"/>
            <w:jc w:val="center"/>
            <w:rPr>
              <w:rFonts w:ascii="Arial" w:hAnsi="Arial" w:cs="Arial"/>
              <w:bCs/>
              <w:color w:val="000000" w:themeColor="text1"/>
              <w14:textFill>
                <w14:solidFill>
                  <w14:schemeClr w14:val="tx1"/>
                </w14:solidFill>
              </w14:textFill>
            </w:rPr>
          </w:pPr>
          <w:r>
            <w:rPr>
              <w:rFonts w:ascii="Arial" w:hAnsi="Arial" w:cs="Arial"/>
              <w:bCs/>
              <w:color w:val="000000" w:themeColor="text1"/>
              <w14:textFill>
                <w14:solidFill>
                  <w14:schemeClr w14:val="tx1"/>
                </w14:solidFill>
              </w14:textFill>
            </w:rPr>
            <w:t>Module Code:LCHS4010</w:t>
          </w:r>
        </w:p>
        <w:p w14:paraId="539E6F0A"/>
        <w:p w14:paraId="31D71B9E">
          <w:pPr>
            <w:pStyle w:val="38"/>
            <w:jc w:val="center"/>
            <w:rPr>
              <w:rFonts w:ascii="Arial" w:hAnsi="Arial" w:cs="Arial"/>
              <w:bCs/>
              <w:color w:val="000000" w:themeColor="text1"/>
              <w14:textFill>
                <w14:solidFill>
                  <w14:schemeClr w14:val="tx1"/>
                </w14:solidFill>
              </w14:textFill>
            </w:rPr>
          </w:pPr>
          <w:r>
            <w:rPr>
              <w:rFonts w:ascii="Arial" w:hAnsi="Arial" w:cs="Arial"/>
              <w:bCs/>
              <w:color w:val="000000" w:themeColor="text1"/>
              <w14:textFill>
                <w14:solidFill>
                  <w14:schemeClr w14:val="tx1"/>
                </w14:solidFill>
              </w14:textFill>
            </w:rPr>
            <w:t>Title:</w:t>
          </w:r>
          <w:r>
            <w:rPr>
              <w:rFonts w:ascii="Times New Roman" w:hAnsi="Times New Roman" w:eastAsia="Times New Roman" w:cs="Times New Roman"/>
              <w:color w:val="000000" w:themeColor="text1"/>
              <w14:textFill>
                <w14:solidFill>
                  <w14:schemeClr w14:val="tx1"/>
                </w14:solidFill>
              </w14:textFill>
            </w:rPr>
            <w:t xml:space="preserve"> </w:t>
          </w:r>
          <w:r>
            <w:rPr>
              <w:rFonts w:ascii="Arial" w:hAnsi="Arial" w:cs="Arial"/>
              <w:bCs/>
              <w:color w:val="000000" w:themeColor="text1"/>
              <w14:textFill>
                <w14:solidFill>
                  <w14:schemeClr w14:val="tx1"/>
                </w14:solidFill>
              </w14:textFill>
            </w:rPr>
            <w:t>Developmental Psychology Booklet (Children and Young People)</w:t>
          </w:r>
        </w:p>
        <w:p w14:paraId="67248827">
          <w:pPr>
            <w:pStyle w:val="38"/>
            <w:rPr>
              <w:rFonts w:ascii="Arial" w:hAnsi="Arial" w:cs="Arial"/>
              <w:color w:val="000000" w:themeColor="text1"/>
              <w14:textFill>
                <w14:solidFill>
                  <w14:schemeClr w14:val="tx1"/>
                </w14:solidFill>
              </w14:textFill>
            </w:rPr>
          </w:pPr>
        </w:p>
        <w:p w14:paraId="7F8825EB">
          <w:pPr>
            <w:pStyle w:val="38"/>
            <w:jc w:val="center"/>
            <w:rPr>
              <w:rFonts w:ascii="Arial" w:hAnsi="Arial" w:cs="Arial"/>
              <w:color w:val="000000" w:themeColor="text1"/>
              <w:sz w:val="28"/>
              <w:szCs w:val="28"/>
              <w14:textFill>
                <w14:solidFill>
                  <w14:schemeClr w14:val="tx1"/>
                </w14:solidFill>
              </w14:textFill>
            </w:rPr>
          </w:pPr>
          <w:r>
            <w:rPr>
              <w:rFonts w:ascii="Arial" w:hAnsi="Arial" w:cs="Arial"/>
              <w:color w:val="000000" w:themeColor="text1"/>
              <w:sz w:val="28"/>
              <w:szCs w:val="28"/>
              <w14:textFill>
                <w14:solidFill>
                  <w14:schemeClr w14:val="tx1"/>
                </w14:solidFill>
              </w14:textFill>
            </w:rPr>
            <w:t>Student Name: Lisdalia Biague</w:t>
          </w:r>
        </w:p>
        <w:p w14:paraId="25239BD6">
          <w:pPr>
            <w:pStyle w:val="38"/>
            <w:jc w:val="center"/>
            <w:rPr>
              <w:rFonts w:ascii="Arial" w:hAnsi="Arial" w:cs="Arial"/>
              <w:color w:val="000000" w:themeColor="text1"/>
              <w:sz w:val="28"/>
              <w:szCs w:val="28"/>
              <w14:textFill>
                <w14:solidFill>
                  <w14:schemeClr w14:val="tx1"/>
                </w14:solidFill>
              </w14:textFill>
            </w:rPr>
          </w:pPr>
          <w:r>
            <w:rPr>
              <w:rFonts w:ascii="Arial" w:hAnsi="Arial" w:cs="Arial"/>
              <w:bCs/>
              <w:color w:val="000000" w:themeColor="text1"/>
              <w:sz w:val="28"/>
              <w:szCs w:val="28"/>
              <w14:textFill>
                <w14:solidFill>
                  <w14:schemeClr w14:val="tx1"/>
                </w14:solidFill>
              </w14:textFill>
            </w:rPr>
            <w:t>Student ID:</w:t>
          </w:r>
          <w:r>
            <w:rPr>
              <w:rFonts w:ascii="Arial" w:hAnsi="Arial" w:cs="Arial"/>
              <w:color w:val="000000" w:themeColor="text1"/>
              <w:sz w:val="28"/>
              <w:szCs w:val="28"/>
              <w14:textFill>
                <w14:solidFill>
                  <w14:schemeClr w14:val="tx1"/>
                </w14:solidFill>
              </w14:textFill>
            </w:rPr>
            <w:t xml:space="preserve"> 2425890</w:t>
          </w:r>
        </w:p>
        <w:p w14:paraId="621E3722">
          <w:pPr>
            <w:pStyle w:val="38"/>
            <w:jc w:val="center"/>
            <w:rPr>
              <w:rFonts w:ascii="Arial" w:hAnsi="Arial" w:cs="Arial"/>
              <w:color w:val="000000" w:themeColor="text1"/>
              <w:sz w:val="28"/>
              <w:szCs w:val="28"/>
              <w14:textFill>
                <w14:solidFill>
                  <w14:schemeClr w14:val="tx1"/>
                </w14:solidFill>
              </w14:textFill>
            </w:rPr>
          </w:pPr>
        </w:p>
        <w:p w14:paraId="3C35FDC0">
          <w:pPr>
            <w:pStyle w:val="38"/>
            <w:jc w:val="center"/>
            <w:rPr>
              <w:rFonts w:ascii="Arial" w:hAnsi="Arial" w:cs="Arial"/>
              <w:color w:val="000000" w:themeColor="text1"/>
              <w:sz w:val="28"/>
              <w:szCs w:val="28"/>
              <w14:textFill>
                <w14:solidFill>
                  <w14:schemeClr w14:val="tx1"/>
                </w14:solidFill>
              </w14:textFill>
            </w:rPr>
          </w:pPr>
          <w:r>
            <w:rPr>
              <w:rFonts w:ascii="Arial" w:hAnsi="Arial" w:cs="Arial"/>
              <w:bCs/>
              <w:color w:val="000000" w:themeColor="text1"/>
              <w:sz w:val="28"/>
              <w:szCs w:val="28"/>
              <w14:textFill>
                <w14:solidFill>
                  <w14:schemeClr w14:val="tx1"/>
                </w14:solidFill>
              </w14:textFill>
            </w:rPr>
            <w:t>Word Count:</w:t>
          </w:r>
          <w:r>
            <w:rPr>
              <w:rFonts w:ascii="Arial" w:hAnsi="Arial" w:cs="Arial"/>
              <w:color w:val="000000" w:themeColor="text1"/>
              <w:sz w:val="28"/>
              <w:szCs w:val="28"/>
              <w14:textFill>
                <w14:solidFill>
                  <w14:schemeClr w14:val="tx1"/>
                </w14:solidFill>
              </w14:textFill>
            </w:rPr>
            <w:t xml:space="preserve"> 1603</w:t>
          </w:r>
        </w:p>
        <w:p w14:paraId="7E5485E3">
          <w:pPr>
            <w:pStyle w:val="38"/>
            <w:jc w:val="center"/>
            <w:rPr>
              <w:rFonts w:hint="default" w:ascii="Arial" w:hAnsi="Arial" w:cs="Arial"/>
              <w:color w:val="000000" w:themeColor="text1"/>
              <w:sz w:val="28"/>
              <w:szCs w:val="28"/>
              <w:lang w:val="en-GB"/>
              <w14:textFill>
                <w14:solidFill>
                  <w14:schemeClr w14:val="tx1"/>
                </w14:solidFill>
              </w14:textFill>
            </w:rPr>
          </w:pPr>
          <w:r>
            <w:rPr>
              <w:rFonts w:ascii="Arial" w:hAnsi="Arial" w:cs="Arial"/>
              <w:bCs/>
              <w:color w:val="000000" w:themeColor="text1"/>
              <w:sz w:val="28"/>
              <w:szCs w:val="28"/>
              <w14:textFill>
                <w14:solidFill>
                  <w14:schemeClr w14:val="tx1"/>
                </w14:solidFill>
              </w14:textFill>
            </w:rPr>
            <w:t>Submission Date:</w:t>
          </w:r>
          <w:r>
            <w:rPr>
              <w:rFonts w:hint="default" w:ascii="Arial" w:hAnsi="Arial" w:cs="Arial"/>
              <w:bCs/>
              <w:color w:val="000000" w:themeColor="text1"/>
              <w:sz w:val="28"/>
              <w:szCs w:val="28"/>
              <w:lang w:val="en-GB"/>
              <w14:textFill>
                <w14:solidFill>
                  <w14:schemeClr w14:val="tx1"/>
                </w14:solidFill>
              </w14:textFill>
            </w:rPr>
            <w:t xml:space="preserve"> 16-04-2026</w:t>
          </w:r>
          <w:bookmarkStart w:id="27" w:name="_GoBack"/>
          <w:bookmarkEnd w:id="27"/>
        </w:p>
        <w:p w14:paraId="0BA15F30">
          <w:pPr>
            <w:pStyle w:val="38"/>
            <w:jc w:val="center"/>
            <w:rPr>
              <w:u w:val="single"/>
            </w:rPr>
          </w:pPr>
          <w:r>
            <w:rPr>
              <w:rFonts w:ascii="Arial" w:hAnsi="Arial" w:cs="Arial"/>
              <w:color w:val="000000" w:themeColor="text1"/>
              <w:u w:val="single"/>
              <w14:textFill>
                <w14:solidFill>
                  <w14:schemeClr w14:val="tx1"/>
                </w14:solidFill>
              </w14:textFill>
            </w:rPr>
            <w:br w:type="textWrapping"/>
          </w:r>
          <w:r>
            <w:rPr>
              <w:color w:val="000000" w:themeColor="text1"/>
              <w:u w:val="single"/>
              <w14:textFill>
                <w14:solidFill>
                  <w14:schemeClr w14:val="tx1"/>
                </w14:solidFill>
              </w14:textFill>
            </w:rPr>
            <w:br w:type="textWrapping"/>
          </w:r>
          <w:r>
            <w:rPr>
              <w:u w:val="single"/>
            </w:rPr>
            <w:t xml:space="preserve">                        </w:t>
          </w:r>
          <w:r>
            <w:rPr>
              <w:u w:val="single"/>
            </w:rPr>
            <w:br w:type="textWrapping"/>
          </w:r>
        </w:p>
        <w:p w14:paraId="4BC23FE2"/>
        <w:p w14:paraId="4D65B7BA"/>
        <w:p w14:paraId="687E0706"/>
        <w:p w14:paraId="08CAD163"/>
        <w:p w14:paraId="1FCD555C">
          <w:pPr>
            <w:pStyle w:val="2"/>
            <w:shd w:val="clear" w:color="auto" w:fill="B4C6E7" w:themeFill="accent1" w:themeFillTint="66"/>
            <w:rPr>
              <w:rFonts w:ascii="Arial" w:hAnsi="Arial" w:cs="Arial"/>
            </w:rPr>
          </w:pPr>
          <w:r>
            <w:rPr>
              <w:rFonts w:ascii="Arial" w:hAnsi="Arial" w:cs="Arial"/>
            </w:rPr>
            <w:t>Contents</w:t>
          </w:r>
        </w:p>
        <w:p w14:paraId="0BFB442C">
          <w:pPr>
            <w:pStyle w:val="19"/>
            <w:rPr>
              <w:rFonts w:asciiTheme="minorHAnsi" w:hAnsiTheme="minorHAnsi" w:eastAsiaTheme="minorEastAsia" w:cstheme="minorBidi"/>
              <w:shd w:val="clear" w:color="auto" w:fill="auto"/>
            </w:rPr>
          </w:pPr>
          <w:r>
            <w:rPr>
              <w:shd w:val="clear" w:color="auto" w:fill="auto"/>
            </w:rPr>
            <w:fldChar w:fldCharType="begin"/>
          </w:r>
          <w:r>
            <w:rPr>
              <w:shd w:val="clear" w:color="auto" w:fill="auto"/>
            </w:rPr>
            <w:instrText xml:space="preserve"> TOC \o "1-3" \h \z \u </w:instrText>
          </w:r>
          <w:r>
            <w:rPr>
              <w:shd w:val="clear" w:color="auto" w:fill="auto"/>
            </w:rPr>
            <w:fldChar w:fldCharType="separate"/>
          </w:r>
          <w:r>
            <w:fldChar w:fldCharType="begin"/>
          </w:r>
          <w:r>
            <w:instrText xml:space="preserve"> HYPERLINK \l "_Toc225606245" </w:instrText>
          </w:r>
          <w:r>
            <w:fldChar w:fldCharType="separate"/>
          </w:r>
          <w:r>
            <w:rPr>
              <w:rStyle w:val="15"/>
              <w:shd w:val="clear" w:color="auto" w:fill="auto"/>
            </w:rPr>
            <w:t>Introduction</w:t>
          </w:r>
          <w:r>
            <w:rPr>
              <w:shd w:val="clear" w:color="auto" w:fill="auto"/>
            </w:rPr>
            <w:tab/>
          </w:r>
          <w:r>
            <w:rPr>
              <w:shd w:val="clear" w:color="auto" w:fill="auto"/>
            </w:rPr>
            <w:fldChar w:fldCharType="begin"/>
          </w:r>
          <w:r>
            <w:rPr>
              <w:shd w:val="clear" w:color="auto" w:fill="auto"/>
            </w:rPr>
            <w:instrText xml:space="preserve"> PAGEREF _Toc225606245 \h </w:instrText>
          </w:r>
          <w:r>
            <w:rPr>
              <w:shd w:val="clear" w:color="auto" w:fill="auto"/>
            </w:rPr>
            <w:fldChar w:fldCharType="separate"/>
          </w:r>
          <w:r>
            <w:rPr>
              <w:shd w:val="clear" w:color="auto" w:fill="auto"/>
            </w:rPr>
            <w:t>3</w:t>
          </w:r>
          <w:r>
            <w:rPr>
              <w:shd w:val="clear" w:color="auto" w:fill="auto"/>
            </w:rPr>
            <w:fldChar w:fldCharType="end"/>
          </w:r>
          <w:r>
            <w:rPr>
              <w:shd w:val="clear" w:color="auto" w:fill="auto"/>
            </w:rPr>
            <w:fldChar w:fldCharType="end"/>
          </w:r>
        </w:p>
        <w:p w14:paraId="4172F532">
          <w:pPr>
            <w:pStyle w:val="19"/>
            <w:rPr>
              <w:rFonts w:asciiTheme="minorHAnsi" w:hAnsiTheme="minorHAnsi" w:eastAsiaTheme="minorEastAsia" w:cstheme="minorBidi"/>
              <w:shd w:val="clear" w:color="auto" w:fill="auto"/>
            </w:rPr>
          </w:pPr>
          <w:r>
            <w:fldChar w:fldCharType="begin"/>
          </w:r>
          <w:r>
            <w:instrText xml:space="preserve"> HYPERLINK \l "_Toc225606246" </w:instrText>
          </w:r>
          <w:r>
            <w:fldChar w:fldCharType="separate"/>
          </w:r>
          <w:r>
            <w:rPr>
              <w:rStyle w:val="15"/>
              <w:shd w:val="clear" w:color="auto" w:fill="auto"/>
            </w:rPr>
            <w:t>Nature vs Nurture</w:t>
          </w:r>
          <w:r>
            <w:rPr>
              <w:shd w:val="clear" w:color="auto" w:fill="auto"/>
            </w:rPr>
            <w:tab/>
          </w:r>
          <w:r>
            <w:rPr>
              <w:shd w:val="clear" w:color="auto" w:fill="auto"/>
            </w:rPr>
            <w:fldChar w:fldCharType="begin"/>
          </w:r>
          <w:r>
            <w:rPr>
              <w:shd w:val="clear" w:color="auto" w:fill="auto"/>
            </w:rPr>
            <w:instrText xml:space="preserve"> PAGEREF _Toc225606246 \h </w:instrText>
          </w:r>
          <w:r>
            <w:rPr>
              <w:shd w:val="clear" w:color="auto" w:fill="auto"/>
            </w:rPr>
            <w:fldChar w:fldCharType="separate"/>
          </w:r>
          <w:r>
            <w:rPr>
              <w:shd w:val="clear" w:color="auto" w:fill="auto"/>
            </w:rPr>
            <w:t>3</w:t>
          </w:r>
          <w:r>
            <w:rPr>
              <w:shd w:val="clear" w:color="auto" w:fill="auto"/>
            </w:rPr>
            <w:fldChar w:fldCharType="end"/>
          </w:r>
          <w:r>
            <w:rPr>
              <w:shd w:val="clear" w:color="auto" w:fill="auto"/>
            </w:rPr>
            <w:fldChar w:fldCharType="end"/>
          </w:r>
        </w:p>
        <w:p w14:paraId="72355541">
          <w:pPr>
            <w:pStyle w:val="19"/>
            <w:rPr>
              <w:rFonts w:asciiTheme="minorHAnsi" w:hAnsiTheme="minorHAnsi" w:eastAsiaTheme="minorEastAsia" w:cstheme="minorBidi"/>
              <w:shd w:val="clear" w:color="auto" w:fill="auto"/>
            </w:rPr>
          </w:pPr>
          <w:r>
            <w:fldChar w:fldCharType="begin"/>
          </w:r>
          <w:r>
            <w:instrText xml:space="preserve"> HYPERLINK \l "_Toc225606247" </w:instrText>
          </w:r>
          <w:r>
            <w:fldChar w:fldCharType="separate"/>
          </w:r>
          <w:r>
            <w:rPr>
              <w:rStyle w:val="15"/>
              <w:shd w:val="clear" w:color="auto" w:fill="auto"/>
            </w:rPr>
            <w:t>Theory 1: Attachment Theory of Bowlby.</w:t>
          </w:r>
          <w:r>
            <w:rPr>
              <w:shd w:val="clear" w:color="auto" w:fill="auto"/>
            </w:rPr>
            <w:tab/>
          </w:r>
          <w:r>
            <w:rPr>
              <w:shd w:val="clear" w:color="auto" w:fill="auto"/>
            </w:rPr>
            <w:fldChar w:fldCharType="begin"/>
          </w:r>
          <w:r>
            <w:rPr>
              <w:shd w:val="clear" w:color="auto" w:fill="auto"/>
            </w:rPr>
            <w:instrText xml:space="preserve"> PAGEREF _Toc225606247 \h </w:instrText>
          </w:r>
          <w:r>
            <w:rPr>
              <w:shd w:val="clear" w:color="auto" w:fill="auto"/>
            </w:rPr>
            <w:fldChar w:fldCharType="separate"/>
          </w:r>
          <w:r>
            <w:rPr>
              <w:shd w:val="clear" w:color="auto" w:fill="auto"/>
            </w:rPr>
            <w:t>4</w:t>
          </w:r>
          <w:r>
            <w:rPr>
              <w:shd w:val="clear" w:color="auto" w:fill="auto"/>
            </w:rPr>
            <w:fldChar w:fldCharType="end"/>
          </w:r>
          <w:r>
            <w:rPr>
              <w:shd w:val="clear" w:color="auto" w:fill="auto"/>
            </w:rPr>
            <w:fldChar w:fldCharType="end"/>
          </w:r>
        </w:p>
        <w:p w14:paraId="03149381">
          <w:pPr>
            <w:pStyle w:val="19"/>
            <w:rPr>
              <w:rFonts w:asciiTheme="minorHAnsi" w:hAnsiTheme="minorHAnsi" w:eastAsiaTheme="minorEastAsia" w:cstheme="minorBidi"/>
              <w:shd w:val="clear" w:color="auto" w:fill="auto"/>
            </w:rPr>
          </w:pPr>
          <w:r>
            <w:fldChar w:fldCharType="begin"/>
          </w:r>
          <w:r>
            <w:instrText xml:space="preserve"> HYPERLINK \l "_Toc225606248" </w:instrText>
          </w:r>
          <w:r>
            <w:fldChar w:fldCharType="separate"/>
          </w:r>
          <w:r>
            <w:rPr>
              <w:rStyle w:val="15"/>
              <w:shd w:val="clear" w:color="auto" w:fill="auto"/>
            </w:rPr>
            <w:t>Theory 2: Erikson Psychosocial Development Theory.</w:t>
          </w:r>
          <w:r>
            <w:rPr>
              <w:shd w:val="clear" w:color="auto" w:fill="auto"/>
            </w:rPr>
            <w:tab/>
          </w:r>
          <w:r>
            <w:rPr>
              <w:shd w:val="clear" w:color="auto" w:fill="auto"/>
            </w:rPr>
            <w:fldChar w:fldCharType="begin"/>
          </w:r>
          <w:r>
            <w:rPr>
              <w:shd w:val="clear" w:color="auto" w:fill="auto"/>
            </w:rPr>
            <w:instrText xml:space="preserve"> PAGEREF _Toc225606248 \h </w:instrText>
          </w:r>
          <w:r>
            <w:rPr>
              <w:shd w:val="clear" w:color="auto" w:fill="auto"/>
            </w:rPr>
            <w:fldChar w:fldCharType="separate"/>
          </w:r>
          <w:r>
            <w:rPr>
              <w:shd w:val="clear" w:color="auto" w:fill="auto"/>
            </w:rPr>
            <w:t>4</w:t>
          </w:r>
          <w:r>
            <w:rPr>
              <w:shd w:val="clear" w:color="auto" w:fill="auto"/>
            </w:rPr>
            <w:fldChar w:fldCharType="end"/>
          </w:r>
          <w:r>
            <w:rPr>
              <w:shd w:val="clear" w:color="auto" w:fill="auto"/>
            </w:rPr>
            <w:fldChar w:fldCharType="end"/>
          </w:r>
        </w:p>
        <w:p w14:paraId="476B7D20">
          <w:pPr>
            <w:pStyle w:val="19"/>
            <w:rPr>
              <w:rFonts w:asciiTheme="minorHAnsi" w:hAnsiTheme="minorHAnsi" w:eastAsiaTheme="minorEastAsia" w:cstheme="minorBidi"/>
              <w:shd w:val="clear" w:color="auto" w:fill="auto"/>
            </w:rPr>
          </w:pPr>
          <w:r>
            <w:fldChar w:fldCharType="begin"/>
          </w:r>
          <w:r>
            <w:instrText xml:space="preserve"> HYPERLINK \l "_Toc225606249" </w:instrText>
          </w:r>
          <w:r>
            <w:fldChar w:fldCharType="separate"/>
          </w:r>
          <w:r>
            <w:rPr>
              <w:rStyle w:val="15"/>
              <w:shd w:val="clear" w:color="auto" w:fill="auto"/>
            </w:rPr>
            <w:t>Health and Social Care Usage.</w:t>
          </w:r>
          <w:r>
            <w:rPr>
              <w:shd w:val="clear" w:color="auto" w:fill="auto"/>
            </w:rPr>
            <w:tab/>
          </w:r>
          <w:r>
            <w:rPr>
              <w:shd w:val="clear" w:color="auto" w:fill="auto"/>
            </w:rPr>
            <w:fldChar w:fldCharType="begin"/>
          </w:r>
          <w:r>
            <w:rPr>
              <w:shd w:val="clear" w:color="auto" w:fill="auto"/>
            </w:rPr>
            <w:instrText xml:space="preserve"> PAGEREF _Toc225606249 \h </w:instrText>
          </w:r>
          <w:r>
            <w:rPr>
              <w:shd w:val="clear" w:color="auto" w:fill="auto"/>
            </w:rPr>
            <w:fldChar w:fldCharType="separate"/>
          </w:r>
          <w:r>
            <w:rPr>
              <w:shd w:val="clear" w:color="auto" w:fill="auto"/>
            </w:rPr>
            <w:t>5</w:t>
          </w:r>
          <w:r>
            <w:rPr>
              <w:shd w:val="clear" w:color="auto" w:fill="auto"/>
            </w:rPr>
            <w:fldChar w:fldCharType="end"/>
          </w:r>
          <w:r>
            <w:rPr>
              <w:shd w:val="clear" w:color="auto" w:fill="auto"/>
            </w:rPr>
            <w:fldChar w:fldCharType="end"/>
          </w:r>
        </w:p>
        <w:p w14:paraId="01AC167D">
          <w:pPr>
            <w:pStyle w:val="19"/>
            <w:rPr>
              <w:rFonts w:asciiTheme="minorHAnsi" w:hAnsiTheme="minorHAnsi" w:eastAsiaTheme="minorEastAsia" w:cstheme="minorBidi"/>
              <w:shd w:val="clear" w:color="auto" w:fill="auto"/>
            </w:rPr>
          </w:pPr>
          <w:r>
            <w:fldChar w:fldCharType="begin"/>
          </w:r>
          <w:r>
            <w:instrText xml:space="preserve"> HYPERLINK \l "_Toc225606250" </w:instrText>
          </w:r>
          <w:r>
            <w:fldChar w:fldCharType="separate"/>
          </w:r>
          <w:r>
            <w:rPr>
              <w:rStyle w:val="15"/>
              <w:shd w:val="clear" w:color="auto" w:fill="auto"/>
            </w:rPr>
            <w:t>Example (Case Study: Jenny)</w:t>
          </w:r>
          <w:r>
            <w:rPr>
              <w:shd w:val="clear" w:color="auto" w:fill="auto"/>
            </w:rPr>
            <w:tab/>
          </w:r>
          <w:r>
            <w:rPr>
              <w:shd w:val="clear" w:color="auto" w:fill="auto"/>
            </w:rPr>
            <w:fldChar w:fldCharType="begin"/>
          </w:r>
          <w:r>
            <w:rPr>
              <w:shd w:val="clear" w:color="auto" w:fill="auto"/>
            </w:rPr>
            <w:instrText xml:space="preserve"> PAGEREF _Toc225606250 \h </w:instrText>
          </w:r>
          <w:r>
            <w:rPr>
              <w:shd w:val="clear" w:color="auto" w:fill="auto"/>
            </w:rPr>
            <w:fldChar w:fldCharType="separate"/>
          </w:r>
          <w:r>
            <w:rPr>
              <w:shd w:val="clear" w:color="auto" w:fill="auto"/>
            </w:rPr>
            <w:t>6</w:t>
          </w:r>
          <w:r>
            <w:rPr>
              <w:shd w:val="clear" w:color="auto" w:fill="auto"/>
            </w:rPr>
            <w:fldChar w:fldCharType="end"/>
          </w:r>
          <w:r>
            <w:rPr>
              <w:shd w:val="clear" w:color="auto" w:fill="auto"/>
            </w:rPr>
            <w:fldChar w:fldCharType="end"/>
          </w:r>
        </w:p>
        <w:p w14:paraId="41E76611">
          <w:pPr>
            <w:pStyle w:val="19"/>
            <w:rPr>
              <w:rFonts w:asciiTheme="minorHAnsi" w:hAnsiTheme="minorHAnsi" w:eastAsiaTheme="minorEastAsia" w:cstheme="minorBidi"/>
              <w:shd w:val="clear" w:color="auto" w:fill="auto"/>
            </w:rPr>
          </w:pPr>
          <w:r>
            <w:fldChar w:fldCharType="begin"/>
          </w:r>
          <w:r>
            <w:instrText xml:space="preserve"> HYPERLINK \l "_Toc225606251" </w:instrText>
          </w:r>
          <w:r>
            <w:fldChar w:fldCharType="separate"/>
          </w:r>
          <w:r>
            <w:rPr>
              <w:rStyle w:val="15"/>
              <w:shd w:val="clear" w:color="auto" w:fill="auto"/>
            </w:rPr>
            <w:t>Critical Evaluation</w:t>
          </w:r>
          <w:r>
            <w:rPr>
              <w:shd w:val="clear" w:color="auto" w:fill="auto"/>
            </w:rPr>
            <w:tab/>
          </w:r>
          <w:r>
            <w:rPr>
              <w:shd w:val="clear" w:color="auto" w:fill="auto"/>
            </w:rPr>
            <w:fldChar w:fldCharType="begin"/>
          </w:r>
          <w:r>
            <w:rPr>
              <w:shd w:val="clear" w:color="auto" w:fill="auto"/>
            </w:rPr>
            <w:instrText xml:space="preserve"> PAGEREF _Toc225606251 \h </w:instrText>
          </w:r>
          <w:r>
            <w:rPr>
              <w:shd w:val="clear" w:color="auto" w:fill="auto"/>
            </w:rPr>
            <w:fldChar w:fldCharType="separate"/>
          </w:r>
          <w:r>
            <w:rPr>
              <w:shd w:val="clear" w:color="auto" w:fill="auto"/>
            </w:rPr>
            <w:t>6</w:t>
          </w:r>
          <w:r>
            <w:rPr>
              <w:shd w:val="clear" w:color="auto" w:fill="auto"/>
            </w:rPr>
            <w:fldChar w:fldCharType="end"/>
          </w:r>
          <w:r>
            <w:rPr>
              <w:shd w:val="clear" w:color="auto" w:fill="auto"/>
            </w:rPr>
            <w:fldChar w:fldCharType="end"/>
          </w:r>
        </w:p>
        <w:p w14:paraId="65437DE8">
          <w:pPr>
            <w:pStyle w:val="19"/>
            <w:rPr>
              <w:rFonts w:asciiTheme="minorHAnsi" w:hAnsiTheme="minorHAnsi" w:eastAsiaTheme="minorEastAsia" w:cstheme="minorBidi"/>
              <w:shd w:val="clear" w:color="auto" w:fill="auto"/>
            </w:rPr>
          </w:pPr>
          <w:r>
            <w:fldChar w:fldCharType="begin"/>
          </w:r>
          <w:r>
            <w:instrText xml:space="preserve"> HYPERLINK \l "_Toc225606252" </w:instrText>
          </w:r>
          <w:r>
            <w:fldChar w:fldCharType="separate"/>
          </w:r>
          <w:r>
            <w:rPr>
              <w:rStyle w:val="15"/>
              <w:shd w:val="clear" w:color="auto" w:fill="auto"/>
            </w:rPr>
            <w:t>Conclusion</w:t>
          </w:r>
          <w:r>
            <w:rPr>
              <w:shd w:val="clear" w:color="auto" w:fill="auto"/>
            </w:rPr>
            <w:tab/>
          </w:r>
          <w:r>
            <w:rPr>
              <w:shd w:val="clear" w:color="auto" w:fill="auto"/>
            </w:rPr>
            <w:fldChar w:fldCharType="begin"/>
          </w:r>
          <w:r>
            <w:rPr>
              <w:shd w:val="clear" w:color="auto" w:fill="auto"/>
            </w:rPr>
            <w:instrText xml:space="preserve"> PAGEREF _Toc225606252 \h </w:instrText>
          </w:r>
          <w:r>
            <w:rPr>
              <w:shd w:val="clear" w:color="auto" w:fill="auto"/>
            </w:rPr>
            <w:fldChar w:fldCharType="separate"/>
          </w:r>
          <w:r>
            <w:rPr>
              <w:shd w:val="clear" w:color="auto" w:fill="auto"/>
            </w:rPr>
            <w:t>7</w:t>
          </w:r>
          <w:r>
            <w:rPr>
              <w:shd w:val="clear" w:color="auto" w:fill="auto"/>
            </w:rPr>
            <w:fldChar w:fldCharType="end"/>
          </w:r>
          <w:r>
            <w:rPr>
              <w:shd w:val="clear" w:color="auto" w:fill="auto"/>
            </w:rPr>
            <w:fldChar w:fldCharType="end"/>
          </w:r>
        </w:p>
        <w:p w14:paraId="6942150E">
          <w:pPr>
            <w:pStyle w:val="19"/>
            <w:rPr>
              <w:rFonts w:asciiTheme="minorHAnsi" w:hAnsiTheme="minorHAnsi" w:eastAsiaTheme="minorEastAsia" w:cstheme="minorBidi"/>
              <w:shd w:val="clear" w:color="auto" w:fill="auto"/>
            </w:rPr>
          </w:pPr>
          <w:r>
            <w:fldChar w:fldCharType="begin"/>
          </w:r>
          <w:r>
            <w:instrText xml:space="preserve"> HYPERLINK \l "_Toc225606253" </w:instrText>
          </w:r>
          <w:r>
            <w:fldChar w:fldCharType="separate"/>
          </w:r>
          <w:r>
            <w:rPr>
              <w:rStyle w:val="15"/>
              <w:shd w:val="clear" w:color="auto" w:fill="auto"/>
            </w:rPr>
            <w:t>REFERENCE</w:t>
          </w:r>
          <w:r>
            <w:rPr>
              <w:shd w:val="clear" w:color="auto" w:fill="auto"/>
            </w:rPr>
            <w:tab/>
          </w:r>
          <w:r>
            <w:rPr>
              <w:shd w:val="clear" w:color="auto" w:fill="auto"/>
            </w:rPr>
            <w:fldChar w:fldCharType="begin"/>
          </w:r>
          <w:r>
            <w:rPr>
              <w:shd w:val="clear" w:color="auto" w:fill="auto"/>
            </w:rPr>
            <w:instrText xml:space="preserve"> PAGEREF _Toc225606253 \h </w:instrText>
          </w:r>
          <w:r>
            <w:rPr>
              <w:shd w:val="clear" w:color="auto" w:fill="auto"/>
            </w:rPr>
            <w:fldChar w:fldCharType="separate"/>
          </w:r>
          <w:r>
            <w:rPr>
              <w:shd w:val="clear" w:color="auto" w:fill="auto"/>
            </w:rPr>
            <w:t>7</w:t>
          </w:r>
          <w:r>
            <w:rPr>
              <w:shd w:val="clear" w:color="auto" w:fill="auto"/>
            </w:rPr>
            <w:fldChar w:fldCharType="end"/>
          </w:r>
          <w:r>
            <w:rPr>
              <w:shd w:val="clear" w:color="auto" w:fill="auto"/>
            </w:rPr>
            <w:fldChar w:fldCharType="end"/>
          </w:r>
        </w:p>
        <w:p w14:paraId="665044D1">
          <w:pPr>
            <w:rPr>
              <w:b/>
              <w:bCs/>
            </w:rPr>
          </w:pPr>
          <w:r>
            <w:rPr>
              <w:b/>
              <w:bCs/>
            </w:rPr>
            <w:fldChar w:fldCharType="end"/>
          </w:r>
        </w:p>
        <w:p w14:paraId="614BF4C3">
          <w:pPr>
            <w:rPr>
              <w:b/>
              <w:bCs/>
            </w:rPr>
          </w:pPr>
        </w:p>
        <w:p w14:paraId="3F239D61">
          <w:pPr>
            <w:rPr>
              <w:b/>
              <w:bCs/>
            </w:rPr>
          </w:pPr>
        </w:p>
        <w:p w14:paraId="04A297CE">
          <w:pPr>
            <w:rPr>
              <w:b/>
              <w:bCs/>
            </w:rPr>
          </w:pPr>
        </w:p>
        <w:p w14:paraId="47CDA6F5">
          <w:pPr>
            <w:rPr>
              <w:b/>
              <w:bCs/>
            </w:rPr>
          </w:pPr>
        </w:p>
        <w:p w14:paraId="678DBF61">
          <w:pPr>
            <w:rPr>
              <w:b/>
              <w:bCs/>
            </w:rPr>
          </w:pPr>
        </w:p>
        <w:p w14:paraId="7A7B7981">
          <w:pPr>
            <w:rPr>
              <w:b/>
              <w:bCs/>
            </w:rPr>
          </w:pPr>
        </w:p>
        <w:p w14:paraId="59B0E295">
          <w:pPr>
            <w:rPr>
              <w:b/>
              <w:bCs/>
            </w:rPr>
          </w:pPr>
        </w:p>
        <w:p w14:paraId="5029495A">
          <w:pPr>
            <w:rPr>
              <w:b/>
              <w:bCs/>
            </w:rPr>
          </w:pPr>
        </w:p>
        <w:p w14:paraId="3F94DF21">
          <w:pPr>
            <w:rPr>
              <w:b/>
              <w:bCs/>
            </w:rPr>
          </w:pPr>
        </w:p>
        <w:p w14:paraId="4BC11BE0">
          <w:pPr>
            <w:rPr>
              <w:b/>
              <w:bCs/>
            </w:rPr>
          </w:pPr>
        </w:p>
        <w:p w14:paraId="0F83A01B">
          <w:pPr>
            <w:rPr>
              <w:b/>
              <w:bCs/>
            </w:rPr>
          </w:pPr>
        </w:p>
        <w:p w14:paraId="2645191C">
          <w:pPr>
            <w:rPr>
              <w:b/>
              <w:bCs/>
            </w:rPr>
          </w:pPr>
        </w:p>
        <w:p w14:paraId="2C0A60CD">
          <w:pPr>
            <w:rPr>
              <w:b/>
              <w:bCs/>
            </w:rPr>
          </w:pPr>
        </w:p>
        <w:p w14:paraId="4D4B07FF">
          <w:pPr>
            <w:rPr>
              <w:b/>
              <w:bCs/>
            </w:rPr>
          </w:pPr>
        </w:p>
        <w:p w14:paraId="23506B03"/>
      </w:sdtContent>
    </w:sdt>
    <w:p w14:paraId="08F52316">
      <w:pPr>
        <w:pStyle w:val="2"/>
        <w:shd w:val="clear" w:color="auto" w:fill="B4C6E7" w:themeFill="accent1" w:themeFillTint="66"/>
        <w:rPr>
          <w:rFonts w:ascii="Arial" w:hAnsi="Arial" w:cs="Arial"/>
        </w:rPr>
      </w:pPr>
      <w:bookmarkStart w:id="2" w:name="_Toc225606245"/>
      <w:r>
        <w:rPr>
          <w:rFonts w:ascii="Arial" w:hAnsi="Arial" w:cs="Arial"/>
        </w:rPr>
        <w:t>Introduction</w:t>
      </w:r>
      <w:bookmarkEnd w:id="0"/>
      <w:bookmarkEnd w:id="1"/>
      <w:bookmarkEnd w:id="2"/>
    </w:p>
    <w:p w14:paraId="3F4FBC2A">
      <w:pPr>
        <w:spacing w:line="360" w:lineRule="auto"/>
        <w:jc w:val="both"/>
        <w:rPr>
          <w:rFonts w:ascii="Arial" w:hAnsi="Arial" w:cs="Arial"/>
          <w:sz w:val="22"/>
          <w:szCs w:val="22"/>
        </w:rPr>
      </w:pPr>
      <w:r>
        <w:rPr>
          <w:rFonts w:ascii="Arial" w:hAnsi="Arial" w:cs="Arial"/>
          <w:sz w:val="22"/>
          <w:szCs w:val="22"/>
        </w:rPr>
        <w:t>This booklet discusses the application of developmental psychology theories in health and social care environments in dealing with children and young people. Psychological development also plays a crucial role in understanding, because the healthcare professional is able to respond to the needs of the patients in relation to emotions, social, and cognitive needs. Children and the youths pass through various development stages in their lives and what they are exposed to at the stages can have a long term implication on their lives.</w:t>
      </w:r>
    </w:p>
    <w:p w14:paraId="70F2616F">
      <w:pPr>
        <w:spacing w:line="360" w:lineRule="auto"/>
        <w:jc w:val="both"/>
        <w:rPr>
          <w:rFonts w:ascii="Arial" w:hAnsi="Arial" w:cs="Arial"/>
          <w:sz w:val="22"/>
          <w:szCs w:val="22"/>
        </w:rPr>
      </w:pPr>
      <w:r>
        <w:rPr>
          <w:rFonts w:ascii="Arial" w:hAnsi="Arial" w:cs="Arial"/>
          <w:sz w:val="22"/>
          <w:szCs w:val="22"/>
        </w:rPr>
        <w:t>The following booklet is devoted to the effects of nature and nurture on development and the discussions of two major theories: the Attachment Theory by Bowlby and the Psychosocial Development Theory by Erikson. The importance of these theories is that they define how relationships and social experiences shape development. It is also mentioned in the booklet how such theories could be utilized in the real-life care context especially in the context of young carers like Jenny who might have other struggles.</w:t>
      </w:r>
    </w:p>
    <w:p w14:paraId="1D90D8C9">
      <w:pPr>
        <w:spacing w:line="360" w:lineRule="auto"/>
        <w:jc w:val="both"/>
        <w:rPr>
          <w:rFonts w:ascii="Arial" w:hAnsi="Arial" w:cs="Arial"/>
          <w:sz w:val="22"/>
          <w:szCs w:val="22"/>
        </w:rPr>
      </w:pPr>
    </w:p>
    <w:p w14:paraId="58D95B6E">
      <w:pPr>
        <w:pStyle w:val="2"/>
        <w:shd w:val="clear" w:color="auto" w:fill="B4C6E7" w:themeFill="accent1" w:themeFillTint="66"/>
        <w:rPr>
          <w:rFonts w:ascii="Arial" w:hAnsi="Arial" w:cs="Arial"/>
        </w:rPr>
      </w:pPr>
      <w:bookmarkStart w:id="3" w:name="_Toc225605692"/>
      <w:bookmarkStart w:id="4" w:name="_Toc225605173"/>
      <w:bookmarkStart w:id="5" w:name="_Toc225606246"/>
      <w:r>
        <w:rPr>
          <w:rFonts w:ascii="Arial" w:hAnsi="Arial" w:cs="Arial"/>
        </w:rPr>
        <w:t>Nature vs Nurture</w:t>
      </w:r>
      <w:bookmarkEnd w:id="3"/>
      <w:bookmarkEnd w:id="4"/>
      <w:bookmarkEnd w:id="5"/>
    </w:p>
    <w:p w14:paraId="25955E95">
      <w:pPr>
        <w:spacing w:line="360" w:lineRule="auto"/>
        <w:jc w:val="both"/>
        <w:rPr>
          <w:rFonts w:ascii="Arial" w:hAnsi="Arial" w:cs="Arial"/>
          <w:sz w:val="22"/>
          <w:szCs w:val="22"/>
        </w:rPr>
      </w:pPr>
      <w:r>
        <w:rPr>
          <w:rFonts w:ascii="Arial" w:hAnsi="Arial" w:cs="Arial"/>
          <w:sz w:val="22"/>
          <w:szCs w:val="22"/>
        </w:rPr>
        <w:t>There are biological (nature) factors that affect development and environmental (nurture) factors that do the same. Nature is a genetic factor that includes inherited traits, temperament and biological makeup. Nurture is the environmental factors such as family relationship, education, socialization and life experiences.These factors are in constant interaction as they influence development in children and young people. To take an example, a child can be predisposed to anxiety because of genetic factors, but with the help of the stable environment, this predisposition can be decreased. Conversely, when an environment is negative or unstable it can heighten anxiety and also influence emotional development.</w:t>
      </w:r>
    </w:p>
    <w:p w14:paraId="624E9E77">
      <w:pPr>
        <w:spacing w:line="360" w:lineRule="auto"/>
        <w:jc w:val="both"/>
        <w:rPr>
          <w:rFonts w:ascii="Arial" w:hAnsi="Arial" w:cs="Arial"/>
          <w:sz w:val="22"/>
          <w:szCs w:val="22"/>
        </w:rPr>
      </w:pPr>
      <w:r>
        <w:rPr>
          <w:rFonts w:ascii="Arial" w:hAnsi="Arial" w:cs="Arial"/>
          <w:sz w:val="22"/>
          <w:szCs w:val="22"/>
        </w:rPr>
        <w:t>In environmental factors these influences include parenting style, peer relationships and school experiences which have a significant role in influencing behaviour. When children are brought up in positive and supportive backgrounds, they stand a good chance of being confident, resilient and having good social skills.Conversely, individuals subjected to neglect or conflict or instability might develop emotional and behavioural problems.</w:t>
      </w:r>
    </w:p>
    <w:p w14:paraId="18AAB5E9">
      <w:pPr>
        <w:spacing w:line="360" w:lineRule="auto"/>
        <w:jc w:val="both"/>
        <w:rPr>
          <w:rFonts w:ascii="Arial" w:hAnsi="Arial" w:cs="Arial"/>
          <w:sz w:val="22"/>
          <w:szCs w:val="22"/>
        </w:rPr>
      </w:pPr>
      <w:r>
        <w:rPr>
          <w:rFonts w:ascii="Arial" w:hAnsi="Arial" w:cs="Arial"/>
          <w:sz w:val="22"/>
          <w:szCs w:val="22"/>
        </w:rPr>
        <w:t>Nurture is especially significant in cases such as Jenny who is a young carer. The environment and her duties might exert pressure on her development that can impact on her emotional well being and social life. This underlines the need to provide health and social care professionals to promote healthy development with the help of early intervention.</w:t>
      </w:r>
    </w:p>
    <w:p w14:paraId="68115AEC">
      <w:pPr>
        <w:spacing w:line="360" w:lineRule="auto"/>
        <w:jc w:val="both"/>
        <w:rPr>
          <w:rFonts w:ascii="Arial" w:hAnsi="Arial" w:cs="Arial"/>
          <w:sz w:val="22"/>
          <w:szCs w:val="22"/>
        </w:rPr>
      </w:pPr>
    </w:p>
    <w:p w14:paraId="526BF556">
      <w:pPr>
        <w:pStyle w:val="2"/>
        <w:shd w:val="clear" w:color="auto" w:fill="B4C6E7" w:themeFill="accent1" w:themeFillTint="66"/>
        <w:rPr>
          <w:rFonts w:ascii="Arial" w:hAnsi="Arial" w:cs="Arial"/>
        </w:rPr>
      </w:pPr>
      <w:bookmarkStart w:id="6" w:name="_Toc225605693"/>
      <w:bookmarkStart w:id="7" w:name="_Toc225605174"/>
      <w:bookmarkStart w:id="8" w:name="_Toc225606247"/>
      <w:r>
        <w:rPr>
          <w:rFonts w:ascii="Arial" w:hAnsi="Arial" w:cs="Arial"/>
        </w:rPr>
        <w:t>Theory 1: Attachment Theory of Bowlby.</w:t>
      </w:r>
      <w:bookmarkEnd w:id="6"/>
      <w:bookmarkEnd w:id="7"/>
      <w:bookmarkEnd w:id="8"/>
    </w:p>
    <w:p w14:paraId="7BFC3336">
      <w:pPr>
        <w:spacing w:line="360" w:lineRule="auto"/>
        <w:jc w:val="both"/>
        <w:rPr>
          <w:rFonts w:ascii="Arial" w:hAnsi="Arial" w:cs="Arial"/>
          <w:sz w:val="22"/>
          <w:szCs w:val="22"/>
        </w:rPr>
      </w:pPr>
      <w:r>
        <w:rPr>
          <w:rFonts w:ascii="Arial" w:hAnsi="Arial" w:cs="Arial"/>
          <w:sz w:val="22"/>
          <w:szCs w:val="22"/>
        </w:rPr>
        <w:t>The Attachment Theory about the influence of early caregivers on emotional development is developed by Bowlby (Bowlby, 1969). Bowlby argues that children create internal working models, which are shaped by the initial experiences, and affect the way they establish relationships in adulthood. Emotional stability, confidence and trust are associated with secure attachment, and anxiety, stress and relationship-forming problems may result in insecure attachment (Ainsworth et al., 1978).</w:t>
      </w:r>
    </w:p>
    <w:p w14:paraId="28ABC9E7">
      <w:pPr>
        <w:spacing w:line="360" w:lineRule="auto"/>
        <w:jc w:val="both"/>
        <w:rPr>
          <w:rFonts w:ascii="Arial" w:hAnsi="Arial" w:cs="Arial"/>
          <w:sz w:val="22"/>
          <w:szCs w:val="22"/>
        </w:rPr>
      </w:pPr>
      <w:r>
        <w:rPr>
          <w:rFonts w:ascii="Arial" w:hAnsi="Arial" w:cs="Arial"/>
          <w:sz w:val="22"/>
          <w:szCs w:val="22"/>
        </w:rPr>
        <w:t>This theory is very applicable to children and youths as early attachment is one of the determinants of emotional wellbeing. When children are provided with good care, love and support, they are likely to develop secure attachments and improved emotional regulation, as well as improved social relationship.</w:t>
      </w:r>
    </w:p>
    <w:p w14:paraId="3E5B270A">
      <w:pPr>
        <w:spacing w:line="360" w:lineRule="auto"/>
        <w:jc w:val="both"/>
        <w:rPr>
          <w:rFonts w:ascii="Arial" w:hAnsi="Arial" w:cs="Arial"/>
          <w:sz w:val="22"/>
          <w:szCs w:val="22"/>
        </w:rPr>
      </w:pPr>
      <w:r>
        <w:rPr>
          <w:rFonts w:ascii="Arial" w:hAnsi="Arial" w:cs="Arial"/>
          <w:sz w:val="22"/>
          <w:szCs w:val="22"/>
        </w:rPr>
        <w:t>Conversely, children whose care giving is inconsistent, neglected, or separated could end up having insecure attachment styles. Such children can be withdrawn, violent, or lack of trust in others. The identification of such behaviours is relevant in health and social care settings as it helps professionals to offer the relevant support.</w:t>
      </w:r>
    </w:p>
    <w:p w14:paraId="6AEAC77F">
      <w:pPr>
        <w:spacing w:line="360" w:lineRule="auto"/>
        <w:jc w:val="both"/>
        <w:rPr>
          <w:rFonts w:ascii="Arial" w:hAnsi="Arial" w:cs="Arial"/>
          <w:sz w:val="22"/>
          <w:szCs w:val="22"/>
        </w:rPr>
      </w:pPr>
      <w:r>
        <w:rPr>
          <w:rFonts w:ascii="Arial" w:hAnsi="Arial" w:cs="Arial"/>
          <w:sz w:val="22"/>
          <w:szCs w:val="22"/>
        </w:rPr>
        <w:t>Moreover, the attachment theory can be used to determine children who are vulnerable to emotional or behavioural issues. The negative outcomes can be avoided through early intervention. Secure attachment and wellbeing can be fostered through providing stable caregiving, emotional reassurance and support.</w:t>
      </w:r>
    </w:p>
    <w:p w14:paraId="32C4BF34">
      <w:pPr>
        <w:spacing w:line="360" w:lineRule="auto"/>
        <w:jc w:val="both"/>
        <w:rPr>
          <w:rFonts w:ascii="Arial" w:hAnsi="Arial" w:cs="Arial"/>
          <w:sz w:val="22"/>
          <w:szCs w:val="22"/>
        </w:rPr>
      </w:pPr>
    </w:p>
    <w:p w14:paraId="4BF44EC5">
      <w:pPr>
        <w:pStyle w:val="2"/>
        <w:shd w:val="clear" w:color="auto" w:fill="B4C6E7" w:themeFill="accent1" w:themeFillTint="66"/>
        <w:rPr>
          <w:rFonts w:ascii="Arial" w:hAnsi="Arial" w:cs="Arial"/>
        </w:rPr>
      </w:pPr>
      <w:bookmarkStart w:id="9" w:name="_Toc225605175"/>
      <w:bookmarkStart w:id="10" w:name="_Toc225606248"/>
      <w:bookmarkStart w:id="11" w:name="_Toc225605694"/>
      <w:r>
        <w:rPr>
          <w:rFonts w:ascii="Arial" w:hAnsi="Arial" w:cs="Arial"/>
        </w:rPr>
        <w:t>Theory 2: Erikson Psychosocial Development Theory.</w:t>
      </w:r>
      <w:bookmarkEnd w:id="9"/>
      <w:bookmarkEnd w:id="10"/>
      <w:bookmarkEnd w:id="11"/>
    </w:p>
    <w:p w14:paraId="0B218BDE">
      <w:pPr>
        <w:spacing w:line="360" w:lineRule="auto"/>
        <w:jc w:val="both"/>
        <w:rPr>
          <w:rFonts w:ascii="Arial" w:hAnsi="Arial" w:cs="Arial"/>
          <w:sz w:val="22"/>
          <w:szCs w:val="22"/>
        </w:rPr>
      </w:pPr>
      <w:r>
        <w:rPr>
          <w:rFonts w:ascii="Arial" w:hAnsi="Arial" w:cs="Arial"/>
          <w:sz w:val="22"/>
          <w:szCs w:val="22"/>
        </w:rPr>
        <w:t>The Erikson theory is based on psychosocial development over the lifetime. The identity versus role confusion stage is experienced in the adolescence stage. At this age, the youth will form their identity, values, and autonomy. A successful growth will make one develop a strong sense of oneself and in case of failure, one will develop confusion and low self-esteem.</w:t>
      </w:r>
    </w:p>
    <w:p w14:paraId="015671A6">
      <w:pPr>
        <w:spacing w:line="360" w:lineRule="auto"/>
        <w:jc w:val="both"/>
        <w:rPr>
          <w:rFonts w:ascii="Arial" w:hAnsi="Arial" w:cs="Arial"/>
          <w:sz w:val="22"/>
          <w:szCs w:val="22"/>
        </w:rPr>
      </w:pPr>
      <w:r>
        <w:rPr>
          <w:rFonts w:ascii="Arial" w:hAnsi="Arial" w:cs="Arial"/>
          <w:sz w:val="22"/>
          <w:szCs w:val="22"/>
        </w:rPr>
        <w:t>The theory is also specifically applicable to children and the youth since it observes the significance of the social experiences. The adolescence is a crucial period in which identity is being formed because of the processes of interacting with others.</w:t>
      </w:r>
    </w:p>
    <w:p w14:paraId="392E277C">
      <w:pPr>
        <w:spacing w:line="360" w:lineRule="auto"/>
        <w:jc w:val="both"/>
        <w:rPr>
          <w:rFonts w:ascii="Arial" w:hAnsi="Arial" w:cs="Arial"/>
          <w:sz w:val="22"/>
          <w:szCs w:val="22"/>
        </w:rPr>
      </w:pPr>
      <w:r>
        <w:rPr>
          <w:rFonts w:ascii="Arial" w:hAnsi="Arial" w:cs="Arial"/>
          <w:sz w:val="22"/>
          <w:szCs w:val="22"/>
        </w:rPr>
        <w:t>In the case of young carers such as Jenny, having to assume the role of the adult can interfere with the normal development. They can also be stressed and pressured instead of being oriented to personal maturation and social association, which leads to identity formation and emotional health.</w:t>
      </w:r>
    </w:p>
    <w:p w14:paraId="3088300D">
      <w:pPr>
        <w:spacing w:line="360" w:lineRule="auto"/>
        <w:jc w:val="both"/>
        <w:rPr>
          <w:rFonts w:ascii="Arial" w:hAnsi="Arial" w:cs="Arial"/>
          <w:sz w:val="22"/>
          <w:szCs w:val="22"/>
        </w:rPr>
      </w:pPr>
      <w:r>
        <w:rPr>
          <w:rFonts w:ascii="Arial" w:hAnsi="Arial" w:cs="Arial"/>
          <w:sz w:val="22"/>
          <w:szCs w:val="22"/>
        </w:rPr>
        <w:t>Another aspect that Erikson insists on is that of peer relationships and social interaction. The positive experiences help in the development of confidence and identity whereas negative experiences can result in insecurity. The health and social care professionals would need to promote social participation, emotional support, and self-expression.</w:t>
      </w:r>
    </w:p>
    <w:p w14:paraId="73A83F42">
      <w:pPr>
        <w:spacing w:line="360" w:lineRule="auto"/>
        <w:jc w:val="both"/>
        <w:rPr>
          <w:rFonts w:ascii="Arial" w:hAnsi="Arial" w:cs="Arial"/>
          <w:sz w:val="22"/>
          <w:szCs w:val="22"/>
        </w:rPr>
      </w:pPr>
      <w:r>
        <w:rPr>
          <w:rFonts w:ascii="Arial" w:hAnsi="Arial" w:cs="Arial"/>
          <w:sz w:val="22"/>
          <w:szCs w:val="22"/>
        </w:rPr>
        <w:t>The inability to pass this stage with a good result can produce the long-term outcome, including the inability to make decisions and self-confidence. This indicates the need to give advices and help in adolescence.</w:t>
      </w:r>
    </w:p>
    <w:p w14:paraId="20543742">
      <w:pPr>
        <w:spacing w:line="360" w:lineRule="auto"/>
        <w:jc w:val="both"/>
        <w:rPr>
          <w:rFonts w:ascii="Arial" w:hAnsi="Arial" w:cs="Arial"/>
          <w:sz w:val="22"/>
          <w:szCs w:val="22"/>
        </w:rPr>
      </w:pPr>
    </w:p>
    <w:p w14:paraId="188FAD55">
      <w:pPr>
        <w:pStyle w:val="2"/>
        <w:shd w:val="clear" w:color="auto" w:fill="B4C6E7" w:themeFill="accent1" w:themeFillTint="66"/>
        <w:rPr>
          <w:rFonts w:ascii="Arial" w:hAnsi="Arial" w:cs="Arial"/>
        </w:rPr>
      </w:pPr>
      <w:r>
        <w:t xml:space="preserve"> </w:t>
      </w:r>
      <w:bookmarkStart w:id="12" w:name="_Toc225605176"/>
      <w:bookmarkStart w:id="13" w:name="_Toc225605695"/>
      <w:bookmarkStart w:id="14" w:name="_Toc225606249"/>
      <w:r>
        <w:rPr>
          <w:rFonts w:ascii="Arial" w:hAnsi="Arial" w:cs="Arial"/>
          <w:shd w:val="clear" w:color="auto" w:fill="B4C6E7" w:themeFill="accent1" w:themeFillTint="66"/>
        </w:rPr>
        <w:t>Health and Social Care Usage.</w:t>
      </w:r>
      <w:bookmarkEnd w:id="12"/>
      <w:bookmarkEnd w:id="13"/>
      <w:bookmarkEnd w:id="14"/>
    </w:p>
    <w:p w14:paraId="5AF94E26">
      <w:pPr>
        <w:spacing w:line="360" w:lineRule="auto"/>
        <w:jc w:val="both"/>
        <w:rPr>
          <w:rFonts w:ascii="Arial" w:hAnsi="Arial" w:cs="Arial"/>
          <w:sz w:val="22"/>
          <w:szCs w:val="22"/>
        </w:rPr>
      </w:pPr>
      <w:r>
        <w:rPr>
          <w:rFonts w:ascii="Arial" w:hAnsi="Arial" w:cs="Arial"/>
          <w:sz w:val="22"/>
          <w:szCs w:val="22"/>
        </w:rPr>
        <w:t>The two theories are applicable in the health setup and social care to assist the children and the youth.Attachment theory emphasizes the role of the supportive relationships that are consistent. The healthcare workers must strive to instill a sense of stability, trust and emotional assurance to make children feel safe.</w:t>
      </w:r>
    </w:p>
    <w:p w14:paraId="2937F175">
      <w:pPr>
        <w:spacing w:line="360" w:lineRule="auto"/>
        <w:jc w:val="both"/>
        <w:rPr>
          <w:rFonts w:ascii="Arial" w:hAnsi="Arial" w:cs="Arial"/>
          <w:sz w:val="22"/>
          <w:szCs w:val="22"/>
        </w:rPr>
      </w:pPr>
      <w:r>
        <w:rPr>
          <w:rFonts w:ascii="Arial" w:hAnsi="Arial" w:cs="Arial"/>
          <w:sz w:val="22"/>
          <w:szCs w:val="22"/>
        </w:rPr>
        <w:t>According to the theory of Erikson, the development of identity is to be supported. The professionals may promote self-reliance, socialization, and emotional release. This might involve counselling, mentoring and establishment of safe and inclusive environments.As a professional dealing with young carers, one should be aware of the peculiarities of their situation. Stress reduction and aid in development can be achieved through the provision of emotional support, educational support, and access to specialised services.</w:t>
      </w:r>
    </w:p>
    <w:p w14:paraId="6236CD53">
      <w:pPr>
        <w:spacing w:line="360" w:lineRule="auto"/>
        <w:jc w:val="both"/>
        <w:rPr>
          <w:rFonts w:ascii="Arial" w:hAnsi="Arial" w:cs="Arial"/>
          <w:sz w:val="22"/>
          <w:szCs w:val="22"/>
        </w:rPr>
      </w:pPr>
      <w:r>
        <w:rPr>
          <w:rFonts w:ascii="Arial" w:hAnsi="Arial" w:cs="Arial"/>
          <w:sz w:val="22"/>
          <w:szCs w:val="22"/>
        </w:rPr>
        <w:t>Moreover, multidisciplinary practices are significant. Joint efforts of healthcare professionals, teachers, and social workers will help to make sure that children obtain full support. Engagement and general wellbeing can be enhanced by establishing inclusive environments where the children feel valued and respected</w:t>
      </w:r>
    </w:p>
    <w:p w14:paraId="208AF484">
      <w:pPr>
        <w:spacing w:line="360" w:lineRule="auto"/>
        <w:jc w:val="both"/>
        <w:rPr>
          <w:rFonts w:ascii="Arial" w:hAnsi="Arial" w:cs="Arial"/>
          <w:sz w:val="22"/>
          <w:szCs w:val="22"/>
        </w:rPr>
      </w:pPr>
    </w:p>
    <w:p w14:paraId="6B6FCF5A">
      <w:pPr>
        <w:pStyle w:val="2"/>
        <w:shd w:val="clear" w:color="auto" w:fill="B4C6E7" w:themeFill="accent1" w:themeFillTint="66"/>
        <w:rPr>
          <w:rFonts w:ascii="Arial" w:hAnsi="Arial" w:cs="Arial"/>
        </w:rPr>
      </w:pPr>
      <w:bookmarkStart w:id="15" w:name="_Toc225605177"/>
      <w:bookmarkStart w:id="16" w:name="_Toc225606250"/>
      <w:bookmarkStart w:id="17" w:name="_Toc225605696"/>
      <w:r>
        <w:rPr>
          <w:rFonts w:ascii="Arial" w:hAnsi="Arial" w:cs="Arial"/>
        </w:rPr>
        <w:t>Example (Case Study: Jenny)</w:t>
      </w:r>
      <w:bookmarkEnd w:id="15"/>
      <w:bookmarkEnd w:id="16"/>
      <w:bookmarkEnd w:id="17"/>
    </w:p>
    <w:p w14:paraId="3B72A69B">
      <w:pPr>
        <w:spacing w:line="360" w:lineRule="auto"/>
        <w:jc w:val="both"/>
        <w:rPr>
          <w:rFonts w:ascii="Arial" w:hAnsi="Arial" w:cs="Arial"/>
          <w:sz w:val="22"/>
          <w:szCs w:val="22"/>
        </w:rPr>
      </w:pPr>
      <w:r>
        <w:rPr>
          <w:rFonts w:ascii="Arial" w:hAnsi="Arial" w:cs="Arial"/>
          <w:sz w:val="22"/>
          <w:szCs w:val="22"/>
        </w:rPr>
        <w:t>Jenny is a young carer who is 16 years old and takes care of a family member. Because of her role, she is stressed, lacks social interaction and has emotional difficulties. Attachment-wise Jenny might not have the stable emotional support and this fact may provoke anxiety and insecurity.</w:t>
      </w:r>
    </w:p>
    <w:p w14:paraId="386E6C57">
      <w:pPr>
        <w:spacing w:line="360" w:lineRule="auto"/>
        <w:jc w:val="both"/>
        <w:rPr>
          <w:rFonts w:ascii="Arial" w:hAnsi="Arial" w:cs="Arial"/>
          <w:sz w:val="22"/>
          <w:szCs w:val="22"/>
        </w:rPr>
      </w:pPr>
      <w:r>
        <w:rPr>
          <w:rFonts w:ascii="Arial" w:hAnsi="Arial" w:cs="Arial"/>
          <w:sz w:val="22"/>
          <w:szCs w:val="22"/>
        </w:rPr>
        <w:t>In the view of Erikson, Jenny might have difficulties with identity development. She adopts adult roles instead of working on her personal development and this may result in role confusion.</w:t>
      </w:r>
    </w:p>
    <w:p w14:paraId="7F3F0BE2">
      <w:pPr>
        <w:spacing w:line="360" w:lineRule="auto"/>
        <w:jc w:val="both"/>
        <w:rPr>
          <w:rFonts w:ascii="Arial" w:hAnsi="Arial" w:cs="Arial"/>
          <w:sz w:val="22"/>
          <w:szCs w:val="22"/>
        </w:rPr>
      </w:pPr>
      <w:r>
        <w:rPr>
          <w:rFonts w:ascii="Arial" w:hAnsi="Arial" w:cs="Arial"/>
          <w:sz w:val="22"/>
          <w:szCs w:val="22"/>
        </w:rPr>
        <w:t>Medical practitioners can help Jenny by counselling and supporting her emotionally as well as connecting her to the services of young carers. Schools can also provide flexibility and other support in order to make her combine education and caregiving issues.</w:t>
      </w:r>
    </w:p>
    <w:p w14:paraId="30B7EBD7">
      <w:pPr>
        <w:spacing w:line="360" w:lineRule="auto"/>
        <w:jc w:val="both"/>
        <w:rPr>
          <w:rFonts w:ascii="Arial" w:hAnsi="Arial" w:cs="Arial"/>
          <w:sz w:val="22"/>
          <w:szCs w:val="22"/>
        </w:rPr>
      </w:pPr>
      <w:r>
        <w:rPr>
          <w:rFonts w:ascii="Arial" w:hAnsi="Arial" w:cs="Arial"/>
          <w:sz w:val="22"/>
          <w:szCs w:val="22"/>
        </w:rPr>
        <w:t>It can also be helpful to use peer support groups. Exchange of experiences with other people, who have gone through the same situations, can help them feel less lonely and enhance their psychological states. Early detection of young carers is necessary so as to avoid having long term effects which are negative.</w:t>
      </w:r>
    </w:p>
    <w:p w14:paraId="79913E4B">
      <w:pPr>
        <w:spacing w:line="360" w:lineRule="auto"/>
        <w:jc w:val="both"/>
        <w:rPr>
          <w:rFonts w:ascii="Arial" w:hAnsi="Arial" w:cs="Arial"/>
          <w:sz w:val="22"/>
          <w:szCs w:val="22"/>
        </w:rPr>
      </w:pPr>
    </w:p>
    <w:p w14:paraId="092503C7">
      <w:pPr>
        <w:pStyle w:val="2"/>
        <w:shd w:val="clear" w:color="auto" w:fill="B4C6E7" w:themeFill="accent1" w:themeFillTint="66"/>
        <w:rPr>
          <w:rFonts w:ascii="Arial" w:hAnsi="Arial" w:cs="Arial"/>
        </w:rPr>
      </w:pPr>
      <w:bookmarkStart w:id="18" w:name="_Toc225605697"/>
      <w:bookmarkStart w:id="19" w:name="_Toc225605178"/>
      <w:bookmarkStart w:id="20" w:name="_Toc225606251"/>
      <w:r>
        <w:rPr>
          <w:rFonts w:ascii="Arial" w:hAnsi="Arial" w:cs="Arial"/>
        </w:rPr>
        <w:t>Critical Evaluation</w:t>
      </w:r>
      <w:bookmarkEnd w:id="18"/>
      <w:bookmarkEnd w:id="19"/>
      <w:bookmarkEnd w:id="20"/>
    </w:p>
    <w:p w14:paraId="0A69E32B">
      <w:pPr>
        <w:spacing w:line="360" w:lineRule="auto"/>
        <w:jc w:val="both"/>
        <w:rPr>
          <w:rFonts w:ascii="Arial" w:hAnsi="Arial" w:cs="Arial"/>
          <w:sz w:val="22"/>
          <w:szCs w:val="22"/>
        </w:rPr>
      </w:pPr>
      <w:r>
        <w:rPr>
          <w:rFonts w:ascii="Arial" w:hAnsi="Arial" w:cs="Arial"/>
          <w:sz w:val="22"/>
          <w:szCs w:val="22"/>
        </w:rPr>
        <w:t>In as much as both theories are effective in the development of children and the youth, they possess their weaknesses. The Attachment Theory proposed by Bowlby is useful due to the explanations of the significance of early relationships and the role that a secure attachment serves in emotional wellbeing promotion. It can be applied in health and social care as it assists the practitioners to realise the impacts of inconsistent care giving or absence of emotional support in behaviour and development. Nevertheless, it primarily deals with the early childhood years and might not fully take into account the broader factors including culture, socioeconomic status, and the strength of an individual.</w:t>
      </w:r>
    </w:p>
    <w:p w14:paraId="0142A57B">
      <w:pPr>
        <w:spacing w:line="360" w:lineRule="auto"/>
        <w:jc w:val="both"/>
        <w:rPr>
          <w:rFonts w:ascii="Arial" w:hAnsi="Arial" w:cs="Arial"/>
          <w:sz w:val="22"/>
          <w:szCs w:val="22"/>
        </w:rPr>
      </w:pPr>
      <w:r>
        <w:rPr>
          <w:rFonts w:ascii="Arial" w:hAnsi="Arial" w:cs="Arial"/>
          <w:sz w:val="22"/>
          <w:szCs w:val="22"/>
        </w:rPr>
        <w:t>The Psychosocial Development Theory by Erikson can also be useful since it emphasizes on the role of social interaction and identity formation during the adolescence stage. It assists the professionals to learn how the young people can be challenged by the issues of low self-esteem, independence, and role confusion in harsh situations. This applies to young carers such as Jenny where they might have minimal time to discover their identity because of family issues. Nevertheless, Erikson made a general theory which can be oversimplified by the fact that it presumes that there are similar stages of development in all individuals.</w:t>
      </w:r>
    </w:p>
    <w:p w14:paraId="74D305D2">
      <w:pPr>
        <w:spacing w:line="360" w:lineRule="auto"/>
        <w:jc w:val="both"/>
        <w:rPr>
          <w:rFonts w:ascii="Arial" w:hAnsi="Arial" w:cs="Arial"/>
          <w:sz w:val="22"/>
          <w:szCs w:val="22"/>
        </w:rPr>
      </w:pPr>
      <w:r>
        <w:rPr>
          <w:rFonts w:ascii="Arial" w:hAnsi="Arial" w:cs="Arial"/>
          <w:sz w:val="22"/>
          <w:szCs w:val="22"/>
        </w:rPr>
        <w:t>On the whole, the two theories offer a good framework, but none gives a clear picture of the dynamics of actual life experiences. Thus, health and social care professionals are to consider them as a guideline and supplement them with person-centred and evidence-based approaches.</w:t>
      </w:r>
    </w:p>
    <w:p w14:paraId="5E933496">
      <w:pPr>
        <w:spacing w:line="360" w:lineRule="auto"/>
        <w:jc w:val="both"/>
        <w:rPr>
          <w:rFonts w:ascii="Arial" w:hAnsi="Arial" w:cs="Arial"/>
          <w:sz w:val="22"/>
          <w:szCs w:val="22"/>
        </w:rPr>
      </w:pPr>
    </w:p>
    <w:p w14:paraId="72BA8B64">
      <w:pPr>
        <w:pStyle w:val="2"/>
        <w:shd w:val="clear" w:color="auto" w:fill="B4C6E7" w:themeFill="accent1" w:themeFillTint="66"/>
        <w:rPr>
          <w:rFonts w:ascii="Arial" w:hAnsi="Arial" w:cs="Arial"/>
        </w:rPr>
      </w:pPr>
      <w:bookmarkStart w:id="21" w:name="_Toc225605698"/>
      <w:bookmarkStart w:id="22" w:name="_Toc225606252"/>
      <w:bookmarkStart w:id="23" w:name="_Toc225605179"/>
      <w:r>
        <w:rPr>
          <w:rFonts w:ascii="Arial" w:hAnsi="Arial" w:cs="Arial"/>
        </w:rPr>
        <w:t>Conclusion</w:t>
      </w:r>
      <w:bookmarkEnd w:id="21"/>
      <w:bookmarkEnd w:id="22"/>
      <w:bookmarkEnd w:id="23"/>
    </w:p>
    <w:p w14:paraId="1A8287EB">
      <w:pPr>
        <w:spacing w:line="360" w:lineRule="auto"/>
        <w:jc w:val="both"/>
        <w:rPr>
          <w:rFonts w:ascii="Arial" w:hAnsi="Arial" w:cs="Arial"/>
          <w:sz w:val="22"/>
          <w:szCs w:val="22"/>
        </w:rPr>
      </w:pPr>
      <w:r>
        <w:rPr>
          <w:rFonts w:ascii="Arial" w:hAnsi="Arial" w:cs="Arial"/>
          <w:sz w:val="22"/>
          <w:szCs w:val="22"/>
        </w:rPr>
        <w:t>To sum it up, the theories of developmental psychology play a significant role in making health and social care practitioners comprehend the needs of a child and a young person. Nature and nurture both have impacts on development and the interaction of the two determines the emotional, social and cognitive outcomes. This means that the professionals should be able to deal with the experiences and the biological factors in their support.</w:t>
      </w:r>
    </w:p>
    <w:p w14:paraId="1CA50A88">
      <w:pPr>
        <w:spacing w:line="360" w:lineRule="auto"/>
        <w:jc w:val="both"/>
        <w:rPr>
          <w:rFonts w:ascii="Arial" w:hAnsi="Arial" w:cs="Arial"/>
          <w:sz w:val="22"/>
          <w:szCs w:val="22"/>
        </w:rPr>
      </w:pPr>
      <w:r>
        <w:rPr>
          <w:rFonts w:ascii="Arial" w:hAnsi="Arial" w:cs="Arial"/>
          <w:sz w:val="22"/>
          <w:szCs w:val="22"/>
        </w:rPr>
        <w:t>Attachment Theory developed by Bowlby demonstrates the relevance of healthy attachment relations and in the Theory of Psychosocial Development, Erikson explains how identity is formed and how experience of social life is undergone during the adolescent stage. These theories, when combined, can be used to explain the issues of the young carers like Jenny like emotional stress, insecurity, and role confusion.</w:t>
      </w:r>
    </w:p>
    <w:p w14:paraId="2AABF314">
      <w:pPr>
        <w:spacing w:line="360" w:lineRule="auto"/>
        <w:jc w:val="both"/>
        <w:rPr>
          <w:rFonts w:ascii="Arial" w:hAnsi="Arial" w:cs="Arial"/>
          <w:sz w:val="22"/>
          <w:szCs w:val="22"/>
        </w:rPr>
      </w:pPr>
      <w:r>
        <w:rPr>
          <w:rFonts w:ascii="Arial" w:hAnsi="Arial" w:cs="Arial"/>
          <w:sz w:val="22"/>
          <w:szCs w:val="22"/>
        </w:rPr>
        <w:t>It is possible to put this theories into practice through which health and social care professionals can offer more effective support, enhance wellbeing, and achieve positive long-term outcomes in children and young people.</w:t>
      </w:r>
    </w:p>
    <w:p w14:paraId="0036F765">
      <w:pPr>
        <w:spacing w:line="360" w:lineRule="auto"/>
        <w:jc w:val="both"/>
        <w:rPr>
          <w:rFonts w:ascii="Arial" w:hAnsi="Arial" w:cs="Arial"/>
          <w:sz w:val="22"/>
          <w:szCs w:val="22"/>
        </w:rPr>
      </w:pPr>
    </w:p>
    <w:p w14:paraId="3D1BBA08">
      <w:pPr>
        <w:spacing w:line="360" w:lineRule="auto"/>
        <w:jc w:val="both"/>
        <w:rPr>
          <w:rFonts w:ascii="Arial" w:hAnsi="Arial" w:cs="Arial"/>
          <w:sz w:val="22"/>
          <w:szCs w:val="22"/>
        </w:rPr>
      </w:pPr>
    </w:p>
    <w:p w14:paraId="3EA6BE94">
      <w:pPr>
        <w:pStyle w:val="2"/>
        <w:shd w:val="clear" w:color="auto" w:fill="B4C6E7" w:themeFill="accent1" w:themeFillTint="66"/>
        <w:rPr>
          <w:rFonts w:ascii="Arial" w:hAnsi="Arial" w:cs="Arial"/>
        </w:rPr>
      </w:pPr>
      <w:bookmarkStart w:id="24" w:name="_Toc225605180"/>
      <w:bookmarkStart w:id="25" w:name="_Toc225605699"/>
      <w:bookmarkStart w:id="26" w:name="_Toc225606253"/>
      <w:r>
        <w:rPr>
          <w:rFonts w:ascii="Arial" w:hAnsi="Arial" w:cs="Arial"/>
        </w:rPr>
        <w:t>REFERENCE</w:t>
      </w:r>
      <w:bookmarkEnd w:id="24"/>
      <w:bookmarkEnd w:id="25"/>
      <w:bookmarkEnd w:id="26"/>
      <w:r>
        <w:rPr>
          <w:rFonts w:ascii="Arial" w:hAnsi="Arial" w:cs="Arial"/>
        </w:rPr>
        <w:t xml:space="preserve"> </w:t>
      </w:r>
    </w:p>
    <w:p w14:paraId="1DE9F661">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Ainsworth, M.D.S., Blehar, M.C., Waters, E. and Wall, S. (1978) </w:t>
      </w:r>
      <w:r>
        <w:rPr>
          <w:rFonts w:ascii="Arial" w:hAnsi="Arial" w:cs="Arial"/>
          <w:i/>
          <w:iCs/>
          <w:sz w:val="22"/>
          <w:szCs w:val="22"/>
        </w:rPr>
        <w:t>Patterns of Attachment: A Psychological Study of the Strange Situation</w:t>
      </w:r>
      <w:r>
        <w:rPr>
          <w:rFonts w:ascii="Arial" w:hAnsi="Arial" w:cs="Arial"/>
          <w:sz w:val="22"/>
          <w:szCs w:val="22"/>
        </w:rPr>
        <w:t>. Hillsdale, NJ: Erlbaum.</w:t>
      </w:r>
    </w:p>
    <w:p w14:paraId="339DAD13">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Becker, S. (2007) ‘Global perspectives on children’s unpaid caregiving in the family’, </w:t>
      </w:r>
      <w:r>
        <w:rPr>
          <w:rFonts w:ascii="Arial" w:hAnsi="Arial" w:cs="Arial"/>
          <w:i/>
          <w:iCs/>
          <w:sz w:val="22"/>
          <w:szCs w:val="22"/>
        </w:rPr>
        <w:t>Global Social Policy</w:t>
      </w:r>
      <w:r>
        <w:rPr>
          <w:rFonts w:ascii="Arial" w:hAnsi="Arial" w:cs="Arial"/>
          <w:sz w:val="22"/>
          <w:szCs w:val="22"/>
        </w:rPr>
        <w:t>, 7(1), pp. 23–50.</w:t>
      </w:r>
    </w:p>
    <w:p w14:paraId="43057078">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Bowlby, J. (1969) </w:t>
      </w:r>
      <w:r>
        <w:rPr>
          <w:rFonts w:ascii="Arial" w:hAnsi="Arial" w:cs="Arial"/>
          <w:i/>
          <w:iCs/>
          <w:sz w:val="22"/>
          <w:szCs w:val="22"/>
        </w:rPr>
        <w:t>Attachment and Loss: Volume 1: Attachment</w:t>
      </w:r>
      <w:r>
        <w:rPr>
          <w:rFonts w:ascii="Arial" w:hAnsi="Arial" w:cs="Arial"/>
          <w:sz w:val="22"/>
          <w:szCs w:val="22"/>
        </w:rPr>
        <w:t>. London: Hogarth Press.</w:t>
      </w:r>
    </w:p>
    <w:p w14:paraId="42B878C5">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Dearden, C. and Becker, S. (2004) ‘Young carers in the UK’, </w:t>
      </w:r>
      <w:r>
        <w:rPr>
          <w:rFonts w:ascii="Arial" w:hAnsi="Arial" w:cs="Arial"/>
          <w:i/>
          <w:iCs/>
          <w:sz w:val="22"/>
          <w:szCs w:val="22"/>
        </w:rPr>
        <w:t>Journal of Social Welfare and Family Law</w:t>
      </w:r>
      <w:r>
        <w:rPr>
          <w:rFonts w:ascii="Arial" w:hAnsi="Arial" w:cs="Arial"/>
          <w:sz w:val="22"/>
          <w:szCs w:val="22"/>
        </w:rPr>
        <w:t>, 26(4), pp. 395–412.</w:t>
      </w:r>
    </w:p>
    <w:p w14:paraId="39FDFADA">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Erikson, E.H. (1968) </w:t>
      </w:r>
      <w:r>
        <w:rPr>
          <w:rFonts w:ascii="Arial" w:hAnsi="Arial" w:cs="Arial"/>
          <w:i/>
          <w:iCs/>
          <w:sz w:val="22"/>
          <w:szCs w:val="22"/>
        </w:rPr>
        <w:t>Identity: Youth and Crisis</w:t>
      </w:r>
      <w:r>
        <w:rPr>
          <w:rFonts w:ascii="Arial" w:hAnsi="Arial" w:cs="Arial"/>
          <w:sz w:val="22"/>
          <w:szCs w:val="22"/>
        </w:rPr>
        <w:t>. New York: Norton.</w:t>
      </w:r>
    </w:p>
    <w:p w14:paraId="5F8D5C81">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Howe, D. (2011) </w:t>
      </w:r>
      <w:r>
        <w:rPr>
          <w:rFonts w:ascii="Arial" w:hAnsi="Arial" w:cs="Arial"/>
          <w:i/>
          <w:iCs/>
          <w:sz w:val="22"/>
          <w:szCs w:val="22"/>
        </w:rPr>
        <w:t>Attachment Across the Lifecourse: A Brief Introduction</w:t>
      </w:r>
      <w:r>
        <w:rPr>
          <w:rFonts w:ascii="Arial" w:hAnsi="Arial" w:cs="Arial"/>
          <w:sz w:val="22"/>
          <w:szCs w:val="22"/>
        </w:rPr>
        <w:t>. Basingstoke: Palgrave Macmillan.</w:t>
      </w:r>
    </w:p>
    <w:p w14:paraId="4D229C80">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Montgomery, P., Haughey, H. and Williamson, P. (2022) ‘Interventions for improving outcomes for young carers’, </w:t>
      </w:r>
      <w:r>
        <w:rPr>
          <w:rFonts w:ascii="Arial" w:hAnsi="Arial" w:cs="Arial"/>
          <w:i/>
          <w:iCs/>
          <w:sz w:val="22"/>
          <w:szCs w:val="22"/>
        </w:rPr>
        <w:t>Journal of Adolescent Health</w:t>
      </w:r>
      <w:r>
        <w:rPr>
          <w:rFonts w:ascii="Arial" w:hAnsi="Arial" w:cs="Arial"/>
          <w:sz w:val="22"/>
          <w:szCs w:val="22"/>
        </w:rPr>
        <w:t>, 70(2), pp. 189–197.</w:t>
      </w:r>
    </w:p>
    <w:p w14:paraId="43DAB9F5">
      <w:pPr>
        <w:pStyle w:val="33"/>
        <w:numPr>
          <w:ilvl w:val="0"/>
          <w:numId w:val="1"/>
        </w:numPr>
        <w:spacing w:line="360" w:lineRule="auto"/>
        <w:jc w:val="both"/>
        <w:rPr>
          <w:rFonts w:ascii="Arial" w:hAnsi="Arial" w:cs="Arial"/>
          <w:sz w:val="22"/>
          <w:szCs w:val="22"/>
        </w:rPr>
      </w:pPr>
      <w:r>
        <w:rPr>
          <w:rFonts w:ascii="Arial" w:hAnsi="Arial" w:cs="Arial"/>
          <w:sz w:val="22"/>
          <w:szCs w:val="22"/>
        </w:rPr>
        <w:t xml:space="preserve">Smith, J. (2020) ‘Child development in care settings’, </w:t>
      </w:r>
      <w:r>
        <w:rPr>
          <w:rFonts w:ascii="Arial" w:hAnsi="Arial" w:cs="Arial"/>
          <w:i/>
          <w:iCs/>
          <w:sz w:val="22"/>
          <w:szCs w:val="22"/>
        </w:rPr>
        <w:t>Child Psychology Review</w:t>
      </w:r>
      <w:r>
        <w:rPr>
          <w:rFonts w:ascii="Arial" w:hAnsi="Arial" w:cs="Arial"/>
          <w:sz w:val="22"/>
          <w:szCs w:val="22"/>
        </w:rPr>
        <w:t>, 15(2), pp. 45–60.</w:t>
      </w:r>
    </w:p>
    <w:p w14:paraId="4E65EAD5">
      <w:pPr>
        <w:spacing w:line="360" w:lineRule="auto"/>
        <w:jc w:val="both"/>
        <w:rPr>
          <w:rFonts w:ascii="Arial" w:hAnsi="Arial" w:cs="Arial"/>
          <w:sz w:val="22"/>
          <w:szCs w:val="22"/>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2628434"/>
      <w:docPartObj>
        <w:docPartGallery w:val="AutoText"/>
      </w:docPartObj>
    </w:sdtPr>
    <w:sdtContent>
      <w:p w14:paraId="51B0CD12">
        <w:pPr>
          <w:pStyle w:val="13"/>
        </w:pPr>
        <w:r>
          <w:fldChar w:fldCharType="begin"/>
        </w:r>
        <w:r>
          <w:instrText xml:space="preserve"> PAGE   \* MERGEFORMAT </w:instrText>
        </w:r>
        <w:r>
          <w:fldChar w:fldCharType="separate"/>
        </w:r>
        <w:r>
          <w:t>2</w:t>
        </w:r>
        <w:r>
          <w:fldChar w:fldCharType="end"/>
        </w:r>
      </w:p>
    </w:sdtContent>
  </w:sdt>
  <w:p w14:paraId="7692FE81">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CC787A"/>
    <w:multiLevelType w:val="multilevel"/>
    <w:tmpl w:val="2ECC787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2D8"/>
    <w:rsid w:val="000E1ADA"/>
    <w:rsid w:val="002155B4"/>
    <w:rsid w:val="0033172F"/>
    <w:rsid w:val="005026BF"/>
    <w:rsid w:val="00682A87"/>
    <w:rsid w:val="00797AFB"/>
    <w:rsid w:val="00971183"/>
    <w:rsid w:val="00B62309"/>
    <w:rsid w:val="00B8630B"/>
    <w:rsid w:val="00BD2C05"/>
    <w:rsid w:val="00BF5B92"/>
    <w:rsid w:val="00E90EA7"/>
    <w:rsid w:val="00EE02D8"/>
    <w:rsid w:val="7F6B1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2"/>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0"/>
    <w:unhideWhenUsed/>
    <w:qFormat/>
    <w:uiPriority w:val="99"/>
    <w:pPr>
      <w:tabs>
        <w:tab w:val="center" w:pos="4680"/>
        <w:tab w:val="right" w:pos="9360"/>
      </w:tabs>
      <w:spacing w:after="0" w:line="240" w:lineRule="auto"/>
    </w:pPr>
  </w:style>
  <w:style w:type="paragraph" w:styleId="14">
    <w:name w:val="header"/>
    <w:basedOn w:val="1"/>
    <w:link w:val="39"/>
    <w:unhideWhenUsed/>
    <w:qFormat/>
    <w:uiPriority w:val="99"/>
    <w:pPr>
      <w:tabs>
        <w:tab w:val="center" w:pos="4680"/>
        <w:tab w:val="right" w:pos="9360"/>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Normal (Web)"/>
    <w:basedOn w:val="1"/>
    <w:semiHidden/>
    <w:unhideWhenUsed/>
    <w:qFormat/>
    <w:uiPriority w:val="99"/>
    <w:rPr>
      <w:rFonts w:ascii="Times New Roman" w:hAnsi="Times New Roman" w:cs="Times New Roman"/>
    </w:rPr>
  </w:style>
  <w:style w:type="paragraph" w:styleId="17">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9">
    <w:name w:val="toc 1"/>
    <w:basedOn w:val="1"/>
    <w:next w:val="1"/>
    <w:autoRedefine/>
    <w:unhideWhenUsed/>
    <w:uiPriority w:val="39"/>
    <w:pPr>
      <w:shd w:val="clear" w:color="auto" w:fill="FFFFFF" w:themeFill="background1"/>
      <w:tabs>
        <w:tab w:val="right" w:leader="dot" w:pos="9350"/>
      </w:tabs>
      <w:spacing w:after="100"/>
    </w:pPr>
    <w:rPr>
      <w:rFonts w:ascii="Arial" w:hAnsi="Arial" w:cs="Arial"/>
      <w:shd w:val="clear" w:color="auto" w:fill="B4C6E7" w:themeFill="accent1" w:themeFillTint="66"/>
    </w:rPr>
  </w:style>
  <w:style w:type="character" w:customStyle="1" w:styleId="20">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1">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2">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3">
    <w:name w:val="Heading 4 Char"/>
    <w:basedOn w:val="11"/>
    <w:link w:val="5"/>
    <w:semiHidden/>
    <w:qFormat/>
    <w:uiPriority w:val="9"/>
    <w:rPr>
      <w:rFonts w:eastAsiaTheme="majorEastAsia" w:cstheme="majorBidi"/>
      <w:i/>
      <w:iCs/>
      <w:color w:val="2F5597" w:themeColor="accent1" w:themeShade="BF"/>
    </w:rPr>
  </w:style>
  <w:style w:type="character" w:customStyle="1" w:styleId="24">
    <w:name w:val="Heading 5 Char"/>
    <w:basedOn w:val="11"/>
    <w:link w:val="6"/>
    <w:semiHidden/>
    <w:qFormat/>
    <w:uiPriority w:val="9"/>
    <w:rPr>
      <w:rFonts w:eastAsiaTheme="majorEastAsia" w:cstheme="majorBidi"/>
      <w:color w:val="2F5597" w:themeColor="accent1" w:themeShade="BF"/>
    </w:rPr>
  </w:style>
  <w:style w:type="character" w:customStyle="1" w:styleId="25">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Intense Quote Char"/>
    <w:basedOn w:val="11"/>
    <w:link w:val="35"/>
    <w:uiPriority w:val="30"/>
    <w:rPr>
      <w:i/>
      <w:iCs/>
      <w:color w:val="2F5597" w:themeColor="accent1" w:themeShade="BF"/>
    </w:rPr>
  </w:style>
  <w:style w:type="character" w:customStyle="1" w:styleId="37">
    <w:name w:val="Intense Reference"/>
    <w:basedOn w:val="11"/>
    <w:qFormat/>
    <w:uiPriority w:val="32"/>
    <w:rPr>
      <w:b/>
      <w:bCs/>
      <w:smallCaps/>
      <w:color w:val="2F5597" w:themeColor="accent1" w:themeShade="BF"/>
      <w:spacing w:val="5"/>
    </w:rPr>
  </w:style>
  <w:style w:type="paragraph" w:customStyle="1" w:styleId="38">
    <w:name w:val="TOC Heading"/>
    <w:basedOn w:val="2"/>
    <w:next w:val="1"/>
    <w:unhideWhenUsed/>
    <w:qFormat/>
    <w:uiPriority w:val="39"/>
    <w:pPr>
      <w:spacing w:before="240" w:after="0" w:line="259" w:lineRule="auto"/>
      <w:outlineLvl w:val="9"/>
    </w:pPr>
    <w:rPr>
      <w:kern w:val="0"/>
      <w:sz w:val="32"/>
      <w:szCs w:val="32"/>
      <w14:ligatures w14:val="none"/>
    </w:rPr>
  </w:style>
  <w:style w:type="character" w:customStyle="1" w:styleId="39">
    <w:name w:val="Header Char"/>
    <w:basedOn w:val="11"/>
    <w:link w:val="14"/>
    <w:qFormat/>
    <w:uiPriority w:val="99"/>
  </w:style>
  <w:style w:type="character" w:customStyle="1" w:styleId="40">
    <w:name w:val="Footer Char"/>
    <w:basedOn w:val="11"/>
    <w:link w:val="13"/>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1076-609A-4526-BCA0-FECAE471F4EA}">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1692</Words>
  <Characters>9545</Characters>
  <DocSecurity>0</DocSecurity>
  <Lines>90</Lines>
  <Paragraphs>25</Paragraphs>
  <ScaleCrop>false</ScaleCrop>
  <LinksUpToDate>false</LinksUpToDate>
  <CharactersWithSpaces>11312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2026-03-28T08:23:00Z</dcterms:created>
  <dcterms:modified xsi:type="dcterms:W3CDTF">2026-04-16T15:41:59Z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eyJoZGlkIjoiZTQ4ODQwNThiYTg4YTBlNDhkZDRmNGNiNWM5NWE1YzAiLCJ1c2VySWQiOiIzODY1OTQxMTI3Njk3In0=</vt:lpwstr>
  </property>
  <property fmtid="{D5CDD505-2E9C-101B-9397-08002B2CF9AE}" pid="3" name="KSOProductBuildVer">
    <vt:lpwstr>1033-12.1.0.25242</vt:lpwstr>
  </property>
  <property fmtid="{D5CDD505-2E9C-101B-9397-08002B2CF9AE}" pid="4" name="ICV">
    <vt:lpwstr>B8A15C7178E0475CAABF5A4BC9AAA2C1_12</vt:lpwstr>
  </property>
</Properties>
</file>