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759861699"/>
    <w:bookmarkEnd w:id="0"/>
    <w:p w14:paraId="755B8E4B" w14:textId="4A026921" w:rsidR="00072FB7" w:rsidRDefault="00D7607A" w:rsidP="00072FB7">
      <w:pPr>
        <w:pStyle w:val="Title"/>
        <w:jc w:val="center"/>
        <w:rPr>
          <w:rFonts w:asciiTheme="minorHAnsi" w:hAnsiTheme="minorHAnsi" w:cstheme="minorHAnsi"/>
          <w:sz w:val="32"/>
          <w:szCs w:val="32"/>
        </w:rPr>
      </w:pPr>
      <w:r>
        <w:rPr>
          <w:rFonts w:asciiTheme="minorHAnsi" w:hAnsiTheme="minorHAnsi" w:cstheme="minorHAnsi"/>
          <w:sz w:val="32"/>
          <w:szCs w:val="32"/>
        </w:rPr>
        <w:object w:dxaOrig="8872" w:dyaOrig="14104" w14:anchorId="5987F9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25pt;height:705pt" o:ole="">
            <v:imagedata r:id="rId7" o:title=""/>
          </v:shape>
          <o:OLEObject Type="Embed" ProgID="Word.Document.8" ShapeID="_x0000_i1025" DrawAspect="Content" ObjectID="_1760520031" r:id="rId8">
            <o:FieldCodes>\s</o:FieldCodes>
          </o:OLEObject>
        </w:object>
      </w:r>
    </w:p>
    <w:tbl>
      <w:tblPr>
        <w:tblW w:w="0" w:type="auto"/>
        <w:tblLayout w:type="fixed"/>
        <w:tblLook w:val="0000" w:firstRow="0" w:lastRow="0" w:firstColumn="0" w:lastColumn="0" w:noHBand="0" w:noVBand="0"/>
      </w:tblPr>
      <w:tblGrid>
        <w:gridCol w:w="5211"/>
        <w:gridCol w:w="1557"/>
        <w:gridCol w:w="2088"/>
      </w:tblGrid>
      <w:tr w:rsidR="007A435D" w14:paraId="37760EF7" w14:textId="77777777" w:rsidTr="004968C2">
        <w:trPr>
          <w:trHeight w:val="3972"/>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4C72B31B" w14:textId="77777777" w:rsidR="007A435D" w:rsidRDefault="007A435D" w:rsidP="004968C2">
            <w:pPr>
              <w:pStyle w:val="NormalWeb"/>
              <w:spacing w:before="0" w:after="0"/>
              <w:rPr>
                <w:rFonts w:ascii="Arial" w:hAnsi="Arial" w:cs="Arial"/>
                <w:b/>
                <w:sz w:val="22"/>
                <w:szCs w:val="22"/>
              </w:rPr>
            </w:pPr>
          </w:p>
          <w:p w14:paraId="79C19CC5" w14:textId="4BA9CEE3" w:rsidR="007A435D" w:rsidRDefault="007A435D" w:rsidP="004968C2">
            <w:pPr>
              <w:pStyle w:val="NormalWeb"/>
              <w:spacing w:before="0" w:after="0"/>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13A831FF" w14:textId="77777777" w:rsidR="007A435D" w:rsidRDefault="007A435D" w:rsidP="004968C2">
            <w:pPr>
              <w:pStyle w:val="NormalWeb"/>
            </w:pPr>
            <w:r>
              <w:rPr>
                <w:rFonts w:ascii="Arial" w:hAnsi="Arial" w:cs="Arial"/>
                <w:sz w:val="22"/>
                <w:szCs w:val="22"/>
              </w:rPr>
              <w:t>Comments:</w:t>
            </w:r>
          </w:p>
          <w:p w14:paraId="3692C400" w14:textId="77777777" w:rsidR="007A435D" w:rsidRDefault="007A435D" w:rsidP="004968C2">
            <w:pPr>
              <w:pStyle w:val="NormalWeb"/>
              <w:spacing w:after="0"/>
              <w:rPr>
                <w:rFonts w:ascii="Arial" w:hAnsi="Arial" w:cs="Arial"/>
                <w:sz w:val="22"/>
                <w:szCs w:val="22"/>
              </w:rPr>
            </w:pPr>
          </w:p>
        </w:tc>
      </w:tr>
      <w:tr w:rsidR="007A435D" w14:paraId="53F92BD7" w14:textId="77777777" w:rsidTr="004968C2">
        <w:trPr>
          <w:trHeight w:val="49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Pr>
          <w:p w14:paraId="4728E0D6" w14:textId="77777777" w:rsidR="007A435D" w:rsidRDefault="007A435D" w:rsidP="004968C2">
            <w:pPr>
              <w:pStyle w:val="NormalWeb"/>
              <w:spacing w:after="0"/>
              <w:ind w:left="142" w:right="34"/>
            </w:pPr>
            <w:r>
              <w:rPr>
                <w:rFonts w:ascii="Arial" w:hAnsi="Arial" w:cs="Arial"/>
                <w:sz w:val="22"/>
                <w:szCs w:val="22"/>
              </w:rPr>
              <w:t>Marker’s signature:</w:t>
            </w:r>
          </w:p>
        </w:tc>
        <w:tc>
          <w:tcPr>
            <w:tcW w:w="2088" w:type="dxa"/>
            <w:tcBorders>
              <w:top w:val="single" w:sz="4" w:space="0" w:color="000000"/>
              <w:left w:val="single" w:sz="4" w:space="0" w:color="000000"/>
              <w:bottom w:val="single" w:sz="4" w:space="0" w:color="000000"/>
              <w:right w:val="single" w:sz="4" w:space="0" w:color="000000"/>
            </w:tcBorders>
            <w:shd w:val="clear" w:color="auto" w:fill="auto"/>
          </w:tcPr>
          <w:p w14:paraId="06465A0C" w14:textId="77777777" w:rsidR="007A435D" w:rsidRDefault="007A435D" w:rsidP="004968C2">
            <w:pPr>
              <w:pStyle w:val="NormalWeb"/>
              <w:spacing w:after="0"/>
              <w:ind w:left="142" w:right="34"/>
            </w:pPr>
            <w:r>
              <w:rPr>
                <w:rFonts w:ascii="Arial" w:hAnsi="Arial" w:cs="Arial"/>
                <w:sz w:val="22"/>
                <w:szCs w:val="22"/>
              </w:rPr>
              <w:t>Date:</w:t>
            </w:r>
          </w:p>
        </w:tc>
      </w:tr>
      <w:tr w:rsidR="007A435D" w14:paraId="2D4D0844" w14:textId="77777777" w:rsidTr="004968C2">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1913BAC3" w14:textId="77777777" w:rsidR="007A435D" w:rsidRDefault="007A435D" w:rsidP="004968C2">
            <w:pPr>
              <w:pStyle w:val="NormalWeb"/>
              <w:snapToGrid w:val="0"/>
              <w:spacing w:before="0" w:after="0"/>
              <w:ind w:right="-334"/>
              <w:rPr>
                <w:rFonts w:ascii="Arial" w:hAnsi="Arial" w:cs="Arial"/>
                <w:bCs/>
                <w:i/>
                <w:sz w:val="22"/>
                <w:szCs w:val="22"/>
              </w:rPr>
            </w:pPr>
          </w:p>
          <w:p w14:paraId="24F094A5" w14:textId="77777777" w:rsidR="007A435D" w:rsidRDefault="007A435D" w:rsidP="004968C2">
            <w:pPr>
              <w:pStyle w:val="NormalWeb"/>
              <w:spacing w:before="0" w:after="0"/>
              <w:ind w:right="-334"/>
            </w:pPr>
            <w:r>
              <w:rPr>
                <w:rFonts w:ascii="Arial" w:hAnsi="Arial" w:cs="Arial"/>
                <w:b/>
                <w:bCs/>
                <w:sz w:val="22"/>
                <w:szCs w:val="22"/>
              </w:rPr>
              <w:t>For completion by Marker 2/Moderator:</w:t>
            </w:r>
          </w:p>
          <w:p w14:paraId="3C83548F" w14:textId="77777777" w:rsidR="007A435D" w:rsidRDefault="007A435D" w:rsidP="004968C2">
            <w:pPr>
              <w:pStyle w:val="NormalWeb"/>
              <w:spacing w:before="0" w:after="0"/>
              <w:ind w:right="-334"/>
              <w:rPr>
                <w:rFonts w:ascii="Arial" w:hAnsi="Arial" w:cs="Arial"/>
                <w:b/>
                <w:bCs/>
                <w:sz w:val="22"/>
                <w:szCs w:val="22"/>
              </w:rPr>
            </w:pPr>
          </w:p>
          <w:p w14:paraId="154FCAE4" w14:textId="77777777" w:rsidR="007A435D" w:rsidRDefault="007A435D" w:rsidP="004968C2">
            <w:pPr>
              <w:pStyle w:val="NormalWeb"/>
              <w:spacing w:before="0" w:after="0"/>
              <w:ind w:right="-334"/>
            </w:pPr>
            <w:r>
              <w:rPr>
                <w:rFonts w:ascii="Arial" w:hAnsi="Arial" w:cs="Arial"/>
                <w:bCs/>
                <w:sz w:val="22"/>
                <w:szCs w:val="22"/>
              </w:rPr>
              <w:t>Comments:</w:t>
            </w:r>
          </w:p>
          <w:p w14:paraId="3127579C" w14:textId="77777777" w:rsidR="007A435D" w:rsidRDefault="007A435D" w:rsidP="004968C2">
            <w:pPr>
              <w:pStyle w:val="NormalWeb"/>
              <w:spacing w:before="0" w:after="0"/>
              <w:ind w:right="-334"/>
              <w:rPr>
                <w:rFonts w:ascii="Arial" w:hAnsi="Arial" w:cs="Arial"/>
                <w:bCs/>
                <w:sz w:val="22"/>
                <w:szCs w:val="22"/>
              </w:rPr>
            </w:pPr>
          </w:p>
          <w:p w14:paraId="4D58B9C9" w14:textId="77777777" w:rsidR="007A435D" w:rsidRDefault="007A435D" w:rsidP="004968C2">
            <w:pPr>
              <w:pStyle w:val="NormalWeb"/>
              <w:spacing w:before="0" w:after="0"/>
              <w:ind w:right="-334"/>
              <w:rPr>
                <w:rFonts w:ascii="Arial" w:hAnsi="Arial" w:cs="Arial"/>
                <w:bCs/>
                <w:sz w:val="22"/>
                <w:szCs w:val="22"/>
              </w:rPr>
            </w:pPr>
          </w:p>
          <w:p w14:paraId="5FDC441C" w14:textId="77777777" w:rsidR="007A435D" w:rsidRDefault="007A435D" w:rsidP="004968C2">
            <w:pPr>
              <w:pStyle w:val="NormalWeb"/>
              <w:spacing w:before="0" w:after="0"/>
              <w:ind w:right="-334"/>
              <w:rPr>
                <w:rFonts w:ascii="Arial" w:hAnsi="Arial" w:cs="Arial"/>
                <w:bCs/>
                <w:sz w:val="22"/>
                <w:szCs w:val="22"/>
              </w:rPr>
            </w:pPr>
          </w:p>
          <w:p w14:paraId="202DDC30" w14:textId="77777777" w:rsidR="007A435D" w:rsidRDefault="007A435D" w:rsidP="004968C2">
            <w:pPr>
              <w:pStyle w:val="NormalWeb"/>
              <w:spacing w:before="0" w:after="0"/>
              <w:ind w:right="-334"/>
              <w:rPr>
                <w:rFonts w:ascii="Arial" w:hAnsi="Arial" w:cs="Arial"/>
                <w:bCs/>
                <w:sz w:val="22"/>
                <w:szCs w:val="22"/>
              </w:rPr>
            </w:pPr>
          </w:p>
          <w:p w14:paraId="1A64D423" w14:textId="77777777" w:rsidR="007A435D" w:rsidRDefault="007A435D" w:rsidP="004968C2">
            <w:pPr>
              <w:pStyle w:val="NormalWeb"/>
              <w:spacing w:before="0" w:after="0"/>
              <w:ind w:right="-334"/>
              <w:rPr>
                <w:rFonts w:ascii="Arial" w:hAnsi="Arial" w:cs="Arial"/>
                <w:bCs/>
                <w:sz w:val="22"/>
                <w:szCs w:val="22"/>
              </w:rPr>
            </w:pPr>
          </w:p>
          <w:p w14:paraId="292B0D1F" w14:textId="77777777" w:rsidR="007A435D" w:rsidRDefault="007A435D" w:rsidP="004968C2">
            <w:pPr>
              <w:pStyle w:val="NormalWeb"/>
              <w:spacing w:before="0" w:after="0"/>
              <w:ind w:right="-334"/>
              <w:rPr>
                <w:rFonts w:ascii="Arial" w:hAnsi="Arial" w:cs="Arial"/>
                <w:bCs/>
                <w:sz w:val="22"/>
                <w:szCs w:val="22"/>
              </w:rPr>
            </w:pPr>
          </w:p>
          <w:p w14:paraId="73A31FE5" w14:textId="77777777" w:rsidR="007A435D" w:rsidRDefault="007A435D" w:rsidP="004968C2">
            <w:pPr>
              <w:pStyle w:val="NormalWeb"/>
              <w:spacing w:before="0" w:after="0"/>
              <w:ind w:right="-334"/>
              <w:rPr>
                <w:rFonts w:ascii="Arial" w:hAnsi="Arial" w:cs="Arial"/>
                <w:bCs/>
                <w:sz w:val="22"/>
                <w:szCs w:val="22"/>
              </w:rPr>
            </w:pPr>
          </w:p>
          <w:p w14:paraId="540B98E3" w14:textId="77777777" w:rsidR="007A435D" w:rsidRDefault="007A435D" w:rsidP="004968C2">
            <w:pPr>
              <w:pStyle w:val="NormalWeb"/>
              <w:spacing w:before="0" w:after="0"/>
              <w:ind w:right="-334"/>
              <w:rPr>
                <w:rFonts w:ascii="Arial" w:hAnsi="Arial" w:cs="Arial"/>
                <w:bCs/>
                <w:sz w:val="22"/>
                <w:szCs w:val="22"/>
              </w:rPr>
            </w:pPr>
          </w:p>
          <w:p w14:paraId="5BF530AD" w14:textId="77777777" w:rsidR="007A435D" w:rsidRDefault="007A435D" w:rsidP="004968C2">
            <w:pPr>
              <w:pStyle w:val="NormalWeb"/>
              <w:spacing w:before="0" w:after="0"/>
              <w:ind w:right="-334"/>
              <w:rPr>
                <w:rFonts w:ascii="Arial" w:hAnsi="Arial" w:cs="Arial"/>
                <w:bCs/>
                <w:sz w:val="22"/>
                <w:szCs w:val="22"/>
              </w:rPr>
            </w:pPr>
          </w:p>
          <w:p w14:paraId="6859527C" w14:textId="77777777" w:rsidR="007A435D" w:rsidRDefault="007A435D" w:rsidP="004968C2">
            <w:pPr>
              <w:pStyle w:val="NormalWeb"/>
              <w:spacing w:before="0" w:after="0"/>
              <w:ind w:right="-334"/>
              <w:rPr>
                <w:rFonts w:ascii="Arial" w:hAnsi="Arial" w:cs="Arial"/>
                <w:bCs/>
                <w:sz w:val="22"/>
                <w:szCs w:val="22"/>
              </w:rPr>
            </w:pPr>
          </w:p>
          <w:p w14:paraId="45BE3FA1" w14:textId="77777777" w:rsidR="007A435D" w:rsidRDefault="007A435D" w:rsidP="004968C2">
            <w:pPr>
              <w:pStyle w:val="NormalWeb"/>
              <w:spacing w:before="0" w:after="0"/>
              <w:ind w:right="-334"/>
              <w:rPr>
                <w:rFonts w:ascii="Arial" w:hAnsi="Arial" w:cs="Arial"/>
                <w:bCs/>
                <w:sz w:val="22"/>
                <w:szCs w:val="22"/>
              </w:rPr>
            </w:pPr>
          </w:p>
          <w:p w14:paraId="2E9BE280" w14:textId="77777777" w:rsidR="007A435D" w:rsidRDefault="007A435D" w:rsidP="004968C2">
            <w:pPr>
              <w:pStyle w:val="NormalWeb"/>
              <w:spacing w:before="0" w:after="0"/>
              <w:ind w:right="-334"/>
              <w:rPr>
                <w:rFonts w:ascii="Arial" w:hAnsi="Arial" w:cs="Arial"/>
                <w:bCs/>
                <w:sz w:val="22"/>
                <w:szCs w:val="22"/>
              </w:rPr>
            </w:pPr>
          </w:p>
        </w:tc>
      </w:tr>
      <w:tr w:rsidR="007A435D" w14:paraId="617AD8CF" w14:textId="77777777" w:rsidTr="004968C2">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7F42E247" w14:textId="77777777" w:rsidR="007A435D" w:rsidRDefault="007A435D" w:rsidP="004968C2">
            <w:pPr>
              <w:pStyle w:val="NormalWeb"/>
              <w:spacing w:before="0" w:after="0"/>
              <w:ind w:right="-334"/>
            </w:pPr>
            <w:r>
              <w:rPr>
                <w:rFonts w:ascii="Arial" w:hAnsi="Arial" w:cs="Arial"/>
                <w:bCs/>
                <w:sz w:val="22"/>
                <w:szCs w:val="22"/>
              </w:rPr>
              <w:t>Marker’s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43EFCC3B" w14:textId="77777777" w:rsidR="007A435D" w:rsidRDefault="007A435D" w:rsidP="004968C2">
            <w:pPr>
              <w:pStyle w:val="NormalWeb"/>
              <w:spacing w:before="0" w:after="0"/>
              <w:ind w:right="-334"/>
            </w:pPr>
            <w:r>
              <w:rPr>
                <w:rFonts w:ascii="Arial" w:hAnsi="Arial" w:cs="Arial"/>
                <w:bCs/>
                <w:sz w:val="22"/>
                <w:szCs w:val="22"/>
              </w:rPr>
              <w:t>Date:</w:t>
            </w:r>
          </w:p>
        </w:tc>
      </w:tr>
      <w:tr w:rsidR="007A435D" w14:paraId="5C96CD52" w14:textId="77777777" w:rsidTr="004968C2">
        <w:trPr>
          <w:trHeight w:val="72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40DC7430" w14:textId="77777777" w:rsidR="007A435D" w:rsidRDefault="007A435D" w:rsidP="004968C2">
            <w:r>
              <w:rPr>
                <w:rFonts w:ascii="Arial" w:hAnsi="Arial" w:cs="Arial"/>
                <w:b/>
              </w:rPr>
              <w:t>External Examiner’s comments (if relevant)</w:t>
            </w:r>
          </w:p>
          <w:p w14:paraId="646219FF" w14:textId="77777777" w:rsidR="007A435D" w:rsidRDefault="007A435D" w:rsidP="004968C2">
            <w:pPr>
              <w:pStyle w:val="NormalWeb"/>
              <w:spacing w:before="0" w:after="0"/>
              <w:ind w:right="-334"/>
              <w:rPr>
                <w:rFonts w:ascii="Arial" w:hAnsi="Arial" w:cs="Arial"/>
                <w:b/>
                <w:bCs/>
                <w:sz w:val="22"/>
                <w:szCs w:val="22"/>
              </w:rPr>
            </w:pPr>
          </w:p>
          <w:p w14:paraId="228C2D32" w14:textId="77777777" w:rsidR="007A435D" w:rsidRDefault="007A435D" w:rsidP="004968C2">
            <w:pPr>
              <w:pStyle w:val="NormalWeb"/>
              <w:spacing w:before="0" w:after="0"/>
              <w:ind w:right="-334"/>
              <w:rPr>
                <w:rFonts w:ascii="Arial" w:hAnsi="Arial" w:cs="Arial"/>
                <w:bCs/>
                <w:sz w:val="22"/>
                <w:szCs w:val="22"/>
              </w:rPr>
            </w:pPr>
          </w:p>
          <w:p w14:paraId="76AE9DAB" w14:textId="77777777" w:rsidR="007A435D" w:rsidRDefault="007A435D" w:rsidP="004968C2">
            <w:pPr>
              <w:pStyle w:val="NormalWeb"/>
              <w:spacing w:before="0" w:after="0"/>
              <w:ind w:right="-334"/>
              <w:rPr>
                <w:rFonts w:ascii="Arial" w:hAnsi="Arial" w:cs="Arial"/>
                <w:bCs/>
                <w:sz w:val="22"/>
                <w:szCs w:val="22"/>
              </w:rPr>
            </w:pPr>
          </w:p>
          <w:p w14:paraId="23E3A667" w14:textId="77777777" w:rsidR="007A435D" w:rsidRDefault="007A435D" w:rsidP="004968C2">
            <w:pPr>
              <w:pStyle w:val="NormalWeb"/>
              <w:spacing w:before="0" w:after="0"/>
              <w:ind w:right="-334"/>
              <w:rPr>
                <w:rFonts w:ascii="Arial" w:hAnsi="Arial" w:cs="Arial"/>
                <w:bCs/>
                <w:sz w:val="22"/>
                <w:szCs w:val="22"/>
              </w:rPr>
            </w:pPr>
          </w:p>
          <w:p w14:paraId="6F738BDE" w14:textId="77777777" w:rsidR="007A435D" w:rsidRDefault="007A435D" w:rsidP="004968C2">
            <w:pPr>
              <w:pStyle w:val="NormalWeb"/>
              <w:spacing w:before="0" w:after="0"/>
              <w:ind w:right="-334"/>
              <w:rPr>
                <w:rFonts w:ascii="Arial" w:hAnsi="Arial" w:cs="Arial"/>
                <w:bCs/>
                <w:sz w:val="22"/>
                <w:szCs w:val="22"/>
              </w:rPr>
            </w:pPr>
          </w:p>
          <w:p w14:paraId="3EC9A44E" w14:textId="77777777" w:rsidR="007A435D" w:rsidRDefault="007A435D" w:rsidP="004968C2">
            <w:pPr>
              <w:pStyle w:val="NormalWeb"/>
              <w:spacing w:before="0" w:after="0"/>
              <w:ind w:right="-334"/>
              <w:rPr>
                <w:rFonts w:ascii="Arial" w:hAnsi="Arial" w:cs="Arial"/>
                <w:bCs/>
                <w:sz w:val="22"/>
                <w:szCs w:val="22"/>
              </w:rPr>
            </w:pPr>
          </w:p>
          <w:p w14:paraId="58B12A76" w14:textId="77777777" w:rsidR="007A435D" w:rsidRDefault="007A435D" w:rsidP="004968C2">
            <w:pPr>
              <w:pStyle w:val="NormalWeb"/>
              <w:spacing w:before="0" w:after="0"/>
              <w:ind w:right="-334"/>
              <w:rPr>
                <w:rFonts w:ascii="Arial" w:hAnsi="Arial" w:cs="Arial"/>
                <w:bCs/>
                <w:sz w:val="22"/>
                <w:szCs w:val="22"/>
              </w:rPr>
            </w:pPr>
          </w:p>
          <w:p w14:paraId="1FB6E0D0" w14:textId="77777777" w:rsidR="007A435D" w:rsidRDefault="007A435D" w:rsidP="004968C2">
            <w:pPr>
              <w:pStyle w:val="NormalWeb"/>
              <w:spacing w:before="0" w:after="0"/>
              <w:ind w:right="-334"/>
              <w:rPr>
                <w:rFonts w:ascii="Arial" w:hAnsi="Arial" w:cs="Arial"/>
                <w:bCs/>
                <w:sz w:val="22"/>
                <w:szCs w:val="22"/>
              </w:rPr>
            </w:pPr>
          </w:p>
          <w:p w14:paraId="45DB4D46" w14:textId="77777777" w:rsidR="007A435D" w:rsidRDefault="007A435D" w:rsidP="004968C2">
            <w:pPr>
              <w:pStyle w:val="NormalWeb"/>
              <w:spacing w:before="0" w:after="0"/>
              <w:ind w:right="-334"/>
              <w:rPr>
                <w:rFonts w:ascii="Arial" w:hAnsi="Arial" w:cs="Arial"/>
                <w:bCs/>
                <w:sz w:val="22"/>
                <w:szCs w:val="22"/>
              </w:rPr>
            </w:pPr>
          </w:p>
          <w:p w14:paraId="09305BBD" w14:textId="77777777" w:rsidR="007A435D" w:rsidRDefault="007A435D" w:rsidP="004968C2">
            <w:pPr>
              <w:pStyle w:val="NormalWeb"/>
              <w:spacing w:before="0" w:after="0"/>
              <w:ind w:right="-334"/>
              <w:rPr>
                <w:rFonts w:ascii="Arial" w:hAnsi="Arial" w:cs="Arial"/>
                <w:bCs/>
                <w:sz w:val="22"/>
                <w:szCs w:val="22"/>
              </w:rPr>
            </w:pPr>
          </w:p>
          <w:p w14:paraId="1F3C04F4" w14:textId="77777777" w:rsidR="007A435D" w:rsidRDefault="007A435D" w:rsidP="004968C2">
            <w:pPr>
              <w:pStyle w:val="NormalWeb"/>
              <w:spacing w:before="0" w:after="0"/>
              <w:ind w:right="-334"/>
              <w:rPr>
                <w:rFonts w:ascii="Arial" w:hAnsi="Arial" w:cs="Arial"/>
                <w:bCs/>
                <w:sz w:val="22"/>
                <w:szCs w:val="22"/>
              </w:rPr>
            </w:pPr>
          </w:p>
        </w:tc>
      </w:tr>
      <w:tr w:rsidR="007A435D" w14:paraId="330CED92" w14:textId="77777777" w:rsidTr="004968C2">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4FA3F9" w14:textId="77777777" w:rsidR="007A435D" w:rsidRDefault="007A435D" w:rsidP="004968C2">
            <w:r>
              <w:rPr>
                <w:rFonts w:ascii="Arial" w:hAnsi="Arial" w:cs="Arial"/>
              </w:rPr>
              <w:t>External Examiner’s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2A52517D" w14:textId="77777777" w:rsidR="007A435D" w:rsidRDefault="007A435D" w:rsidP="004968C2">
            <w:r>
              <w:rPr>
                <w:rFonts w:ascii="Arial" w:hAnsi="Arial" w:cs="Arial"/>
              </w:rPr>
              <w:t>Date:</w:t>
            </w:r>
          </w:p>
        </w:tc>
      </w:tr>
    </w:tbl>
    <w:p w14:paraId="60A43547" w14:textId="77777777" w:rsidR="007A435D" w:rsidRDefault="007A435D" w:rsidP="0006467F">
      <w:pPr>
        <w:pStyle w:val="Title"/>
        <w:jc w:val="center"/>
        <w:rPr>
          <w:rFonts w:asciiTheme="minorHAnsi" w:hAnsiTheme="minorHAnsi" w:cstheme="minorHAnsi"/>
          <w:sz w:val="32"/>
          <w:szCs w:val="32"/>
        </w:rPr>
      </w:pPr>
    </w:p>
    <w:p w14:paraId="090EB66B" w14:textId="6F6A6B53" w:rsidR="007F122F" w:rsidRDefault="00784AB2" w:rsidP="00B1071D">
      <w:pPr>
        <w:pStyle w:val="Heading1"/>
        <w:jc w:val="center"/>
      </w:pPr>
      <w:r w:rsidRPr="00784AB2">
        <w:lastRenderedPageBreak/>
        <w:t>A Critical Comparison of Two JSTOR Papers</w:t>
      </w:r>
    </w:p>
    <w:p w14:paraId="13C5F475" w14:textId="77777777" w:rsidR="00A235F9" w:rsidRDefault="00A235F9" w:rsidP="00A235F9"/>
    <w:p w14:paraId="2CF00A49" w14:textId="3E2434AE" w:rsidR="00A235F9" w:rsidRPr="00A235F9" w:rsidRDefault="00A235F9" w:rsidP="00A235F9">
      <w:r>
        <w:t>Word count:</w:t>
      </w:r>
      <w:r w:rsidR="00C338F6">
        <w:t xml:space="preserve"> 20</w:t>
      </w:r>
      <w:r w:rsidR="001F7D78">
        <w:t>4</w:t>
      </w:r>
      <w:r w:rsidR="007735F9">
        <w:t>5</w:t>
      </w:r>
    </w:p>
    <w:p w14:paraId="7B43E961" w14:textId="77777777" w:rsidR="00784AB2" w:rsidRDefault="00784AB2" w:rsidP="00267457">
      <w:pPr>
        <w:pStyle w:val="NoSpacing"/>
        <w:rPr>
          <w:rFonts w:cstheme="minorHAnsi"/>
        </w:rPr>
      </w:pPr>
    </w:p>
    <w:p w14:paraId="0ADB872E" w14:textId="40E75519" w:rsidR="00072FB7" w:rsidRDefault="00AF512E" w:rsidP="00503CC3">
      <w:pPr>
        <w:pStyle w:val="NoSpacing"/>
        <w:ind w:firstLine="720"/>
        <w:rPr>
          <w:rFonts w:cstheme="minorHAnsi"/>
        </w:rPr>
      </w:pPr>
      <w:r w:rsidRPr="00AF512E">
        <w:rPr>
          <w:rFonts w:cstheme="minorHAnsi"/>
        </w:rPr>
        <w:t xml:space="preserve">This essay </w:t>
      </w:r>
      <w:proofErr w:type="gramStart"/>
      <w:r w:rsidRPr="00AF512E">
        <w:rPr>
          <w:rFonts w:cstheme="minorHAnsi"/>
        </w:rPr>
        <w:t>compares and contrasts</w:t>
      </w:r>
      <w:proofErr w:type="gramEnd"/>
      <w:r w:rsidRPr="00AF512E">
        <w:rPr>
          <w:rFonts w:cstheme="minorHAnsi"/>
        </w:rPr>
        <w:t xml:space="preserve"> </w:t>
      </w:r>
      <w:r w:rsidR="004F6125" w:rsidRPr="008D0370">
        <w:t>Cooper, Glen M. 'Galen and Astrology: A Mésalliance?'. Early Science and Medicine 16, no. 2 (2011): 120-146</w:t>
      </w:r>
      <w:r w:rsidR="004F6125">
        <w:t xml:space="preserve"> </w:t>
      </w:r>
      <w:r w:rsidR="00267457">
        <w:rPr>
          <w:rFonts w:cstheme="minorHAnsi"/>
        </w:rPr>
        <w:t xml:space="preserve">with </w:t>
      </w:r>
      <w:r w:rsidR="004F6125" w:rsidRPr="008D0370">
        <w:t>French, Roger. 'Foretelling the Future: Arabic Astrology and English Medicine in the Late Twelfth Century.' Isis 87, no. 3 (1996): 453-480</w:t>
      </w:r>
      <w:r w:rsidR="004F6125">
        <w:t>.</w:t>
      </w:r>
      <w:r w:rsidR="004F6125">
        <w:rPr>
          <w:rFonts w:cstheme="minorHAnsi"/>
        </w:rPr>
        <w:t xml:space="preserve"> </w:t>
      </w:r>
      <w:r w:rsidR="00B1071D">
        <w:rPr>
          <w:rFonts w:cstheme="minorHAnsi"/>
        </w:rPr>
        <w:t>The structure and methodology used by each author will be compared. Their approaches to astrology and its role in the medicine of the time will be considered, especially medical prognostication, concluding with the implications of this for the role of astrology in the intellectual environment of the time. To be</w:t>
      </w:r>
      <w:r w:rsidR="007735F9">
        <w:rPr>
          <w:rFonts w:cstheme="minorHAnsi"/>
        </w:rPr>
        <w:t>gin</w:t>
      </w:r>
      <w:r w:rsidR="00B1071D">
        <w:rPr>
          <w:rFonts w:cstheme="minorHAnsi"/>
        </w:rPr>
        <w:t xml:space="preserve"> with, background and context is given for each paper.</w:t>
      </w:r>
    </w:p>
    <w:p w14:paraId="33E6D168" w14:textId="77777777" w:rsidR="00F030E3" w:rsidRDefault="00F030E3" w:rsidP="00267457">
      <w:pPr>
        <w:pStyle w:val="NoSpacing"/>
        <w:rPr>
          <w:rFonts w:cstheme="minorHAnsi"/>
        </w:rPr>
      </w:pPr>
    </w:p>
    <w:p w14:paraId="080D8122" w14:textId="798A349E" w:rsidR="00251377" w:rsidRDefault="00666F87" w:rsidP="00503CC3">
      <w:pPr>
        <w:pStyle w:val="NoSpacing"/>
        <w:ind w:firstLine="720"/>
      </w:pPr>
      <w:r>
        <w:rPr>
          <w:rFonts w:cstheme="minorHAnsi"/>
        </w:rPr>
        <w:t xml:space="preserve">French </w:t>
      </w:r>
      <w:r w:rsidR="00251377">
        <w:rPr>
          <w:rFonts w:cstheme="minorHAnsi"/>
        </w:rPr>
        <w:t>was</w:t>
      </w:r>
      <w:r w:rsidR="00251377">
        <w:t xml:space="preserve"> </w:t>
      </w:r>
      <w:r w:rsidR="00562B27">
        <w:t xml:space="preserve">based </w:t>
      </w:r>
      <w:r w:rsidR="00251377">
        <w:t>at the University of Cambridge from 1975 until 1999 and published many academic works, specialising from his PhD and throughout his career in the intersection of soul and medicine</w:t>
      </w:r>
      <w:r w:rsidR="00251377">
        <w:rPr>
          <w:rStyle w:val="FootnoteReference"/>
        </w:rPr>
        <w:footnoteReference w:id="1"/>
      </w:r>
      <w:r w:rsidR="00251377">
        <w:t xml:space="preserve">. Likewise, Cooper is an academic who </w:t>
      </w:r>
      <w:r w:rsidR="00072FB7">
        <w:t>has</w:t>
      </w:r>
      <w:r w:rsidR="00251377">
        <w:t xml:space="preserve"> published a new translation of Galen’s Critical Days</w:t>
      </w:r>
      <w:r w:rsidR="00251377">
        <w:rPr>
          <w:rStyle w:val="FootnoteReference"/>
        </w:rPr>
        <w:footnoteReference w:id="2"/>
      </w:r>
      <w:r w:rsidR="00251377">
        <w:t xml:space="preserve"> so again he is drawing on his key area of expertise in this paper. Both papers are written by scholars who are experts in their field and deal with subject matter which Is central to their research concerns.</w:t>
      </w:r>
    </w:p>
    <w:p w14:paraId="21EAD5A7" w14:textId="77777777" w:rsidR="000D779C" w:rsidRDefault="000D779C" w:rsidP="00251377">
      <w:pPr>
        <w:pStyle w:val="NoSpacing"/>
      </w:pPr>
    </w:p>
    <w:p w14:paraId="7FC28C8E" w14:textId="431C8D13" w:rsidR="000D779C" w:rsidRDefault="000D779C" w:rsidP="00503CC3">
      <w:pPr>
        <w:pStyle w:val="NoSpacing"/>
        <w:ind w:firstLine="720"/>
      </w:pPr>
      <w:r>
        <w:t xml:space="preserve">For the purposes of this essay, </w:t>
      </w:r>
      <w:r>
        <w:rPr>
          <w:rFonts w:cstheme="minorHAnsi"/>
        </w:rPr>
        <w:t>natural astrology is defined as placing “the emphasis on the natural world”, drawing on natural phenomena such as “celestial influences or planetary cycles”</w:t>
      </w:r>
      <w:r>
        <w:rPr>
          <w:rStyle w:val="FootnoteReference"/>
          <w:rFonts w:cstheme="minorHAnsi"/>
        </w:rPr>
        <w:footnoteReference w:id="3"/>
      </w:r>
      <w:r>
        <w:rPr>
          <w:rFonts w:cstheme="minorHAnsi"/>
        </w:rPr>
        <w:t xml:space="preserve">. Judicial astrology, on the other hand, </w:t>
      </w:r>
      <w:r w:rsidR="00A235F9">
        <w:rPr>
          <w:rFonts w:cstheme="minorHAnsi"/>
        </w:rPr>
        <w:t>“</w:t>
      </w:r>
      <w:r>
        <w:rPr>
          <w:rFonts w:cstheme="minorHAnsi"/>
        </w:rPr>
        <w:t>requires that the astrologer make a judgement, usually using a horoscope”</w:t>
      </w:r>
      <w:r>
        <w:rPr>
          <w:rStyle w:val="FootnoteReference"/>
          <w:rFonts w:cstheme="minorHAnsi"/>
        </w:rPr>
        <w:footnoteReference w:id="4"/>
      </w:r>
      <w:r>
        <w:rPr>
          <w:rFonts w:cstheme="minorHAnsi"/>
        </w:rPr>
        <w:t xml:space="preserve"> and is therefore a more codified approach.</w:t>
      </w:r>
    </w:p>
    <w:p w14:paraId="066120C4" w14:textId="77777777" w:rsidR="00B1071D" w:rsidRDefault="00B1071D" w:rsidP="00251377">
      <w:pPr>
        <w:pStyle w:val="NoSpacing"/>
      </w:pPr>
    </w:p>
    <w:p w14:paraId="4F370C4C" w14:textId="009E05EE" w:rsidR="00B1071D" w:rsidRDefault="00B1071D" w:rsidP="00D470BB">
      <w:pPr>
        <w:pStyle w:val="Heading3"/>
      </w:pPr>
      <w:r>
        <w:t>Structure and Methodology</w:t>
      </w:r>
    </w:p>
    <w:p w14:paraId="6BDE1896" w14:textId="091FB3EC" w:rsidR="00251377" w:rsidRDefault="00251377" w:rsidP="00267457">
      <w:pPr>
        <w:pStyle w:val="NoSpacing"/>
        <w:rPr>
          <w:rFonts w:cstheme="minorHAnsi"/>
        </w:rPr>
      </w:pPr>
    </w:p>
    <w:p w14:paraId="764433D1" w14:textId="3462C415" w:rsidR="008E3B54" w:rsidRDefault="008E3B54" w:rsidP="00503CC3">
      <w:pPr>
        <w:pStyle w:val="NoSpacing"/>
        <w:ind w:firstLine="720"/>
        <w:rPr>
          <w:rFonts w:cstheme="minorHAnsi"/>
          <w:color w:val="000000"/>
          <w:shd w:val="clear" w:color="auto" w:fill="FFFFFF"/>
        </w:rPr>
      </w:pPr>
      <w:r>
        <w:rPr>
          <w:rFonts w:cstheme="minorHAnsi"/>
          <w:color w:val="000000"/>
          <w:shd w:val="clear" w:color="auto" w:fill="FFFFFF"/>
        </w:rPr>
        <w:t xml:space="preserve">Cooper’s paper follows a clear structure, following </w:t>
      </w:r>
      <w:r w:rsidR="00A235F9">
        <w:rPr>
          <w:rFonts w:cstheme="minorHAnsi"/>
          <w:color w:val="000000"/>
          <w:shd w:val="clear" w:color="auto" w:fill="FFFFFF"/>
        </w:rPr>
        <w:t xml:space="preserve">the </w:t>
      </w:r>
      <w:r>
        <w:rPr>
          <w:rFonts w:cstheme="minorHAnsi"/>
          <w:color w:val="000000"/>
          <w:shd w:val="clear" w:color="auto" w:fill="FFFFFF"/>
        </w:rPr>
        <w:t>work of Galen specifically</w:t>
      </w:r>
      <w:r w:rsidR="00666F87">
        <w:rPr>
          <w:rFonts w:cstheme="minorHAnsi"/>
          <w:color w:val="000000"/>
          <w:shd w:val="clear" w:color="auto" w:fill="FFFFFF"/>
        </w:rPr>
        <w:t xml:space="preserve"> and</w:t>
      </w:r>
      <w:r>
        <w:rPr>
          <w:rFonts w:cstheme="minorHAnsi"/>
          <w:color w:val="000000"/>
          <w:shd w:val="clear" w:color="auto" w:fill="FFFFFF"/>
        </w:rPr>
        <w:t xml:space="preserve"> using several </w:t>
      </w:r>
      <w:r w:rsidR="00A235F9">
        <w:rPr>
          <w:rFonts w:cstheme="minorHAnsi"/>
          <w:color w:val="000000"/>
          <w:shd w:val="clear" w:color="auto" w:fill="FFFFFF"/>
        </w:rPr>
        <w:t xml:space="preserve">methodological </w:t>
      </w:r>
      <w:r>
        <w:rPr>
          <w:rFonts w:cstheme="minorHAnsi"/>
          <w:color w:val="000000"/>
          <w:shd w:val="clear" w:color="auto" w:fill="FFFFFF"/>
        </w:rPr>
        <w:t>approaches to argu</w:t>
      </w:r>
      <w:r w:rsidR="00A235F9">
        <w:rPr>
          <w:rFonts w:cstheme="minorHAnsi"/>
          <w:color w:val="000000"/>
          <w:shd w:val="clear" w:color="auto" w:fill="FFFFFF"/>
        </w:rPr>
        <w:t>e</w:t>
      </w:r>
      <w:r>
        <w:rPr>
          <w:rFonts w:cstheme="minorHAnsi"/>
          <w:color w:val="000000"/>
          <w:shd w:val="clear" w:color="auto" w:fill="FFFFFF"/>
        </w:rPr>
        <w:t xml:space="preserve"> his case before drawing the inevitable conclusion. By comparison, French begins by focusing on a specific figure before broadening out to put that figure into context and discuss the broader intellectual developments of the time. The argument in this paper is less clear with apparent digressions including for example a lengthy discussion of the school at Hereford with which Roger may have been involved</w:t>
      </w:r>
      <w:r>
        <w:rPr>
          <w:rStyle w:val="FootnoteReference"/>
          <w:rFonts w:cstheme="minorHAnsi"/>
          <w:color w:val="000000"/>
          <w:shd w:val="clear" w:color="auto" w:fill="FFFFFF"/>
        </w:rPr>
        <w:footnoteReference w:id="5"/>
      </w:r>
      <w:r>
        <w:rPr>
          <w:rFonts w:cstheme="minorHAnsi"/>
          <w:color w:val="000000"/>
          <w:shd w:val="clear" w:color="auto" w:fill="FFFFFF"/>
        </w:rPr>
        <w:t xml:space="preserve"> and extensive discussion of the circle of scholars with whom Roger of Hereford was connected</w:t>
      </w:r>
      <w:r>
        <w:rPr>
          <w:rStyle w:val="FootnoteReference"/>
          <w:rFonts w:cstheme="minorHAnsi"/>
          <w:color w:val="000000"/>
          <w:shd w:val="clear" w:color="auto" w:fill="FFFFFF"/>
        </w:rPr>
        <w:footnoteReference w:id="6"/>
      </w:r>
      <w:r>
        <w:rPr>
          <w:rFonts w:cstheme="minorHAnsi"/>
          <w:color w:val="000000"/>
          <w:shd w:val="clear" w:color="auto" w:fill="FFFFFF"/>
        </w:rPr>
        <w:t xml:space="preserve">. However, there is also some logic to this structure, in that it is in keeping with the wider purview of the article, in this case by contextualising the intellectual environment into which new information about astrology was arriving. The structure </w:t>
      </w:r>
      <w:r>
        <w:rPr>
          <w:rFonts w:cstheme="minorHAnsi"/>
          <w:color w:val="000000"/>
          <w:shd w:val="clear" w:color="auto" w:fill="FFFFFF"/>
        </w:rPr>
        <w:lastRenderedPageBreak/>
        <w:t xml:space="preserve">of both papers is appropriate for their argument, but Cooper’s paper may be seen as more successful in remaining focused on that argument. </w:t>
      </w:r>
    </w:p>
    <w:p w14:paraId="3C3FCA64" w14:textId="77777777" w:rsidR="008E3B54" w:rsidRDefault="008E3B54" w:rsidP="007A435D">
      <w:pPr>
        <w:pStyle w:val="NoSpacing"/>
        <w:rPr>
          <w:rFonts w:cstheme="minorHAnsi"/>
          <w:color w:val="000000"/>
          <w:shd w:val="clear" w:color="auto" w:fill="FFFFFF"/>
        </w:rPr>
      </w:pPr>
    </w:p>
    <w:p w14:paraId="464770A0" w14:textId="29FB413E" w:rsidR="006D1179" w:rsidRDefault="007F22B7" w:rsidP="00503CC3">
      <w:pPr>
        <w:pStyle w:val="NoSpacing"/>
        <w:ind w:firstLine="720"/>
        <w:rPr>
          <w:rFonts w:cstheme="minorHAnsi"/>
          <w:color w:val="000000"/>
          <w:shd w:val="clear" w:color="auto" w:fill="FFFFFF"/>
        </w:rPr>
      </w:pPr>
      <w:r>
        <w:rPr>
          <w:rFonts w:cstheme="minorHAnsi"/>
          <w:color w:val="000000"/>
          <w:shd w:val="clear" w:color="auto" w:fill="FFFFFF"/>
        </w:rPr>
        <w:t>B</w:t>
      </w:r>
      <w:r w:rsidR="006D1179">
        <w:t xml:space="preserve">oth authors </w:t>
      </w:r>
      <w:r w:rsidR="00666F87">
        <w:t>state</w:t>
      </w:r>
      <w:r w:rsidR="006D1179">
        <w:t xml:space="preserve"> th</w:t>
      </w:r>
      <w:r w:rsidR="00666F87">
        <w:t>eir</w:t>
      </w:r>
      <w:r w:rsidR="006D1179">
        <w:t xml:space="preserve"> argument</w:t>
      </w:r>
      <w:r w:rsidR="00666F87">
        <w:t>s</w:t>
      </w:r>
      <w:r w:rsidR="006D1179">
        <w:t xml:space="preserve"> clearly. On page 455, </w:t>
      </w:r>
      <w:r w:rsidR="00B035DE">
        <w:t>French</w:t>
      </w:r>
      <w:r w:rsidR="006D1179">
        <w:t xml:space="preserve"> states his </w:t>
      </w:r>
      <w:r w:rsidR="007A435D">
        <w:t xml:space="preserve">central thesis: </w:t>
      </w:r>
      <w:r w:rsidR="006D1179">
        <w:t>“</w:t>
      </w:r>
      <w:r w:rsidR="007A435D">
        <w:t xml:space="preserve">this essay accordingly argues that </w:t>
      </w:r>
      <w:r w:rsidR="006D1179">
        <w:t>the early close relationship of medicine and astrology made its judicial form… of potential use to doctors”</w:t>
      </w:r>
      <w:r w:rsidR="006D1179">
        <w:rPr>
          <w:rStyle w:val="FootnoteReference"/>
        </w:rPr>
        <w:footnoteReference w:id="7"/>
      </w:r>
      <w:r w:rsidR="006D1179">
        <w:t>.</w:t>
      </w:r>
      <w:r w:rsidR="007A435D">
        <w:t xml:space="preserve"> </w:t>
      </w:r>
      <w:r w:rsidR="006D1179">
        <w:t>He is therefore seeking to establish that astrology and medicine could be mutually supportive. Cooper, on the other hand, is seeking to establish that “Galen’s use of astrology is superficial and does not cohere with the rest of his medical science” stated on the first page of the paper</w:t>
      </w:r>
      <w:r w:rsidR="007A435D">
        <w:rPr>
          <w:rStyle w:val="FootnoteReference"/>
        </w:rPr>
        <w:footnoteReference w:id="8"/>
      </w:r>
      <w:r w:rsidR="00562B27">
        <w:t>.</w:t>
      </w:r>
      <w:r w:rsidR="006D1179">
        <w:t xml:space="preserve"> </w:t>
      </w:r>
      <w:r w:rsidR="006D1179">
        <w:rPr>
          <w:rFonts w:cstheme="minorHAnsi"/>
          <w:color w:val="000000"/>
          <w:shd w:val="clear" w:color="auto" w:fill="FFFFFF"/>
        </w:rPr>
        <w:t>Whilst both authors explore the use of astrology, they</w:t>
      </w:r>
      <w:r w:rsidR="00251377">
        <w:rPr>
          <w:rFonts w:cstheme="minorHAnsi"/>
          <w:color w:val="000000"/>
          <w:shd w:val="clear" w:color="auto" w:fill="FFFFFF"/>
        </w:rPr>
        <w:t xml:space="preserve"> take a different approach to </w:t>
      </w:r>
      <w:r w:rsidR="006D1179">
        <w:rPr>
          <w:rFonts w:cstheme="minorHAnsi"/>
          <w:color w:val="000000"/>
          <w:shd w:val="clear" w:color="auto" w:fill="FFFFFF"/>
        </w:rPr>
        <w:t xml:space="preserve">its role in the medicine of the time. </w:t>
      </w:r>
    </w:p>
    <w:p w14:paraId="57073767" w14:textId="77777777" w:rsidR="00D75738" w:rsidRDefault="00D75738" w:rsidP="007A435D">
      <w:pPr>
        <w:pStyle w:val="NoSpacing"/>
        <w:rPr>
          <w:rFonts w:cstheme="minorHAnsi"/>
          <w:color w:val="000000"/>
          <w:shd w:val="clear" w:color="auto" w:fill="FFFFFF"/>
        </w:rPr>
      </w:pPr>
    </w:p>
    <w:p w14:paraId="30D6D83F" w14:textId="00B11F7E" w:rsidR="00562B27" w:rsidRDefault="00F615F1" w:rsidP="00503CC3">
      <w:pPr>
        <w:pStyle w:val="NoSpacing"/>
        <w:ind w:firstLine="720"/>
        <w:rPr>
          <w:rFonts w:cstheme="minorHAnsi"/>
          <w:color w:val="000000"/>
          <w:shd w:val="clear" w:color="auto" w:fill="FFFFFF"/>
        </w:rPr>
      </w:pPr>
      <w:r>
        <w:rPr>
          <w:rFonts w:cstheme="minorHAnsi"/>
          <w:color w:val="000000"/>
          <w:shd w:val="clear" w:color="auto" w:fill="FFFFFF"/>
        </w:rPr>
        <w:t>The methodologies used by each author share some similarities but also exhibit key differences.</w:t>
      </w:r>
      <w:r w:rsidR="002A5BAC">
        <w:rPr>
          <w:rFonts w:cstheme="minorHAnsi"/>
          <w:color w:val="000000"/>
          <w:shd w:val="clear" w:color="auto" w:fill="FFFFFF"/>
        </w:rPr>
        <w:t xml:space="preserve"> Cooper uses several different methods to illustrate the same point. He takes both a historical approach to Galen’s astrology in Critical Days and continues with a</w:t>
      </w:r>
      <w:r w:rsidR="00562B27">
        <w:rPr>
          <w:rFonts w:cstheme="minorHAnsi"/>
          <w:color w:val="000000"/>
          <w:shd w:val="clear" w:color="auto" w:fill="FFFFFF"/>
        </w:rPr>
        <w:t>n</w:t>
      </w:r>
      <w:r w:rsidR="002A5BAC">
        <w:rPr>
          <w:rFonts w:cstheme="minorHAnsi"/>
          <w:color w:val="000000"/>
          <w:shd w:val="clear" w:color="auto" w:fill="FFFFFF"/>
        </w:rPr>
        <w:t xml:space="preserve"> analysis of references to astrological terms throughout Galen’s work. This more quantitative, even empirical, approach suggests that the methodology used by Cooper emphasises his tendency to examine Galen’s work in the context of the current scientific model, </w:t>
      </w:r>
      <w:r w:rsidR="00562B27">
        <w:rPr>
          <w:rFonts w:cstheme="minorHAnsi"/>
          <w:color w:val="000000"/>
          <w:shd w:val="clear" w:color="auto" w:fill="FFFFFF"/>
        </w:rPr>
        <w:t xml:space="preserve">in that he is </w:t>
      </w:r>
      <w:r w:rsidR="002A5BAC">
        <w:rPr>
          <w:rFonts w:cstheme="minorHAnsi"/>
          <w:color w:val="000000"/>
          <w:shd w:val="clear" w:color="auto" w:fill="FFFFFF"/>
        </w:rPr>
        <w:t>using that model as part of his methodology</w:t>
      </w:r>
      <w:r w:rsidR="00562B27">
        <w:rPr>
          <w:rFonts w:cstheme="minorHAnsi"/>
          <w:color w:val="000000"/>
          <w:shd w:val="clear" w:color="auto" w:fill="FFFFFF"/>
        </w:rPr>
        <w:t>.</w:t>
      </w:r>
      <w:r w:rsidR="00555969">
        <w:rPr>
          <w:rFonts w:cstheme="minorHAnsi"/>
          <w:color w:val="000000"/>
          <w:shd w:val="clear" w:color="auto" w:fill="FFFFFF"/>
        </w:rPr>
        <w:t xml:space="preserve"> </w:t>
      </w:r>
    </w:p>
    <w:p w14:paraId="224FFDED" w14:textId="77777777" w:rsidR="00562B27" w:rsidRDefault="00562B27" w:rsidP="002A5BAC">
      <w:pPr>
        <w:pStyle w:val="NoSpacing"/>
        <w:rPr>
          <w:rFonts w:cstheme="minorHAnsi"/>
          <w:color w:val="000000"/>
          <w:shd w:val="clear" w:color="auto" w:fill="FFFFFF"/>
        </w:rPr>
      </w:pPr>
    </w:p>
    <w:p w14:paraId="6880D561" w14:textId="1F86D488" w:rsidR="00562B27" w:rsidRDefault="00562B27" w:rsidP="00503CC3">
      <w:pPr>
        <w:pStyle w:val="NoSpacing"/>
        <w:ind w:firstLine="720"/>
        <w:rPr>
          <w:rFonts w:cstheme="minorHAnsi"/>
          <w:color w:val="000000"/>
          <w:shd w:val="clear" w:color="auto" w:fill="FFFFFF"/>
        </w:rPr>
      </w:pPr>
      <w:r>
        <w:rPr>
          <w:rFonts w:cstheme="minorHAnsi"/>
          <w:color w:val="000000"/>
          <w:shd w:val="clear" w:color="auto" w:fill="FFFFFF"/>
        </w:rPr>
        <w:t>French, on the other hand, remains focused on a historical approach throughout</w:t>
      </w:r>
      <w:r w:rsidR="00E4621E">
        <w:rPr>
          <w:rFonts w:cstheme="minorHAnsi"/>
          <w:color w:val="000000"/>
          <w:shd w:val="clear" w:color="auto" w:fill="FFFFFF"/>
        </w:rPr>
        <w:t xml:space="preserve">, exploring both the </w:t>
      </w:r>
      <w:proofErr w:type="spellStart"/>
      <w:r>
        <w:rPr>
          <w:rFonts w:cstheme="minorHAnsi"/>
          <w:color w:val="000000"/>
          <w:shd w:val="clear" w:color="auto" w:fill="FFFFFF"/>
        </w:rPr>
        <w:t>Introductorium</w:t>
      </w:r>
      <w:proofErr w:type="spellEnd"/>
      <w:r>
        <w:rPr>
          <w:rFonts w:cstheme="minorHAnsi"/>
          <w:color w:val="000000"/>
          <w:shd w:val="clear" w:color="auto" w:fill="FFFFFF"/>
        </w:rPr>
        <w:t xml:space="preserve"> of </w:t>
      </w:r>
      <w:proofErr w:type="spellStart"/>
      <w:r w:rsidR="001F7D78">
        <w:rPr>
          <w:rFonts w:cstheme="minorHAnsi"/>
          <w:color w:val="000000"/>
          <w:shd w:val="clear" w:color="auto" w:fill="FFFFFF"/>
        </w:rPr>
        <w:t>Abū</w:t>
      </w:r>
      <w:proofErr w:type="spellEnd"/>
      <w:r>
        <w:rPr>
          <w:rFonts w:cstheme="minorHAnsi"/>
          <w:color w:val="000000"/>
          <w:shd w:val="clear" w:color="auto" w:fill="FFFFFF"/>
        </w:rPr>
        <w:t xml:space="preserve"> Ma’Shar </w:t>
      </w:r>
      <w:r w:rsidR="00E4621E">
        <w:rPr>
          <w:rFonts w:cstheme="minorHAnsi"/>
          <w:color w:val="000000"/>
          <w:shd w:val="clear" w:color="auto" w:fill="FFFFFF"/>
        </w:rPr>
        <w:t xml:space="preserve">and the writings of </w:t>
      </w:r>
      <w:r>
        <w:rPr>
          <w:rFonts w:cstheme="minorHAnsi"/>
          <w:color w:val="000000"/>
          <w:shd w:val="clear" w:color="auto" w:fill="FFFFFF"/>
        </w:rPr>
        <w:t xml:space="preserve">Roger </w:t>
      </w:r>
      <w:r w:rsidR="000D779C">
        <w:rPr>
          <w:rFonts w:cstheme="minorHAnsi"/>
          <w:color w:val="000000"/>
          <w:shd w:val="clear" w:color="auto" w:fill="FFFFFF"/>
        </w:rPr>
        <w:t>o</w:t>
      </w:r>
      <w:r>
        <w:rPr>
          <w:rFonts w:cstheme="minorHAnsi"/>
          <w:color w:val="000000"/>
          <w:shd w:val="clear" w:color="auto" w:fill="FFFFFF"/>
        </w:rPr>
        <w:t>f Hereford in depth.</w:t>
      </w:r>
      <w:r w:rsidR="00B035DE">
        <w:rPr>
          <w:rFonts w:cstheme="minorHAnsi"/>
          <w:color w:val="000000"/>
          <w:shd w:val="clear" w:color="auto" w:fill="FFFFFF"/>
        </w:rPr>
        <w:t xml:space="preserve"> He also explores related areas such as the development of education in the twelfth century.</w:t>
      </w:r>
      <w:r>
        <w:rPr>
          <w:rFonts w:cstheme="minorHAnsi"/>
          <w:color w:val="000000"/>
          <w:shd w:val="clear" w:color="auto" w:fill="FFFFFF"/>
        </w:rPr>
        <w:t xml:space="preserve"> In both cases, abundant references are </w:t>
      </w:r>
      <w:r w:rsidR="000D779C">
        <w:rPr>
          <w:rFonts w:cstheme="minorHAnsi"/>
          <w:color w:val="000000"/>
          <w:shd w:val="clear" w:color="auto" w:fill="FFFFFF"/>
        </w:rPr>
        <w:t>given,</w:t>
      </w:r>
      <w:r>
        <w:rPr>
          <w:rFonts w:cstheme="minorHAnsi"/>
          <w:color w:val="000000"/>
          <w:shd w:val="clear" w:color="auto" w:fill="FFFFFF"/>
        </w:rPr>
        <w:t xml:space="preserve"> and the original Latin is included</w:t>
      </w:r>
      <w:r w:rsidR="008E3B54">
        <w:rPr>
          <w:rFonts w:cstheme="minorHAnsi"/>
          <w:color w:val="000000"/>
          <w:shd w:val="clear" w:color="auto" w:fill="FFFFFF"/>
        </w:rPr>
        <w:t>, reducing the risk of bias or misinterpretation on part of author</w:t>
      </w:r>
      <w:r>
        <w:rPr>
          <w:rFonts w:cstheme="minorHAnsi"/>
          <w:color w:val="000000"/>
          <w:shd w:val="clear" w:color="auto" w:fill="FFFFFF"/>
        </w:rPr>
        <w:t xml:space="preserve">. This </w:t>
      </w:r>
      <w:proofErr w:type="gramStart"/>
      <w:r>
        <w:rPr>
          <w:rFonts w:cstheme="minorHAnsi"/>
          <w:color w:val="000000"/>
          <w:shd w:val="clear" w:color="auto" w:fill="FFFFFF"/>
        </w:rPr>
        <w:t>is in contrast to</w:t>
      </w:r>
      <w:proofErr w:type="gramEnd"/>
      <w:r>
        <w:rPr>
          <w:rFonts w:cstheme="minorHAnsi"/>
          <w:color w:val="000000"/>
          <w:shd w:val="clear" w:color="auto" w:fill="FFFFFF"/>
        </w:rPr>
        <w:t xml:space="preserve"> Cooper, who references Galen’s work without including the original text</w:t>
      </w:r>
      <w:r w:rsidR="008E3B54">
        <w:rPr>
          <w:rFonts w:cstheme="minorHAnsi"/>
          <w:color w:val="000000"/>
          <w:shd w:val="clear" w:color="auto" w:fill="FFFFFF"/>
        </w:rPr>
        <w:t>.</w:t>
      </w:r>
    </w:p>
    <w:p w14:paraId="5DB5FEA4" w14:textId="77777777" w:rsidR="00562B27" w:rsidRDefault="00562B27" w:rsidP="002A5BAC">
      <w:pPr>
        <w:pStyle w:val="NoSpacing"/>
        <w:rPr>
          <w:rFonts w:cstheme="minorHAnsi"/>
          <w:color w:val="000000"/>
          <w:shd w:val="clear" w:color="auto" w:fill="FFFFFF"/>
        </w:rPr>
      </w:pPr>
    </w:p>
    <w:p w14:paraId="1E7060E5" w14:textId="1C82CAF4" w:rsidR="00B1071D" w:rsidRDefault="00B1071D" w:rsidP="00D470BB">
      <w:pPr>
        <w:pStyle w:val="Heading3"/>
        <w:rPr>
          <w:shd w:val="clear" w:color="auto" w:fill="FFFFFF"/>
        </w:rPr>
      </w:pPr>
      <w:r>
        <w:rPr>
          <w:shd w:val="clear" w:color="auto" w:fill="FFFFFF"/>
        </w:rPr>
        <w:t>Judicial and Natural Astrology</w:t>
      </w:r>
    </w:p>
    <w:p w14:paraId="73D05F58" w14:textId="77777777" w:rsidR="00B1071D" w:rsidRDefault="00B1071D" w:rsidP="007A435D">
      <w:pPr>
        <w:pStyle w:val="NoSpacing"/>
        <w:rPr>
          <w:rFonts w:cstheme="minorHAnsi"/>
          <w:color w:val="000000"/>
          <w:shd w:val="clear" w:color="auto" w:fill="FFFFFF"/>
        </w:rPr>
      </w:pPr>
    </w:p>
    <w:p w14:paraId="62F6194D" w14:textId="32D2A122" w:rsidR="00D470BB" w:rsidRDefault="000D779C" w:rsidP="00503CC3">
      <w:pPr>
        <w:pStyle w:val="NoSpacing"/>
        <w:ind w:firstLine="720"/>
        <w:rPr>
          <w:rFonts w:cstheme="minorHAnsi"/>
          <w:color w:val="000000"/>
          <w:shd w:val="clear" w:color="auto" w:fill="FFFFFF"/>
        </w:rPr>
      </w:pPr>
      <w:r>
        <w:rPr>
          <w:rFonts w:cstheme="minorHAnsi"/>
        </w:rPr>
        <w:t>B</w:t>
      </w:r>
      <w:r w:rsidR="005D48FA">
        <w:rPr>
          <w:rFonts w:cstheme="minorHAnsi"/>
        </w:rPr>
        <w:t>oth papers explore astrology in some depth,</w:t>
      </w:r>
      <w:r>
        <w:rPr>
          <w:rFonts w:cstheme="minorHAnsi"/>
        </w:rPr>
        <w:t xml:space="preserve"> drawing on historical definitions delineating between </w:t>
      </w:r>
      <w:r w:rsidR="00B1071D">
        <w:rPr>
          <w:rFonts w:cstheme="minorHAnsi"/>
        </w:rPr>
        <w:t xml:space="preserve">natural and judicial astrology. </w:t>
      </w:r>
      <w:r w:rsidR="005D48FA">
        <w:rPr>
          <w:rFonts w:cstheme="minorHAnsi"/>
          <w:color w:val="000000"/>
          <w:shd w:val="clear" w:color="auto" w:fill="FFFFFF"/>
        </w:rPr>
        <w:t>Cooper notes early on the difference between natural and judicial astrology in the context of what Galen would have considered “scientific”</w:t>
      </w:r>
      <w:r>
        <w:rPr>
          <w:rStyle w:val="FootnoteReference"/>
          <w:rFonts w:cstheme="minorHAnsi"/>
          <w:color w:val="000000"/>
          <w:shd w:val="clear" w:color="auto" w:fill="FFFFFF"/>
        </w:rPr>
        <w:footnoteReference w:id="9"/>
      </w:r>
      <w:r w:rsidR="005D48FA">
        <w:rPr>
          <w:rFonts w:cstheme="minorHAnsi"/>
          <w:color w:val="000000"/>
          <w:shd w:val="clear" w:color="auto" w:fill="FFFFFF"/>
        </w:rPr>
        <w:t>.</w:t>
      </w:r>
      <w:r w:rsidR="00BA0A00">
        <w:rPr>
          <w:rFonts w:cstheme="minorHAnsi"/>
          <w:color w:val="000000"/>
          <w:shd w:val="clear" w:color="auto" w:fill="FFFFFF"/>
        </w:rPr>
        <w:t xml:space="preserve"> He</w:t>
      </w:r>
      <w:r w:rsidR="005D48FA">
        <w:rPr>
          <w:rFonts w:cstheme="minorHAnsi"/>
        </w:rPr>
        <w:t xml:space="preserve"> </w:t>
      </w:r>
      <w:r w:rsidR="00E4621E">
        <w:rPr>
          <w:rFonts w:cstheme="minorHAnsi"/>
        </w:rPr>
        <w:t>uses p</w:t>
      </w:r>
      <w:r w:rsidR="00E4621E">
        <w:rPr>
          <w:rFonts w:cstheme="minorHAnsi"/>
          <w:color w:val="000000"/>
          <w:shd w:val="clear" w:color="auto" w:fill="FFFFFF"/>
        </w:rPr>
        <w:t xml:space="preserve">rimary sources as evidence for his argument, citing Ptolemy’s Tetrabiblos </w:t>
      </w:r>
      <w:proofErr w:type="gramStart"/>
      <w:r w:rsidR="00E4621E">
        <w:rPr>
          <w:rFonts w:cstheme="minorHAnsi"/>
          <w:color w:val="000000"/>
          <w:shd w:val="clear" w:color="auto" w:fill="FFFFFF"/>
        </w:rPr>
        <w:t>and also</w:t>
      </w:r>
      <w:proofErr w:type="gramEnd"/>
      <w:r w:rsidR="00E4621E">
        <w:rPr>
          <w:rFonts w:cstheme="minorHAnsi"/>
          <w:color w:val="000000"/>
          <w:shd w:val="clear" w:color="auto" w:fill="FFFFFF"/>
        </w:rPr>
        <w:t xml:space="preserve"> the Phaenomena of Aratus of Soli, a popular poem of the time which was cited by Galen in his own work. He notes however that the references made to the poem “are meteorological, and thus belong to the realm of natural astrology”</w:t>
      </w:r>
      <w:r w:rsidR="00E4621E">
        <w:rPr>
          <w:rStyle w:val="FootnoteReference"/>
          <w:rFonts w:cstheme="minorHAnsi"/>
          <w:color w:val="000000"/>
          <w:shd w:val="clear" w:color="auto" w:fill="FFFFFF"/>
        </w:rPr>
        <w:footnoteReference w:id="10"/>
      </w:r>
      <w:r w:rsidR="00E4621E">
        <w:rPr>
          <w:rFonts w:cstheme="minorHAnsi"/>
          <w:color w:val="000000"/>
          <w:shd w:val="clear" w:color="auto" w:fill="FFFFFF"/>
        </w:rPr>
        <w:t xml:space="preserve">. </w:t>
      </w:r>
      <w:r w:rsidR="00D470BB">
        <w:rPr>
          <w:rFonts w:cstheme="minorHAnsi"/>
          <w:color w:val="000000"/>
          <w:shd w:val="clear" w:color="auto" w:fill="FFFFFF"/>
        </w:rPr>
        <w:t xml:space="preserve">He uses an in-depth analysis of Galen’s astrology </w:t>
      </w:r>
      <w:r w:rsidR="005D48FA">
        <w:rPr>
          <w:rFonts w:cstheme="minorHAnsi"/>
          <w:color w:val="000000"/>
          <w:shd w:val="clear" w:color="auto" w:fill="FFFFFF"/>
        </w:rPr>
        <w:t xml:space="preserve">in Critical Days </w:t>
      </w:r>
      <w:r w:rsidR="00D470BB">
        <w:rPr>
          <w:rFonts w:cstheme="minorHAnsi"/>
          <w:color w:val="000000"/>
          <w:shd w:val="clear" w:color="auto" w:fill="FFFFFF"/>
        </w:rPr>
        <w:t>as evidence for his argument that Galen’s use of astrology is superficial, referring for example to “this rudimentary example of judicial astrology”</w:t>
      </w:r>
      <w:r w:rsidR="00D470BB">
        <w:rPr>
          <w:rStyle w:val="FootnoteReference"/>
          <w:rFonts w:cstheme="minorHAnsi"/>
          <w:color w:val="000000"/>
          <w:shd w:val="clear" w:color="auto" w:fill="FFFFFF"/>
        </w:rPr>
        <w:footnoteReference w:id="11"/>
      </w:r>
      <w:r w:rsidR="00D470BB">
        <w:rPr>
          <w:rFonts w:cstheme="minorHAnsi"/>
          <w:color w:val="000000"/>
          <w:shd w:val="clear" w:color="auto" w:fill="FFFFFF"/>
        </w:rPr>
        <w:t xml:space="preserve">. This comment may be seen as exhibiting some bias. </w:t>
      </w:r>
      <w:r w:rsidR="00E4621E">
        <w:rPr>
          <w:rFonts w:cstheme="minorHAnsi"/>
          <w:color w:val="000000"/>
          <w:shd w:val="clear" w:color="auto" w:fill="FFFFFF"/>
        </w:rPr>
        <w:t>He also notes that Galen does not refer to certain astrological technicalities in his work</w:t>
      </w:r>
      <w:r w:rsidR="00814AC5">
        <w:rPr>
          <w:rFonts w:cstheme="minorHAnsi"/>
          <w:color w:val="000000"/>
          <w:shd w:val="clear" w:color="auto" w:fill="FFFFFF"/>
        </w:rPr>
        <w:t>, such as the Ascendant, and concluding that the lack of this technical detail proves that Galen was not an accomplished astrologer. However</w:t>
      </w:r>
      <w:r w:rsidR="00BA0A00">
        <w:rPr>
          <w:rFonts w:cstheme="minorHAnsi"/>
          <w:color w:val="000000"/>
          <w:shd w:val="clear" w:color="auto" w:fill="FFFFFF"/>
        </w:rPr>
        <w:t>,</w:t>
      </w:r>
      <w:r w:rsidR="00814AC5">
        <w:rPr>
          <w:rFonts w:cstheme="minorHAnsi"/>
          <w:color w:val="000000"/>
          <w:shd w:val="clear" w:color="auto" w:fill="FFFFFF"/>
        </w:rPr>
        <w:t xml:space="preserve"> the evidence here seems tenuous and at least partly based on assumption.</w:t>
      </w:r>
    </w:p>
    <w:p w14:paraId="1D6FCE44" w14:textId="77777777" w:rsidR="00BA0A00" w:rsidRDefault="00BA0A00" w:rsidP="00D470BB">
      <w:pPr>
        <w:pStyle w:val="NoSpacing"/>
        <w:rPr>
          <w:rFonts w:cstheme="minorHAnsi"/>
          <w:color w:val="000000"/>
          <w:shd w:val="clear" w:color="auto" w:fill="FFFFFF"/>
        </w:rPr>
      </w:pPr>
    </w:p>
    <w:p w14:paraId="43033B2E" w14:textId="5A1D7EA6" w:rsidR="00BA0A00" w:rsidRDefault="00BA0A00" w:rsidP="00503CC3">
      <w:pPr>
        <w:pStyle w:val="NoSpacing"/>
        <w:ind w:firstLine="720"/>
        <w:rPr>
          <w:rFonts w:cstheme="minorHAnsi"/>
          <w:color w:val="000000"/>
          <w:shd w:val="clear" w:color="auto" w:fill="FFFFFF"/>
        </w:rPr>
      </w:pPr>
      <w:r>
        <w:rPr>
          <w:rFonts w:cstheme="minorHAnsi"/>
          <w:color w:val="000000"/>
          <w:shd w:val="clear" w:color="auto" w:fill="FFFFFF"/>
        </w:rPr>
        <w:t xml:space="preserve">French, on the other hand, explores the </w:t>
      </w:r>
      <w:r w:rsidR="00666F87">
        <w:rPr>
          <w:rFonts w:cstheme="minorHAnsi"/>
          <w:color w:val="000000"/>
          <w:shd w:val="clear" w:color="auto" w:fill="FFFFFF"/>
        </w:rPr>
        <w:t xml:space="preserve">astrological </w:t>
      </w:r>
      <w:r>
        <w:rPr>
          <w:rFonts w:cstheme="minorHAnsi"/>
          <w:color w:val="000000"/>
          <w:shd w:val="clear" w:color="auto" w:fill="FFFFFF"/>
        </w:rPr>
        <w:t xml:space="preserve">work of </w:t>
      </w:r>
      <w:proofErr w:type="spellStart"/>
      <w:r w:rsidR="001F7D78">
        <w:rPr>
          <w:rFonts w:cstheme="minorHAnsi"/>
          <w:color w:val="000000"/>
          <w:shd w:val="clear" w:color="auto" w:fill="FFFFFF"/>
        </w:rPr>
        <w:t>Abū</w:t>
      </w:r>
      <w:proofErr w:type="spellEnd"/>
      <w:r>
        <w:rPr>
          <w:rFonts w:cstheme="minorHAnsi"/>
          <w:color w:val="000000"/>
          <w:shd w:val="clear" w:color="auto" w:fill="FFFFFF"/>
        </w:rPr>
        <w:t xml:space="preserve"> Ma’shar as well as Roger of Hereford. He goes into some depth on Roger of Hereford’s astrological approach, including the way that charts were calculated</w:t>
      </w:r>
      <w:r>
        <w:rPr>
          <w:rStyle w:val="FootnoteReference"/>
          <w:rFonts w:cstheme="minorHAnsi"/>
          <w:color w:val="000000"/>
          <w:shd w:val="clear" w:color="auto" w:fill="FFFFFF"/>
        </w:rPr>
        <w:footnoteReference w:id="12"/>
      </w:r>
      <w:r>
        <w:rPr>
          <w:rFonts w:cstheme="minorHAnsi"/>
          <w:color w:val="000000"/>
          <w:shd w:val="clear" w:color="auto" w:fill="FFFFFF"/>
        </w:rPr>
        <w:t xml:space="preserve"> and the kinds of questions astrology could answer</w:t>
      </w:r>
      <w:r>
        <w:rPr>
          <w:rStyle w:val="FootnoteReference"/>
          <w:rFonts w:cstheme="minorHAnsi"/>
          <w:color w:val="000000"/>
          <w:shd w:val="clear" w:color="auto" w:fill="FFFFFF"/>
        </w:rPr>
        <w:footnoteReference w:id="13"/>
      </w:r>
      <w:r>
        <w:rPr>
          <w:rFonts w:cstheme="minorHAnsi"/>
          <w:color w:val="000000"/>
          <w:shd w:val="clear" w:color="auto" w:fill="FFFFFF"/>
        </w:rPr>
        <w:t>. His paper therefore differs from Co</w:t>
      </w:r>
      <w:r w:rsidR="002C4B00">
        <w:rPr>
          <w:rFonts w:cstheme="minorHAnsi"/>
          <w:color w:val="000000"/>
          <w:shd w:val="clear" w:color="auto" w:fill="FFFFFF"/>
        </w:rPr>
        <w:t>o</w:t>
      </w:r>
      <w:r>
        <w:rPr>
          <w:rFonts w:cstheme="minorHAnsi"/>
          <w:color w:val="000000"/>
          <w:shd w:val="clear" w:color="auto" w:fill="FFFFFF"/>
        </w:rPr>
        <w:t xml:space="preserve">per’s in that a considerable amount of </w:t>
      </w:r>
      <w:r w:rsidR="002C4B00">
        <w:rPr>
          <w:rFonts w:cstheme="minorHAnsi"/>
          <w:color w:val="000000"/>
          <w:shd w:val="clear" w:color="auto" w:fill="FFFFFF"/>
        </w:rPr>
        <w:t>space</w:t>
      </w:r>
      <w:r>
        <w:rPr>
          <w:rFonts w:cstheme="minorHAnsi"/>
          <w:color w:val="000000"/>
          <w:shd w:val="clear" w:color="auto" w:fill="FFFFFF"/>
        </w:rPr>
        <w:t xml:space="preserve"> is devoted to astrology</w:t>
      </w:r>
      <w:r w:rsidR="002C4B00">
        <w:rPr>
          <w:rFonts w:cstheme="minorHAnsi"/>
          <w:color w:val="000000"/>
          <w:shd w:val="clear" w:color="auto" w:fill="FFFFFF"/>
        </w:rPr>
        <w:t xml:space="preserve"> more </w:t>
      </w:r>
      <w:r w:rsidR="002C4B00">
        <w:rPr>
          <w:rFonts w:cstheme="minorHAnsi"/>
          <w:color w:val="000000"/>
          <w:shd w:val="clear" w:color="auto" w:fill="FFFFFF"/>
        </w:rPr>
        <w:lastRenderedPageBreak/>
        <w:t>generally</w:t>
      </w:r>
      <w:r>
        <w:rPr>
          <w:rFonts w:cstheme="minorHAnsi"/>
          <w:color w:val="000000"/>
          <w:shd w:val="clear" w:color="auto" w:fill="FFFFFF"/>
        </w:rPr>
        <w:t>, whereas Co</w:t>
      </w:r>
      <w:r w:rsidR="002C4B00">
        <w:rPr>
          <w:rFonts w:cstheme="minorHAnsi"/>
          <w:color w:val="000000"/>
          <w:shd w:val="clear" w:color="auto" w:fill="FFFFFF"/>
        </w:rPr>
        <w:t>op</w:t>
      </w:r>
      <w:r>
        <w:rPr>
          <w:rFonts w:cstheme="minorHAnsi"/>
          <w:color w:val="000000"/>
          <w:shd w:val="clear" w:color="auto" w:fill="FFFFFF"/>
        </w:rPr>
        <w:t>er focuses on astrology in a very specific way as it is used in Galen’s Critical Days.</w:t>
      </w:r>
      <w:r w:rsidR="002C4B00">
        <w:rPr>
          <w:rFonts w:cstheme="minorHAnsi"/>
          <w:color w:val="000000"/>
          <w:shd w:val="clear" w:color="auto" w:fill="FFFFFF"/>
        </w:rPr>
        <w:t xml:space="preserve"> Whilst this is in keeping with each author’s stated thesis, it can be argued that French could make his point without going into so much astrological detail.</w:t>
      </w:r>
    </w:p>
    <w:p w14:paraId="6A01E680" w14:textId="77777777" w:rsidR="00BA0A00" w:rsidRDefault="00BA0A00" w:rsidP="00D470BB">
      <w:pPr>
        <w:pStyle w:val="Heading3"/>
        <w:rPr>
          <w:shd w:val="clear" w:color="auto" w:fill="FFFFFF"/>
        </w:rPr>
      </w:pPr>
    </w:p>
    <w:p w14:paraId="7AB8BF6A" w14:textId="00C03D72" w:rsidR="00D470BB" w:rsidRDefault="00D470BB" w:rsidP="00D470BB">
      <w:pPr>
        <w:pStyle w:val="Heading3"/>
        <w:rPr>
          <w:shd w:val="clear" w:color="auto" w:fill="FFFFFF"/>
        </w:rPr>
      </w:pPr>
      <w:r>
        <w:rPr>
          <w:shd w:val="clear" w:color="auto" w:fill="FFFFFF"/>
        </w:rPr>
        <w:t>Astrology and Medicine</w:t>
      </w:r>
    </w:p>
    <w:p w14:paraId="00F7B343" w14:textId="77777777" w:rsidR="00620876" w:rsidRDefault="00620876" w:rsidP="007A435D">
      <w:pPr>
        <w:pStyle w:val="NoSpacing"/>
        <w:rPr>
          <w:rFonts w:cstheme="minorHAnsi"/>
          <w:color w:val="000000"/>
          <w:shd w:val="clear" w:color="auto" w:fill="FFFFFF"/>
        </w:rPr>
      </w:pPr>
    </w:p>
    <w:p w14:paraId="71DA6522" w14:textId="45571611" w:rsidR="000D779C" w:rsidRDefault="009926A0" w:rsidP="00503CC3">
      <w:pPr>
        <w:pStyle w:val="NoSpacing"/>
        <w:ind w:firstLine="720"/>
        <w:rPr>
          <w:rFonts w:cstheme="minorHAnsi"/>
          <w:color w:val="000000"/>
          <w:shd w:val="clear" w:color="auto" w:fill="FFFFFF"/>
        </w:rPr>
      </w:pPr>
      <w:r>
        <w:rPr>
          <w:rFonts w:cstheme="minorHAnsi"/>
        </w:rPr>
        <w:t xml:space="preserve">Both papers deal with the intersection of astrology and medicine, exploring the role of astrology in the medical practice of the time and specifically the use of astrology as an aid to prognostication. </w:t>
      </w:r>
      <w:r w:rsidR="000D779C">
        <w:rPr>
          <w:rFonts w:cstheme="minorHAnsi"/>
          <w:color w:val="000000"/>
          <w:shd w:val="clear" w:color="auto" w:fill="FFFFFF"/>
        </w:rPr>
        <w:t>Cooper notes the close connection between astrology and medicine “since both were closely tied to cosmologies that rendered prognosis possible”</w:t>
      </w:r>
      <w:r w:rsidR="000D779C">
        <w:rPr>
          <w:rStyle w:val="FootnoteReference"/>
          <w:rFonts w:cstheme="minorHAnsi"/>
          <w:color w:val="000000"/>
          <w:shd w:val="clear" w:color="auto" w:fill="FFFFFF"/>
        </w:rPr>
        <w:footnoteReference w:id="14"/>
      </w:r>
      <w:r w:rsidR="000D779C">
        <w:rPr>
          <w:rFonts w:cstheme="minorHAnsi"/>
          <w:color w:val="000000"/>
          <w:shd w:val="clear" w:color="auto" w:fill="FFFFFF"/>
        </w:rPr>
        <w:t xml:space="preserve">. Likewise French </w:t>
      </w:r>
      <w:r w:rsidR="00814AC5">
        <w:rPr>
          <w:rFonts w:cstheme="minorHAnsi"/>
          <w:color w:val="000000"/>
          <w:shd w:val="clear" w:color="auto" w:fill="FFFFFF"/>
        </w:rPr>
        <w:t>notes</w:t>
      </w:r>
      <w:r w:rsidR="000D779C">
        <w:rPr>
          <w:rFonts w:cstheme="minorHAnsi"/>
          <w:color w:val="000000"/>
          <w:shd w:val="clear" w:color="auto" w:fill="FFFFFF"/>
        </w:rPr>
        <w:t xml:space="preserve"> that “the new Arabic astrology offered a technical apparatus that could extend the doctor’s powers of prognostication”</w:t>
      </w:r>
      <w:r w:rsidR="000D779C">
        <w:rPr>
          <w:rStyle w:val="FootnoteReference"/>
          <w:rFonts w:cstheme="minorHAnsi"/>
          <w:color w:val="000000"/>
          <w:shd w:val="clear" w:color="auto" w:fill="FFFFFF"/>
        </w:rPr>
        <w:footnoteReference w:id="15"/>
      </w:r>
      <w:r w:rsidR="000D779C">
        <w:rPr>
          <w:rFonts w:cstheme="minorHAnsi"/>
          <w:color w:val="000000"/>
          <w:shd w:val="clear" w:color="auto" w:fill="FFFFFF"/>
        </w:rPr>
        <w:t>.</w:t>
      </w:r>
    </w:p>
    <w:p w14:paraId="58DAD2B6" w14:textId="77777777" w:rsidR="000D779C" w:rsidRDefault="000D779C" w:rsidP="007A435D">
      <w:pPr>
        <w:pStyle w:val="NoSpacing"/>
        <w:rPr>
          <w:rFonts w:cstheme="minorHAnsi"/>
          <w:color w:val="000000"/>
          <w:shd w:val="clear" w:color="auto" w:fill="FFFFFF"/>
        </w:rPr>
      </w:pPr>
    </w:p>
    <w:p w14:paraId="7FA6C889" w14:textId="6758B85A" w:rsidR="00620876" w:rsidRDefault="00620876" w:rsidP="00503CC3">
      <w:pPr>
        <w:pStyle w:val="NoSpacing"/>
        <w:ind w:firstLine="720"/>
        <w:rPr>
          <w:rFonts w:cstheme="minorHAnsi"/>
          <w:color w:val="000000"/>
          <w:shd w:val="clear" w:color="auto" w:fill="FFFFFF"/>
        </w:rPr>
      </w:pPr>
      <w:r>
        <w:rPr>
          <w:rFonts w:cstheme="minorHAnsi"/>
          <w:color w:val="000000"/>
          <w:shd w:val="clear" w:color="auto" w:fill="FFFFFF"/>
        </w:rPr>
        <w:t>Cooper s</w:t>
      </w:r>
      <w:r w:rsidR="00F615F1">
        <w:rPr>
          <w:rFonts w:cstheme="minorHAnsi"/>
          <w:color w:val="000000"/>
          <w:shd w:val="clear" w:color="auto" w:fill="FFFFFF"/>
        </w:rPr>
        <w:t>tates his thesis that astrology is less relevant than previous scholars have suggested in Galen’s work, then questions why it is there at all, concluding that it is “for its persuasive value”</w:t>
      </w:r>
      <w:r w:rsidR="00F615F1">
        <w:rPr>
          <w:rStyle w:val="FootnoteReference"/>
          <w:rFonts w:cstheme="minorHAnsi"/>
          <w:color w:val="000000"/>
          <w:shd w:val="clear" w:color="auto" w:fill="FFFFFF"/>
        </w:rPr>
        <w:footnoteReference w:id="16"/>
      </w:r>
      <w:r w:rsidR="00F615F1">
        <w:rPr>
          <w:rFonts w:cstheme="minorHAnsi"/>
          <w:color w:val="000000"/>
          <w:shd w:val="clear" w:color="auto" w:fill="FFFFFF"/>
        </w:rPr>
        <w:t xml:space="preserve">. </w:t>
      </w:r>
      <w:r w:rsidR="00E4621E">
        <w:rPr>
          <w:rFonts w:cstheme="minorHAnsi"/>
          <w:color w:val="000000"/>
          <w:shd w:val="clear" w:color="auto" w:fill="FFFFFF"/>
        </w:rPr>
        <w:t xml:space="preserve">In the same vein, </w:t>
      </w:r>
      <w:r>
        <w:rPr>
          <w:rFonts w:cstheme="minorHAnsi"/>
          <w:color w:val="000000"/>
          <w:shd w:val="clear" w:color="auto" w:fill="FFFFFF"/>
        </w:rPr>
        <w:t>French cites the Hippocratic Prognosis as mentioning ‘the “glory” that follows successful prognostication’</w:t>
      </w:r>
      <w:r>
        <w:rPr>
          <w:rStyle w:val="FootnoteReference"/>
          <w:rFonts w:cstheme="minorHAnsi"/>
          <w:color w:val="000000"/>
          <w:shd w:val="clear" w:color="auto" w:fill="FFFFFF"/>
        </w:rPr>
        <w:footnoteReference w:id="17"/>
      </w:r>
      <w:r>
        <w:rPr>
          <w:rFonts w:cstheme="minorHAnsi"/>
          <w:color w:val="000000"/>
          <w:shd w:val="clear" w:color="auto" w:fill="FFFFFF"/>
        </w:rPr>
        <w:t>. However</w:t>
      </w:r>
      <w:r w:rsidR="00F615F1">
        <w:rPr>
          <w:rFonts w:cstheme="minorHAnsi"/>
          <w:color w:val="000000"/>
          <w:shd w:val="clear" w:color="auto" w:fill="FFFFFF"/>
        </w:rPr>
        <w:t>,</w:t>
      </w:r>
      <w:r>
        <w:rPr>
          <w:rFonts w:cstheme="minorHAnsi"/>
          <w:color w:val="000000"/>
          <w:shd w:val="clear" w:color="auto" w:fill="FFFFFF"/>
        </w:rPr>
        <w:t xml:space="preserve"> whilst Cooper sees this use of what he refers to as “rhetoric” as unnecessary, French takes the approach that this desire for glory was what made enhancing prediction using astrology attractive to medieval physicians, noting that they believed it to be “a superior kind of knowledge”</w:t>
      </w:r>
      <w:r>
        <w:rPr>
          <w:rStyle w:val="FootnoteReference"/>
          <w:rFonts w:cstheme="minorHAnsi"/>
          <w:color w:val="000000"/>
          <w:shd w:val="clear" w:color="auto" w:fill="FFFFFF"/>
        </w:rPr>
        <w:footnoteReference w:id="18"/>
      </w:r>
      <w:r>
        <w:rPr>
          <w:rFonts w:cstheme="minorHAnsi"/>
          <w:color w:val="000000"/>
          <w:shd w:val="clear" w:color="auto" w:fill="FFFFFF"/>
        </w:rPr>
        <w:t>.</w:t>
      </w:r>
      <w:r w:rsidR="00F615F1">
        <w:rPr>
          <w:rFonts w:cstheme="minorHAnsi"/>
          <w:color w:val="000000"/>
          <w:shd w:val="clear" w:color="auto" w:fill="FFFFFF"/>
        </w:rPr>
        <w:t xml:space="preserve"> </w:t>
      </w:r>
    </w:p>
    <w:p w14:paraId="367E5784" w14:textId="77777777" w:rsidR="000E59BF" w:rsidRDefault="000E59BF" w:rsidP="007A435D">
      <w:pPr>
        <w:pStyle w:val="NoSpacing"/>
        <w:rPr>
          <w:rFonts w:cstheme="minorHAnsi"/>
          <w:color w:val="000000"/>
          <w:shd w:val="clear" w:color="auto" w:fill="FFFFFF"/>
        </w:rPr>
      </w:pPr>
    </w:p>
    <w:p w14:paraId="142BD1CC" w14:textId="05B881A4" w:rsidR="00F13ADE" w:rsidRDefault="000E59BF" w:rsidP="00503CC3">
      <w:pPr>
        <w:pStyle w:val="NoSpacing"/>
        <w:ind w:firstLine="720"/>
        <w:rPr>
          <w:rFonts w:cstheme="minorHAnsi"/>
          <w:color w:val="000000"/>
          <w:shd w:val="clear" w:color="auto" w:fill="FFFFFF"/>
        </w:rPr>
      </w:pPr>
      <w:r>
        <w:rPr>
          <w:rFonts w:cstheme="minorHAnsi"/>
          <w:color w:val="000000"/>
          <w:shd w:val="clear" w:color="auto" w:fill="FFFFFF"/>
        </w:rPr>
        <w:t>French’s argument that a connection with the “nobility of the study of the stars”</w:t>
      </w:r>
      <w:r>
        <w:rPr>
          <w:rStyle w:val="FootnoteReference"/>
          <w:rFonts w:cstheme="minorHAnsi"/>
          <w:color w:val="000000"/>
          <w:shd w:val="clear" w:color="auto" w:fill="FFFFFF"/>
        </w:rPr>
        <w:footnoteReference w:id="19"/>
      </w:r>
      <w:r>
        <w:rPr>
          <w:rFonts w:cstheme="minorHAnsi"/>
          <w:color w:val="000000"/>
          <w:shd w:val="clear" w:color="auto" w:fill="FFFFFF"/>
        </w:rPr>
        <w:t xml:space="preserve"> </w:t>
      </w:r>
      <w:r w:rsidR="00F13ADE">
        <w:rPr>
          <w:rFonts w:cstheme="minorHAnsi"/>
          <w:color w:val="000000"/>
          <w:shd w:val="clear" w:color="auto" w:fill="FFFFFF"/>
        </w:rPr>
        <w:t xml:space="preserve">is a helpful in medical practice </w:t>
      </w:r>
      <w:r>
        <w:rPr>
          <w:rFonts w:cstheme="minorHAnsi"/>
          <w:color w:val="000000"/>
          <w:shd w:val="clear" w:color="auto" w:fill="FFFFFF"/>
        </w:rPr>
        <w:t xml:space="preserve">is the obvious counterargument to Cooper’s point that Galen is using astrology in a superficial way </w:t>
      </w:r>
      <w:r w:rsidR="00E4621E">
        <w:rPr>
          <w:rFonts w:cstheme="minorHAnsi"/>
          <w:color w:val="000000"/>
          <w:shd w:val="clear" w:color="auto" w:fill="FFFFFF"/>
        </w:rPr>
        <w:t xml:space="preserve">merely </w:t>
      </w:r>
      <w:r>
        <w:rPr>
          <w:rFonts w:cstheme="minorHAnsi"/>
          <w:color w:val="000000"/>
          <w:shd w:val="clear" w:color="auto" w:fill="FFFFFF"/>
        </w:rPr>
        <w:t xml:space="preserve">to enhance his own standing. Van Nuffelen has suggested, for example, that Galen </w:t>
      </w:r>
      <w:r w:rsidR="00F13ADE">
        <w:rPr>
          <w:rFonts w:cstheme="minorHAnsi"/>
          <w:color w:val="000000"/>
          <w:shd w:val="clear" w:color="auto" w:fill="FFFFFF"/>
        </w:rPr>
        <w:t>uses magic or divination more broadly in his work, citing as French does the Prognostic of Hippocrates and the importance of prognostication in medical practice</w:t>
      </w:r>
      <w:r w:rsidR="00F13ADE">
        <w:rPr>
          <w:rStyle w:val="FootnoteReference"/>
          <w:rFonts w:cstheme="minorHAnsi"/>
          <w:color w:val="000000"/>
          <w:shd w:val="clear" w:color="auto" w:fill="FFFFFF"/>
        </w:rPr>
        <w:footnoteReference w:id="20"/>
      </w:r>
      <w:r w:rsidR="00F13ADE">
        <w:rPr>
          <w:rFonts w:cstheme="minorHAnsi"/>
          <w:color w:val="000000"/>
          <w:shd w:val="clear" w:color="auto" w:fill="FFFFFF"/>
        </w:rPr>
        <w:t>. He suggests that Galen has a “tendency to enjoy the reputation of being a prophet or diviner” which shows that he has “perfected the art of prognosis and hence is the ultimate doctor”</w:t>
      </w:r>
      <w:r w:rsidR="00F13ADE">
        <w:rPr>
          <w:rStyle w:val="FootnoteReference"/>
          <w:rFonts w:cstheme="minorHAnsi"/>
          <w:color w:val="000000"/>
          <w:shd w:val="clear" w:color="auto" w:fill="FFFFFF"/>
        </w:rPr>
        <w:footnoteReference w:id="21"/>
      </w:r>
      <w:r w:rsidR="00F13ADE">
        <w:rPr>
          <w:rFonts w:cstheme="minorHAnsi"/>
          <w:color w:val="000000"/>
          <w:shd w:val="clear" w:color="auto" w:fill="FFFFFF"/>
        </w:rPr>
        <w:t xml:space="preserve">. </w:t>
      </w:r>
      <w:r w:rsidR="002A5BAC">
        <w:rPr>
          <w:rFonts w:cstheme="minorHAnsi"/>
          <w:color w:val="000000"/>
          <w:shd w:val="clear" w:color="auto" w:fill="FFFFFF"/>
        </w:rPr>
        <w:t xml:space="preserve">That Cooper does not include this opposing viewpoint may </w:t>
      </w:r>
      <w:r w:rsidR="00E4621E">
        <w:rPr>
          <w:rFonts w:cstheme="minorHAnsi"/>
          <w:color w:val="000000"/>
          <w:shd w:val="clear" w:color="auto" w:fill="FFFFFF"/>
        </w:rPr>
        <w:t>again hint at</w:t>
      </w:r>
      <w:r w:rsidR="002A5BAC">
        <w:rPr>
          <w:rFonts w:cstheme="minorHAnsi"/>
          <w:color w:val="000000"/>
          <w:shd w:val="clear" w:color="auto" w:fill="FFFFFF"/>
        </w:rPr>
        <w:t xml:space="preserve"> a bias </w:t>
      </w:r>
      <w:r w:rsidR="008E3B54">
        <w:rPr>
          <w:rFonts w:cstheme="minorHAnsi"/>
          <w:color w:val="000000"/>
          <w:shd w:val="clear" w:color="auto" w:fill="FFFFFF"/>
        </w:rPr>
        <w:t xml:space="preserve">towards a modern scientific paradigm, suggesting that he exhibits the tendency noted by Thorndike of historians of science </w:t>
      </w:r>
      <w:r w:rsidR="00B035DE">
        <w:rPr>
          <w:rFonts w:cstheme="minorHAnsi"/>
          <w:color w:val="000000"/>
          <w:shd w:val="clear" w:color="auto" w:fill="FFFFFF"/>
        </w:rPr>
        <w:t>who</w:t>
      </w:r>
      <w:r w:rsidR="008E3B54">
        <w:rPr>
          <w:rFonts w:cstheme="minorHAnsi"/>
          <w:color w:val="000000"/>
          <w:shd w:val="clear" w:color="auto" w:fill="FFFFFF"/>
        </w:rPr>
        <w:t xml:space="preserve"> </w:t>
      </w:r>
      <w:r w:rsidR="008E3B54" w:rsidRPr="0017432F">
        <w:rPr>
          <w:rFonts w:cstheme="minorHAnsi"/>
          <w:color w:val="000000"/>
          <w:shd w:val="clear" w:color="auto" w:fill="FFFFFF"/>
        </w:rPr>
        <w:t xml:space="preserve">seek </w:t>
      </w:r>
      <w:r w:rsidR="008E3B54">
        <w:rPr>
          <w:rFonts w:cstheme="minorHAnsi"/>
          <w:color w:val="000000"/>
          <w:shd w:val="clear" w:color="auto" w:fill="FFFFFF"/>
        </w:rPr>
        <w:t>to “</w:t>
      </w:r>
      <w:r w:rsidR="008E3B54" w:rsidRPr="0017432F">
        <w:rPr>
          <w:color w:val="000000"/>
        </w:rPr>
        <w:t xml:space="preserve">keep the reputations of the great men of the past free from all </w:t>
      </w:r>
      <w:proofErr w:type="gramStart"/>
      <w:r w:rsidR="008E3B54" w:rsidRPr="0017432F">
        <w:rPr>
          <w:color w:val="000000"/>
        </w:rPr>
        <w:t>smudge</w:t>
      </w:r>
      <w:proofErr w:type="gramEnd"/>
      <w:r w:rsidR="008E3B54" w:rsidRPr="0017432F">
        <w:rPr>
          <w:color w:val="000000"/>
        </w:rPr>
        <w:t xml:space="preserve"> of superstition</w:t>
      </w:r>
      <w:r w:rsidR="008E3B54">
        <w:rPr>
          <w:color w:val="000000"/>
        </w:rPr>
        <w:t>”</w:t>
      </w:r>
      <w:r w:rsidR="008E3B54">
        <w:rPr>
          <w:rStyle w:val="FootnoteReference"/>
          <w:color w:val="000000"/>
        </w:rPr>
        <w:footnoteReference w:id="22"/>
      </w:r>
      <w:r w:rsidR="008E3B54">
        <w:rPr>
          <w:color w:val="000000"/>
        </w:rPr>
        <w:t>.</w:t>
      </w:r>
    </w:p>
    <w:p w14:paraId="3D50AE46" w14:textId="77777777" w:rsidR="007F22B7" w:rsidRDefault="007F22B7" w:rsidP="006D1179">
      <w:pPr>
        <w:pStyle w:val="NoSpacing"/>
        <w:rPr>
          <w:rFonts w:cstheme="minorHAnsi"/>
          <w:color w:val="000000"/>
          <w:shd w:val="clear" w:color="auto" w:fill="FFFFFF"/>
        </w:rPr>
      </w:pPr>
    </w:p>
    <w:p w14:paraId="2DB5062D" w14:textId="50994E86" w:rsidR="0006467F" w:rsidRDefault="00235C45" w:rsidP="00503CC3">
      <w:pPr>
        <w:pStyle w:val="NoSpacing"/>
        <w:ind w:firstLine="720"/>
        <w:rPr>
          <w:rFonts w:cstheme="minorHAnsi"/>
          <w:color w:val="000000"/>
          <w:shd w:val="clear" w:color="auto" w:fill="FFFFFF"/>
        </w:rPr>
      </w:pPr>
      <w:r>
        <w:rPr>
          <w:rFonts w:cstheme="minorHAnsi"/>
          <w:color w:val="000000"/>
          <w:shd w:val="clear" w:color="auto" w:fill="FFFFFF"/>
        </w:rPr>
        <w:t xml:space="preserve">French gives in depth descriptions of </w:t>
      </w:r>
      <w:r w:rsidR="007F22B7">
        <w:rPr>
          <w:rFonts w:cstheme="minorHAnsi"/>
          <w:color w:val="000000"/>
          <w:shd w:val="clear" w:color="auto" w:fill="FFFFFF"/>
        </w:rPr>
        <w:t>R</w:t>
      </w:r>
      <w:r>
        <w:rPr>
          <w:rFonts w:cstheme="minorHAnsi"/>
          <w:color w:val="000000"/>
          <w:shd w:val="clear" w:color="auto" w:fill="FFFFFF"/>
        </w:rPr>
        <w:t>oger of Hereford’s astrological knowledge and techniques as a way of showing how these techniques could be useful in medicine. For example, he explains how Roger links the planets and signs of astrology to the human body in a way “that was clearly useful to the medical men”.</w:t>
      </w:r>
      <w:r>
        <w:rPr>
          <w:rStyle w:val="FootnoteReference"/>
          <w:rFonts w:cstheme="minorHAnsi"/>
          <w:color w:val="000000"/>
          <w:shd w:val="clear" w:color="auto" w:fill="FFFFFF"/>
        </w:rPr>
        <w:footnoteReference w:id="23"/>
      </w:r>
      <w:r w:rsidR="007F22B7">
        <w:rPr>
          <w:rFonts w:cstheme="minorHAnsi"/>
          <w:color w:val="000000"/>
          <w:shd w:val="clear" w:color="auto" w:fill="FFFFFF"/>
        </w:rPr>
        <w:t xml:space="preserve"> However</w:t>
      </w:r>
      <w:r w:rsidR="002C4B00">
        <w:rPr>
          <w:rFonts w:cstheme="minorHAnsi"/>
          <w:color w:val="000000"/>
          <w:shd w:val="clear" w:color="auto" w:fill="FFFFFF"/>
        </w:rPr>
        <w:t xml:space="preserve"> again</w:t>
      </w:r>
      <w:r w:rsidR="007F22B7">
        <w:rPr>
          <w:rFonts w:cstheme="minorHAnsi"/>
          <w:color w:val="000000"/>
          <w:shd w:val="clear" w:color="auto" w:fill="FFFFFF"/>
        </w:rPr>
        <w:t xml:space="preserve"> it may be argued that several pages of astrological detail are not necessary to make the point, which could have been summarised more succinctly by the author.</w:t>
      </w:r>
    </w:p>
    <w:p w14:paraId="70DCFB24" w14:textId="77777777" w:rsidR="007F22B7" w:rsidRDefault="007F22B7" w:rsidP="006D1179">
      <w:pPr>
        <w:pStyle w:val="NoSpacing"/>
        <w:rPr>
          <w:rFonts w:cstheme="minorHAnsi"/>
          <w:color w:val="000000"/>
          <w:shd w:val="clear" w:color="auto" w:fill="FFFFFF"/>
        </w:rPr>
      </w:pPr>
    </w:p>
    <w:p w14:paraId="26CA1A4B" w14:textId="1FB98F4B" w:rsidR="00AF4265" w:rsidRPr="00AF4265" w:rsidRDefault="00562B27" w:rsidP="00AF4265">
      <w:pPr>
        <w:pStyle w:val="Heading3"/>
        <w:rPr>
          <w:shd w:val="clear" w:color="auto" w:fill="FFFFFF"/>
        </w:rPr>
      </w:pPr>
      <w:r>
        <w:rPr>
          <w:shd w:val="clear" w:color="auto" w:fill="FFFFFF"/>
        </w:rPr>
        <w:t xml:space="preserve">Astrology </w:t>
      </w:r>
      <w:r w:rsidR="00AF4265">
        <w:rPr>
          <w:shd w:val="clear" w:color="auto" w:fill="FFFFFF"/>
        </w:rPr>
        <w:t>as Rational or Divine Knowledge</w:t>
      </w:r>
    </w:p>
    <w:p w14:paraId="4971C8B6" w14:textId="77777777" w:rsidR="00B1071D" w:rsidRDefault="00B1071D" w:rsidP="006D1179">
      <w:pPr>
        <w:pStyle w:val="NoSpacing"/>
        <w:rPr>
          <w:rFonts w:cstheme="minorHAnsi"/>
          <w:color w:val="000000"/>
          <w:shd w:val="clear" w:color="auto" w:fill="FFFFFF"/>
        </w:rPr>
      </w:pPr>
    </w:p>
    <w:p w14:paraId="736E4A6D" w14:textId="2EDE3032" w:rsidR="00AF4265" w:rsidRDefault="008A3F57" w:rsidP="00666F87">
      <w:pPr>
        <w:pStyle w:val="NoSpacing"/>
        <w:ind w:firstLine="720"/>
        <w:rPr>
          <w:rFonts w:cstheme="minorHAnsi"/>
          <w:color w:val="000000"/>
          <w:shd w:val="clear" w:color="auto" w:fill="FFFFFF"/>
        </w:rPr>
      </w:pPr>
      <w:r>
        <w:rPr>
          <w:rFonts w:cstheme="minorHAnsi"/>
          <w:color w:val="000000"/>
          <w:shd w:val="clear" w:color="auto" w:fill="FFFFFF"/>
        </w:rPr>
        <w:t>Another similarity between both papers is a subtext considering the role of astrology in the intellectual context of the time they are writing about and by extension of the time in which they are writing. B</w:t>
      </w:r>
      <w:r w:rsidR="00AF4265">
        <w:rPr>
          <w:rFonts w:cstheme="minorHAnsi"/>
          <w:color w:val="000000"/>
          <w:shd w:val="clear" w:color="auto" w:fill="FFFFFF"/>
        </w:rPr>
        <w:t xml:space="preserve">oth papers can therefore be seen as part of an ongoing discussion around the difference between divine and human knowledge, as delineated for example by Alexander </w:t>
      </w:r>
      <w:proofErr w:type="spellStart"/>
      <w:r w:rsidR="00AF4265">
        <w:rPr>
          <w:rFonts w:cstheme="minorHAnsi"/>
          <w:color w:val="000000"/>
          <w:shd w:val="clear" w:color="auto" w:fill="FFFFFF"/>
        </w:rPr>
        <w:t>Fidora</w:t>
      </w:r>
      <w:proofErr w:type="spellEnd"/>
      <w:r w:rsidR="00666F87">
        <w:rPr>
          <w:rFonts w:cstheme="minorHAnsi"/>
          <w:color w:val="000000"/>
          <w:shd w:val="clear" w:color="auto" w:fill="FFFFFF"/>
        </w:rPr>
        <w:t>, who notes that “a</w:t>
      </w:r>
      <w:r w:rsidR="00666F87" w:rsidRPr="00AF4265">
        <w:rPr>
          <w:rFonts w:cstheme="minorHAnsi"/>
          <w:color w:val="000000"/>
          <w:shd w:val="clear" w:color="auto" w:fill="FFFFFF"/>
        </w:rPr>
        <w:t>strolo</w:t>
      </w:r>
      <w:r w:rsidR="00666F87">
        <w:rPr>
          <w:rFonts w:cstheme="minorHAnsi"/>
          <w:color w:val="000000"/>
          <w:shd w:val="clear" w:color="auto" w:fill="FFFFFF"/>
        </w:rPr>
        <w:t xml:space="preserve">gers claim for </w:t>
      </w:r>
      <w:r w:rsidR="00666F87" w:rsidRPr="00AF4265">
        <w:rPr>
          <w:rFonts w:cstheme="minorHAnsi"/>
          <w:color w:val="000000"/>
          <w:shd w:val="clear" w:color="auto" w:fill="FFFFFF"/>
        </w:rPr>
        <w:t>their predictions a status of knowledge that, they allege, p</w:t>
      </w:r>
      <w:r w:rsidR="00666F87">
        <w:rPr>
          <w:rFonts w:cstheme="minorHAnsi"/>
          <w:color w:val="000000"/>
          <w:shd w:val="clear" w:color="auto" w:fill="FFFFFF"/>
        </w:rPr>
        <w:t xml:space="preserve">artakes in the </w:t>
      </w:r>
      <w:r w:rsidR="00666F87" w:rsidRPr="00AF4265">
        <w:rPr>
          <w:rFonts w:cstheme="minorHAnsi"/>
          <w:color w:val="000000"/>
          <w:shd w:val="clear" w:color="auto" w:fill="FFFFFF"/>
        </w:rPr>
        <w:t>knowledge of God, which elevates it above th</w:t>
      </w:r>
      <w:r w:rsidR="00666F87">
        <w:rPr>
          <w:rFonts w:cstheme="minorHAnsi"/>
          <w:color w:val="000000"/>
          <w:shd w:val="clear" w:color="auto" w:fill="FFFFFF"/>
        </w:rPr>
        <w:t>e limits of natural knowledge”</w:t>
      </w:r>
      <w:r w:rsidR="00AF4265">
        <w:rPr>
          <w:rStyle w:val="FootnoteReference"/>
          <w:rFonts w:cstheme="minorHAnsi"/>
          <w:color w:val="000000"/>
          <w:shd w:val="clear" w:color="auto" w:fill="FFFFFF"/>
        </w:rPr>
        <w:footnoteReference w:id="24"/>
      </w:r>
      <w:r w:rsidR="00666F87">
        <w:rPr>
          <w:rFonts w:cstheme="minorHAnsi"/>
          <w:color w:val="000000"/>
          <w:shd w:val="clear" w:color="auto" w:fill="FFFFFF"/>
        </w:rPr>
        <w:t>.</w:t>
      </w:r>
    </w:p>
    <w:p w14:paraId="65217CC6" w14:textId="77777777" w:rsidR="00B74D60" w:rsidRDefault="00B74D60" w:rsidP="00503CC3">
      <w:pPr>
        <w:pStyle w:val="NoSpacing"/>
        <w:ind w:firstLine="720"/>
        <w:rPr>
          <w:rFonts w:cstheme="minorHAnsi"/>
          <w:color w:val="000000"/>
          <w:shd w:val="clear" w:color="auto" w:fill="FFFFFF"/>
        </w:rPr>
      </w:pPr>
    </w:p>
    <w:p w14:paraId="7AF39285" w14:textId="77777777" w:rsidR="008A3F57" w:rsidRDefault="00814AC5" w:rsidP="00B74D60">
      <w:pPr>
        <w:pStyle w:val="NoSpacing"/>
        <w:ind w:firstLine="720"/>
        <w:rPr>
          <w:rFonts w:cstheme="minorHAnsi"/>
          <w:color w:val="000000"/>
          <w:shd w:val="clear" w:color="auto" w:fill="FFFFFF"/>
        </w:rPr>
      </w:pPr>
      <w:r>
        <w:rPr>
          <w:rFonts w:cstheme="minorHAnsi"/>
          <w:color w:val="000000"/>
          <w:shd w:val="clear" w:color="auto" w:fill="FFFFFF"/>
        </w:rPr>
        <w:t>Cooper especially seems keen to establish scientific credentials for Galen according to</w:t>
      </w:r>
      <w:r w:rsidR="008A3F57">
        <w:rPr>
          <w:rFonts w:cstheme="minorHAnsi"/>
          <w:color w:val="000000"/>
          <w:shd w:val="clear" w:color="auto" w:fill="FFFFFF"/>
        </w:rPr>
        <w:t xml:space="preserve"> what may be seen as the</w:t>
      </w:r>
      <w:r>
        <w:rPr>
          <w:rFonts w:cstheme="minorHAnsi"/>
          <w:color w:val="000000"/>
          <w:shd w:val="clear" w:color="auto" w:fill="FFFFFF"/>
        </w:rPr>
        <w:t xml:space="preserve"> current model, seeing astrology as a distraction</w:t>
      </w:r>
      <w:r w:rsidR="008A3F57">
        <w:rPr>
          <w:rFonts w:cstheme="minorHAnsi"/>
          <w:color w:val="000000"/>
          <w:shd w:val="clear" w:color="auto" w:fill="FFFFFF"/>
        </w:rPr>
        <w:t xml:space="preserve"> from rational, scientific knowledge</w:t>
      </w:r>
      <w:r>
        <w:rPr>
          <w:rFonts w:cstheme="minorHAnsi"/>
          <w:color w:val="000000"/>
          <w:shd w:val="clear" w:color="auto" w:fill="FFFFFF"/>
        </w:rPr>
        <w:t>.</w:t>
      </w:r>
      <w:r w:rsidR="00503CC3">
        <w:rPr>
          <w:rFonts w:cstheme="minorHAnsi"/>
          <w:color w:val="000000"/>
          <w:shd w:val="clear" w:color="auto" w:fill="FFFFFF"/>
        </w:rPr>
        <w:t xml:space="preserve"> As Van Nuffelen notes in a slightly different context of Galen’s work, “the </w:t>
      </w:r>
      <w:r w:rsidR="00503CC3" w:rsidRPr="00503CC3">
        <w:rPr>
          <w:rFonts w:cstheme="minorHAnsi"/>
          <w:color w:val="000000"/>
          <w:shd w:val="clear" w:color="auto" w:fill="FFFFFF"/>
        </w:rPr>
        <w:t>implicit</w:t>
      </w:r>
      <w:r w:rsidR="00503CC3">
        <w:rPr>
          <w:rFonts w:cstheme="minorHAnsi"/>
          <w:color w:val="000000"/>
          <w:shd w:val="clear" w:color="auto" w:fill="FFFFFF"/>
        </w:rPr>
        <w:t xml:space="preserve"> </w:t>
      </w:r>
      <w:r w:rsidR="00503CC3" w:rsidRPr="00503CC3">
        <w:rPr>
          <w:rFonts w:cstheme="minorHAnsi"/>
          <w:color w:val="000000"/>
          <w:shd w:val="clear" w:color="auto" w:fill="FFFFFF"/>
        </w:rPr>
        <w:t>transfer of a modern paradigm of ‘science’, which excludes religion as irration</w:t>
      </w:r>
      <w:r w:rsidR="00503CC3">
        <w:rPr>
          <w:rFonts w:cstheme="minorHAnsi"/>
          <w:color w:val="000000"/>
          <w:shd w:val="clear" w:color="auto" w:fill="FFFFFF"/>
        </w:rPr>
        <w:t>al…has sometimes obstructed a better understanding”</w:t>
      </w:r>
      <w:r w:rsidR="00503CC3">
        <w:rPr>
          <w:rStyle w:val="FootnoteReference"/>
          <w:rFonts w:cstheme="minorHAnsi"/>
          <w:color w:val="000000"/>
          <w:shd w:val="clear" w:color="auto" w:fill="FFFFFF"/>
        </w:rPr>
        <w:footnoteReference w:id="25"/>
      </w:r>
      <w:r w:rsidR="00503CC3">
        <w:rPr>
          <w:rFonts w:cstheme="minorHAnsi"/>
          <w:color w:val="000000"/>
          <w:shd w:val="clear" w:color="auto" w:fill="FFFFFF"/>
        </w:rPr>
        <w:t xml:space="preserve">. </w:t>
      </w:r>
    </w:p>
    <w:p w14:paraId="222E06C1" w14:textId="77777777" w:rsidR="008A3F57" w:rsidRDefault="008A3F57" w:rsidP="00B74D60">
      <w:pPr>
        <w:pStyle w:val="NoSpacing"/>
        <w:ind w:firstLine="720"/>
        <w:rPr>
          <w:rFonts w:cstheme="minorHAnsi"/>
          <w:color w:val="000000"/>
          <w:shd w:val="clear" w:color="auto" w:fill="FFFFFF"/>
        </w:rPr>
      </w:pPr>
    </w:p>
    <w:p w14:paraId="311A7C40" w14:textId="3890798D" w:rsidR="008A3F57" w:rsidRDefault="008A3F57" w:rsidP="001F7D78">
      <w:pPr>
        <w:pStyle w:val="NoSpacing"/>
        <w:ind w:firstLine="720"/>
        <w:rPr>
          <w:rFonts w:cstheme="minorHAnsi"/>
          <w:color w:val="000000"/>
          <w:shd w:val="clear" w:color="auto" w:fill="FFFFFF"/>
        </w:rPr>
      </w:pPr>
      <w:r>
        <w:rPr>
          <w:rFonts w:cstheme="minorHAnsi"/>
          <w:color w:val="000000"/>
          <w:shd w:val="clear" w:color="auto" w:fill="FFFFFF"/>
        </w:rPr>
        <w:t xml:space="preserve">French, on the other hand, discusses contemporary opinions of astrology as “higher knowledge” in some depth, referring to both the work of </w:t>
      </w:r>
      <w:proofErr w:type="spellStart"/>
      <w:r>
        <w:rPr>
          <w:rFonts w:cstheme="minorHAnsi"/>
          <w:color w:val="000000"/>
          <w:shd w:val="clear" w:color="auto" w:fill="FFFFFF"/>
        </w:rPr>
        <w:t>Ab</w:t>
      </w:r>
      <w:r w:rsidR="001F7D78">
        <w:rPr>
          <w:rFonts w:cstheme="minorHAnsi"/>
          <w:color w:val="000000"/>
          <w:shd w:val="clear" w:color="auto" w:fill="FFFFFF"/>
        </w:rPr>
        <w:t>ū</w:t>
      </w:r>
      <w:proofErr w:type="spellEnd"/>
      <w:r>
        <w:rPr>
          <w:rFonts w:cstheme="minorHAnsi"/>
          <w:color w:val="000000"/>
          <w:shd w:val="clear" w:color="auto" w:fill="FFFFFF"/>
        </w:rPr>
        <w:t xml:space="preserve"> Ma’Shar who saw astrology as “a higher form of knowledge…because of the nobility of the study of stars”</w:t>
      </w:r>
      <w:r>
        <w:rPr>
          <w:rStyle w:val="FootnoteReference"/>
          <w:rFonts w:cstheme="minorHAnsi"/>
          <w:color w:val="000000"/>
          <w:shd w:val="clear" w:color="auto" w:fill="FFFFFF"/>
        </w:rPr>
        <w:footnoteReference w:id="26"/>
      </w:r>
      <w:r>
        <w:rPr>
          <w:rFonts w:cstheme="minorHAnsi"/>
          <w:color w:val="000000"/>
          <w:shd w:val="clear" w:color="auto" w:fill="FFFFFF"/>
        </w:rPr>
        <w:t xml:space="preserve"> and William of England’s view of “astrology as a higher study”</w:t>
      </w:r>
      <w:r>
        <w:rPr>
          <w:rStyle w:val="FootnoteReference"/>
          <w:rFonts w:cstheme="minorHAnsi"/>
          <w:color w:val="000000"/>
          <w:shd w:val="clear" w:color="auto" w:fill="FFFFFF"/>
        </w:rPr>
        <w:footnoteReference w:id="27"/>
      </w:r>
      <w:r w:rsidR="00666F87">
        <w:rPr>
          <w:rFonts w:cstheme="minorHAnsi"/>
          <w:color w:val="000000"/>
          <w:shd w:val="clear" w:color="auto" w:fill="FFFFFF"/>
        </w:rPr>
        <w:t>.</w:t>
      </w:r>
      <w:r>
        <w:rPr>
          <w:rFonts w:cstheme="minorHAnsi"/>
          <w:color w:val="000000"/>
          <w:shd w:val="clear" w:color="auto" w:fill="FFFFFF"/>
        </w:rPr>
        <w:t xml:space="preserve"> </w:t>
      </w:r>
      <w:r w:rsidR="001B130A">
        <w:rPr>
          <w:rFonts w:cstheme="minorHAnsi"/>
          <w:color w:val="000000"/>
          <w:shd w:val="clear" w:color="auto" w:fill="FFFFFF"/>
        </w:rPr>
        <w:t xml:space="preserve">However French also shows </w:t>
      </w:r>
      <w:r>
        <w:rPr>
          <w:rFonts w:cstheme="minorHAnsi"/>
          <w:color w:val="000000"/>
          <w:shd w:val="clear" w:color="auto" w:fill="FFFFFF"/>
        </w:rPr>
        <w:t>some</w:t>
      </w:r>
      <w:r w:rsidR="001B130A">
        <w:rPr>
          <w:rFonts w:cstheme="minorHAnsi"/>
          <w:color w:val="000000"/>
          <w:shd w:val="clear" w:color="auto" w:fill="FFFFFF"/>
        </w:rPr>
        <w:t xml:space="preserve"> scepticism, for example i</w:t>
      </w:r>
      <w:r w:rsidR="00814AC5">
        <w:rPr>
          <w:rFonts w:cstheme="minorHAnsi"/>
          <w:color w:val="000000"/>
          <w:shd w:val="clear" w:color="auto" w:fill="FFFFFF"/>
        </w:rPr>
        <w:t>n his discussion of William of England’s work linking uroscopy with astrology</w:t>
      </w:r>
      <w:r w:rsidR="001B130A">
        <w:rPr>
          <w:rFonts w:cstheme="minorHAnsi"/>
          <w:color w:val="000000"/>
          <w:shd w:val="clear" w:color="auto" w:fill="FFFFFF"/>
        </w:rPr>
        <w:t>. The author</w:t>
      </w:r>
      <w:r w:rsidR="00814AC5">
        <w:rPr>
          <w:rFonts w:cstheme="minorHAnsi"/>
          <w:color w:val="000000"/>
          <w:shd w:val="clear" w:color="auto" w:fill="FFFFFF"/>
        </w:rPr>
        <w:t xml:space="preserve"> comments that “since we believe in neither uroscopy nor astrology, it looks as if William is simply adding one dubious practice to another”</w:t>
      </w:r>
      <w:r w:rsidR="00814AC5">
        <w:rPr>
          <w:rStyle w:val="FootnoteReference"/>
          <w:rFonts w:cstheme="minorHAnsi"/>
          <w:color w:val="000000"/>
          <w:shd w:val="clear" w:color="auto" w:fill="FFFFFF"/>
        </w:rPr>
        <w:footnoteReference w:id="28"/>
      </w:r>
      <w:r w:rsidR="00814AC5">
        <w:rPr>
          <w:rFonts w:cstheme="minorHAnsi"/>
          <w:color w:val="000000"/>
          <w:shd w:val="clear" w:color="auto" w:fill="FFFFFF"/>
        </w:rPr>
        <w:t xml:space="preserve">. </w:t>
      </w:r>
      <w:r w:rsidR="00AF4265">
        <w:rPr>
          <w:rFonts w:cstheme="minorHAnsi"/>
          <w:color w:val="000000"/>
          <w:shd w:val="clear" w:color="auto" w:fill="FFFFFF"/>
        </w:rPr>
        <w:t>B</w:t>
      </w:r>
      <w:r w:rsidR="00814AC5">
        <w:rPr>
          <w:rFonts w:cstheme="minorHAnsi"/>
          <w:color w:val="000000"/>
          <w:shd w:val="clear" w:color="auto" w:fill="FFFFFF"/>
        </w:rPr>
        <w:t>oth authors</w:t>
      </w:r>
      <w:r w:rsidR="001B130A">
        <w:rPr>
          <w:rFonts w:cstheme="minorHAnsi"/>
          <w:color w:val="000000"/>
          <w:shd w:val="clear" w:color="auto" w:fill="FFFFFF"/>
        </w:rPr>
        <w:t xml:space="preserve"> therefore</w:t>
      </w:r>
      <w:r w:rsidR="00814AC5">
        <w:rPr>
          <w:rFonts w:cstheme="minorHAnsi"/>
          <w:color w:val="000000"/>
          <w:shd w:val="clear" w:color="auto" w:fill="FFFFFF"/>
        </w:rPr>
        <w:t xml:space="preserve"> exhibit at least some of this modern bias against astrology</w:t>
      </w:r>
      <w:r>
        <w:rPr>
          <w:rFonts w:cstheme="minorHAnsi"/>
          <w:color w:val="000000"/>
          <w:shd w:val="clear" w:color="auto" w:fill="FFFFFF"/>
        </w:rPr>
        <w:t xml:space="preserve"> whilst also taking a different approach to the debate between astrology as rational or divine knowledge.</w:t>
      </w:r>
    </w:p>
    <w:p w14:paraId="5A4B148C" w14:textId="77777777" w:rsidR="001F7D78" w:rsidRDefault="001F7D78" w:rsidP="001F7D78">
      <w:pPr>
        <w:pStyle w:val="NoSpacing"/>
        <w:ind w:firstLine="720"/>
        <w:rPr>
          <w:shd w:val="clear" w:color="auto" w:fill="FFFFFF"/>
        </w:rPr>
      </w:pPr>
    </w:p>
    <w:p w14:paraId="5393F166" w14:textId="08FEC6BA" w:rsidR="005604EA" w:rsidRDefault="005604EA" w:rsidP="00503CC3">
      <w:pPr>
        <w:pStyle w:val="Heading3"/>
        <w:rPr>
          <w:shd w:val="clear" w:color="auto" w:fill="FFFFFF"/>
        </w:rPr>
      </w:pPr>
      <w:r>
        <w:rPr>
          <w:shd w:val="clear" w:color="auto" w:fill="FFFFFF"/>
        </w:rPr>
        <w:t xml:space="preserve">Conclusion </w:t>
      </w:r>
    </w:p>
    <w:p w14:paraId="431865AC" w14:textId="77777777" w:rsidR="00503CC3" w:rsidRDefault="00503CC3" w:rsidP="006D1179">
      <w:pPr>
        <w:pStyle w:val="NoSpacing"/>
        <w:rPr>
          <w:rFonts w:cstheme="minorHAnsi"/>
          <w:color w:val="000000"/>
          <w:shd w:val="clear" w:color="auto" w:fill="FFFFFF"/>
        </w:rPr>
      </w:pPr>
    </w:p>
    <w:p w14:paraId="396D7904" w14:textId="5DC8A386" w:rsidR="00B035DE" w:rsidRDefault="00503CC3" w:rsidP="00B74D60">
      <w:pPr>
        <w:pStyle w:val="NoSpacing"/>
        <w:rPr>
          <w:rFonts w:cstheme="minorHAnsi"/>
          <w:color w:val="000000"/>
          <w:shd w:val="clear" w:color="auto" w:fill="FFFFFF"/>
        </w:rPr>
      </w:pPr>
      <w:r>
        <w:rPr>
          <w:rFonts w:cstheme="minorHAnsi"/>
          <w:color w:val="000000"/>
          <w:shd w:val="clear" w:color="auto" w:fill="FFFFFF"/>
        </w:rPr>
        <w:t xml:space="preserve">This essay has compared and contrasted Cooper’s paper on Galen and Astrology and French’s paper on Foretelling the Future. Both papers have been seen to explore the connections between astrology and medicine </w:t>
      </w:r>
      <w:r w:rsidR="00666F87">
        <w:rPr>
          <w:rFonts w:cstheme="minorHAnsi"/>
          <w:color w:val="000000"/>
          <w:shd w:val="clear" w:color="auto" w:fill="FFFFFF"/>
        </w:rPr>
        <w:t xml:space="preserve">and an exploration </w:t>
      </w:r>
      <w:r w:rsidR="001F7D78">
        <w:rPr>
          <w:rFonts w:cstheme="minorHAnsi"/>
          <w:color w:val="000000"/>
          <w:shd w:val="clear" w:color="auto" w:fill="FFFFFF"/>
        </w:rPr>
        <w:t xml:space="preserve">of </w:t>
      </w:r>
      <w:r w:rsidR="00666F87">
        <w:rPr>
          <w:rFonts w:cstheme="minorHAnsi"/>
          <w:color w:val="000000"/>
          <w:shd w:val="clear" w:color="auto" w:fill="FFFFFF"/>
        </w:rPr>
        <w:t>the role of astrology in the scientific and intellectual tradition</w:t>
      </w:r>
      <w:r>
        <w:rPr>
          <w:rFonts w:cstheme="minorHAnsi"/>
          <w:color w:val="000000"/>
          <w:shd w:val="clear" w:color="auto" w:fill="FFFFFF"/>
        </w:rPr>
        <w:t>. However</w:t>
      </w:r>
      <w:r w:rsidR="00B74D60">
        <w:rPr>
          <w:rFonts w:cstheme="minorHAnsi"/>
          <w:color w:val="000000"/>
          <w:shd w:val="clear" w:color="auto" w:fill="FFFFFF"/>
        </w:rPr>
        <w:t>,</w:t>
      </w:r>
      <w:r>
        <w:rPr>
          <w:rFonts w:cstheme="minorHAnsi"/>
          <w:color w:val="000000"/>
          <w:shd w:val="clear" w:color="auto" w:fill="FFFFFF"/>
        </w:rPr>
        <w:t xml:space="preserve"> there are also some key differences, notably Co</w:t>
      </w:r>
      <w:r w:rsidR="00B74D60">
        <w:rPr>
          <w:rFonts w:cstheme="minorHAnsi"/>
          <w:color w:val="000000"/>
          <w:shd w:val="clear" w:color="auto" w:fill="FFFFFF"/>
        </w:rPr>
        <w:t>o</w:t>
      </w:r>
      <w:r>
        <w:rPr>
          <w:rFonts w:cstheme="minorHAnsi"/>
          <w:color w:val="000000"/>
          <w:shd w:val="clear" w:color="auto" w:fill="FFFFFF"/>
        </w:rPr>
        <w:t>per’s more specific focus and perhaps even more specific agenda, compared with French’s more exploratory overview.</w:t>
      </w:r>
      <w:r w:rsidR="00B74D60">
        <w:rPr>
          <w:rFonts w:cstheme="minorHAnsi"/>
          <w:color w:val="000000"/>
          <w:shd w:val="clear" w:color="auto" w:fill="FFFFFF"/>
        </w:rPr>
        <w:t xml:space="preserve"> </w:t>
      </w:r>
    </w:p>
    <w:p w14:paraId="707F8384" w14:textId="77777777" w:rsidR="00B74D60" w:rsidRDefault="00B74D60" w:rsidP="006D1179">
      <w:pPr>
        <w:pStyle w:val="NoSpacing"/>
        <w:rPr>
          <w:rFonts w:cstheme="minorHAnsi"/>
          <w:color w:val="000000"/>
          <w:shd w:val="clear" w:color="auto" w:fill="FFFFFF"/>
        </w:rPr>
      </w:pPr>
    </w:p>
    <w:p w14:paraId="20467FE4" w14:textId="77777777" w:rsidR="00B74D60" w:rsidRDefault="00B74D60" w:rsidP="006D1179">
      <w:pPr>
        <w:pStyle w:val="NoSpacing"/>
        <w:rPr>
          <w:rFonts w:cstheme="minorHAnsi"/>
          <w:color w:val="000000"/>
          <w:shd w:val="clear" w:color="auto" w:fill="FFFFFF"/>
        </w:rPr>
      </w:pPr>
    </w:p>
    <w:p w14:paraId="194EA40A" w14:textId="77777777" w:rsidR="00B74D60" w:rsidRDefault="00B74D60" w:rsidP="006D1179">
      <w:pPr>
        <w:pStyle w:val="NoSpacing"/>
        <w:rPr>
          <w:rFonts w:cstheme="minorHAnsi"/>
          <w:color w:val="000000"/>
          <w:shd w:val="clear" w:color="auto" w:fill="FFFFFF"/>
        </w:rPr>
      </w:pPr>
    </w:p>
    <w:p w14:paraId="2CF49619" w14:textId="77777777" w:rsidR="00B74D60" w:rsidRDefault="00B74D60" w:rsidP="006D1179">
      <w:pPr>
        <w:pStyle w:val="NoSpacing"/>
        <w:rPr>
          <w:rFonts w:cstheme="minorHAnsi"/>
          <w:color w:val="000000"/>
          <w:shd w:val="clear" w:color="auto" w:fill="FFFFFF"/>
        </w:rPr>
      </w:pPr>
    </w:p>
    <w:p w14:paraId="39B1C76F" w14:textId="77777777" w:rsidR="001F7D78" w:rsidRDefault="001F7D78" w:rsidP="006D1179">
      <w:pPr>
        <w:pStyle w:val="NoSpacing"/>
        <w:rPr>
          <w:rFonts w:cstheme="minorHAnsi"/>
          <w:color w:val="000000"/>
          <w:shd w:val="clear" w:color="auto" w:fill="FFFFFF"/>
        </w:rPr>
      </w:pPr>
    </w:p>
    <w:p w14:paraId="5A248E44" w14:textId="4772AA48" w:rsidR="001F7D78" w:rsidRDefault="001F7D78">
      <w:pPr>
        <w:rPr>
          <w:rFonts w:cstheme="minorHAnsi"/>
          <w:color w:val="000000"/>
          <w:shd w:val="clear" w:color="auto" w:fill="FFFFFF"/>
        </w:rPr>
      </w:pPr>
      <w:r>
        <w:rPr>
          <w:rFonts w:cstheme="minorHAnsi"/>
          <w:color w:val="000000"/>
          <w:shd w:val="clear" w:color="auto" w:fill="FFFFFF"/>
        </w:rPr>
        <w:br w:type="page"/>
      </w:r>
    </w:p>
    <w:p w14:paraId="14FB755C" w14:textId="77777777" w:rsidR="001F7D78" w:rsidRDefault="001F7D78" w:rsidP="006D1179">
      <w:pPr>
        <w:pStyle w:val="NoSpacing"/>
        <w:rPr>
          <w:rFonts w:cstheme="minorHAnsi"/>
          <w:color w:val="000000"/>
          <w:shd w:val="clear" w:color="auto" w:fill="FFFFFF"/>
        </w:rPr>
      </w:pPr>
    </w:p>
    <w:p w14:paraId="54A40E96" w14:textId="77777777" w:rsidR="00B74D60" w:rsidRDefault="00B74D60" w:rsidP="006D1179">
      <w:pPr>
        <w:pStyle w:val="NoSpacing"/>
        <w:rPr>
          <w:rFonts w:cstheme="minorHAnsi"/>
          <w:color w:val="000000"/>
          <w:shd w:val="clear" w:color="auto" w:fill="FFFFFF"/>
        </w:rPr>
      </w:pPr>
    </w:p>
    <w:p w14:paraId="190C0694" w14:textId="77777777" w:rsidR="00666F87" w:rsidRDefault="00666F87" w:rsidP="006D1179">
      <w:pPr>
        <w:pStyle w:val="NoSpacing"/>
        <w:rPr>
          <w:rFonts w:cstheme="minorHAnsi"/>
          <w:color w:val="000000"/>
          <w:shd w:val="clear" w:color="auto" w:fill="FFFFFF"/>
        </w:rPr>
      </w:pPr>
    </w:p>
    <w:p w14:paraId="71DB7005" w14:textId="526A446C" w:rsidR="00562B27" w:rsidRDefault="00C338F6" w:rsidP="00B74D60">
      <w:pPr>
        <w:pStyle w:val="Heading3"/>
        <w:rPr>
          <w:shd w:val="clear" w:color="auto" w:fill="FFFFFF"/>
        </w:rPr>
      </w:pPr>
      <w:r>
        <w:rPr>
          <w:shd w:val="clear" w:color="auto" w:fill="FFFFFF"/>
        </w:rPr>
        <w:t xml:space="preserve">References </w:t>
      </w:r>
    </w:p>
    <w:p w14:paraId="46B6F319" w14:textId="77777777" w:rsidR="00562B27" w:rsidRDefault="00562B27" w:rsidP="006D1179">
      <w:pPr>
        <w:pStyle w:val="NoSpacing"/>
        <w:rPr>
          <w:rFonts w:cstheme="minorHAnsi"/>
          <w:color w:val="000000"/>
          <w:shd w:val="clear" w:color="auto" w:fill="FFFFFF"/>
        </w:rPr>
      </w:pPr>
    </w:p>
    <w:p w14:paraId="038C997F" w14:textId="08E019A5" w:rsidR="00A235F9" w:rsidRDefault="00A235F9" w:rsidP="006D1179">
      <w:pPr>
        <w:pStyle w:val="NoSpacing"/>
      </w:pPr>
      <w:r>
        <w:t>Campion, Nicholas., Astrology and Cosmology in the World’s Religions (New York: New York University Press, 2012)</w:t>
      </w:r>
      <w:r w:rsidR="00145B4E">
        <w:t>.</w:t>
      </w:r>
    </w:p>
    <w:p w14:paraId="6AABE48D" w14:textId="77777777" w:rsidR="00B74D60" w:rsidRDefault="00B74D60" w:rsidP="006D1179">
      <w:pPr>
        <w:pStyle w:val="NoSpacing"/>
      </w:pPr>
    </w:p>
    <w:p w14:paraId="35D31108" w14:textId="18447169" w:rsidR="00B74D60" w:rsidRDefault="00B74D60" w:rsidP="006D1179">
      <w:pPr>
        <w:pStyle w:val="NoSpacing"/>
      </w:pPr>
      <w:r w:rsidRPr="008D0370">
        <w:t>Cooper, Glen M. 'Galen and Astrology: A Mésalliance?'. Early Science and Medicine 16, no. 2 (2011): 120-146</w:t>
      </w:r>
      <w:r w:rsidR="00145B4E">
        <w:t>.</w:t>
      </w:r>
    </w:p>
    <w:p w14:paraId="4B8D57D5" w14:textId="77777777" w:rsidR="00B74D60" w:rsidRDefault="00B74D60" w:rsidP="006D1179">
      <w:pPr>
        <w:pStyle w:val="NoSpacing"/>
      </w:pPr>
    </w:p>
    <w:p w14:paraId="65B39261" w14:textId="6847DB19" w:rsidR="00666F87" w:rsidRPr="00666F87" w:rsidRDefault="00666F87" w:rsidP="00666F87">
      <w:pPr>
        <w:spacing w:after="0" w:line="240" w:lineRule="auto"/>
        <w:rPr>
          <w:rFonts w:eastAsia="Times New Roman" w:cstheme="minorHAnsi"/>
          <w:kern w:val="0"/>
          <w:lang w:eastAsia="en-GB"/>
          <w14:ligatures w14:val="none"/>
        </w:rPr>
      </w:pPr>
      <w:proofErr w:type="spellStart"/>
      <w:r w:rsidRPr="00666F87">
        <w:rPr>
          <w:rFonts w:eastAsia="Times New Roman" w:cstheme="minorHAnsi"/>
          <w:kern w:val="0"/>
          <w:lang w:eastAsia="en-GB"/>
          <w14:ligatures w14:val="none"/>
        </w:rPr>
        <w:t>Fidora</w:t>
      </w:r>
      <w:proofErr w:type="spellEnd"/>
      <w:r w:rsidRPr="00666F87">
        <w:rPr>
          <w:rFonts w:eastAsia="Times New Roman" w:cstheme="minorHAnsi"/>
          <w:kern w:val="0"/>
          <w:lang w:eastAsia="en-GB"/>
          <w14:ligatures w14:val="none"/>
        </w:rPr>
        <w:t xml:space="preserve">, Alexander. Divination and Scientific Prediction: The Epistemology of Prognostic Sciences in Medieval Europe. </w:t>
      </w:r>
      <w:r w:rsidRPr="00666F87">
        <w:rPr>
          <w:rFonts w:eastAsia="Times New Roman" w:cstheme="minorHAnsi"/>
          <w:i/>
          <w:iCs/>
          <w:kern w:val="0"/>
          <w:lang w:eastAsia="en-GB"/>
          <w14:ligatures w14:val="none"/>
        </w:rPr>
        <w:t>Early Science and Medicine</w:t>
      </w:r>
      <w:r w:rsidRPr="00666F87">
        <w:rPr>
          <w:rFonts w:eastAsia="Times New Roman" w:cstheme="minorHAnsi"/>
          <w:kern w:val="0"/>
          <w:lang w:eastAsia="en-GB"/>
          <w14:ligatures w14:val="none"/>
        </w:rPr>
        <w:t>, vol. 18, no. 6, 2013, pp. 517–35</w:t>
      </w:r>
      <w:r>
        <w:rPr>
          <w:rFonts w:eastAsia="Times New Roman" w:cstheme="minorHAnsi"/>
          <w:kern w:val="0"/>
          <w:lang w:eastAsia="en-GB"/>
          <w14:ligatures w14:val="none"/>
        </w:rPr>
        <w:t xml:space="preserve"> </w:t>
      </w:r>
      <w:r w:rsidRPr="001A4B66">
        <w:rPr>
          <w:rFonts w:eastAsia="Times New Roman" w:cstheme="minorHAnsi"/>
          <w:kern w:val="0"/>
          <w:lang w:eastAsia="en-GB"/>
          <w14:ligatures w14:val="none"/>
        </w:rPr>
        <w:t>JSTOR,</w:t>
      </w:r>
      <w:r w:rsidRPr="00666F87">
        <w:rPr>
          <w:rFonts w:eastAsia="Times New Roman" w:cstheme="minorHAnsi"/>
          <w:kern w:val="0"/>
          <w:lang w:eastAsia="en-GB"/>
          <w14:ligatures w14:val="none"/>
        </w:rPr>
        <w:t xml:space="preserve"> </w:t>
      </w:r>
      <w:hyperlink r:id="rId9" w:history="1">
        <w:r w:rsidRPr="00145B4E">
          <w:rPr>
            <w:rStyle w:val="Hyperlink"/>
            <w:rFonts w:eastAsia="Times New Roman" w:cstheme="minorHAnsi"/>
            <w:kern w:val="0"/>
            <w:lang w:eastAsia="en-GB"/>
            <w14:ligatures w14:val="none"/>
          </w:rPr>
          <w:t>http://www.jstor.org/stab</w:t>
        </w:r>
        <w:r w:rsidRPr="00145B4E">
          <w:rPr>
            <w:rStyle w:val="Hyperlink"/>
            <w:rFonts w:eastAsia="Times New Roman" w:cstheme="minorHAnsi"/>
            <w:kern w:val="0"/>
            <w:lang w:eastAsia="en-GB"/>
            <w14:ligatures w14:val="none"/>
          </w:rPr>
          <w:t>l</w:t>
        </w:r>
        <w:r w:rsidRPr="00145B4E">
          <w:rPr>
            <w:rStyle w:val="Hyperlink"/>
            <w:rFonts w:eastAsia="Times New Roman" w:cstheme="minorHAnsi"/>
            <w:kern w:val="0"/>
            <w:lang w:eastAsia="en-GB"/>
            <w14:ligatures w14:val="none"/>
          </w:rPr>
          <w:t>e/24269302</w:t>
        </w:r>
      </w:hyperlink>
      <w:r w:rsidRPr="00666F87">
        <w:rPr>
          <w:rFonts w:eastAsia="Times New Roman" w:cstheme="minorHAnsi"/>
          <w:kern w:val="0"/>
          <w:lang w:eastAsia="en-GB"/>
          <w14:ligatures w14:val="none"/>
        </w:rPr>
        <w:t xml:space="preserve"> </w:t>
      </w:r>
      <w:r w:rsidR="001A4B66">
        <w:rPr>
          <w:rFonts w:eastAsia="Times New Roman" w:cstheme="minorHAnsi"/>
          <w:kern w:val="0"/>
          <w:lang w:eastAsia="en-GB"/>
          <w14:ligatures w14:val="none"/>
        </w:rPr>
        <w:t>[</w:t>
      </w:r>
      <w:r w:rsidRPr="00666F87">
        <w:rPr>
          <w:rFonts w:eastAsia="Times New Roman" w:cstheme="minorHAnsi"/>
          <w:kern w:val="0"/>
          <w:lang w:eastAsia="en-GB"/>
          <w14:ligatures w14:val="none"/>
        </w:rPr>
        <w:t>Accessed 29 Oct. 2023</w:t>
      </w:r>
      <w:r w:rsidR="001A4B66">
        <w:rPr>
          <w:rFonts w:eastAsia="Times New Roman" w:cstheme="minorHAnsi"/>
          <w:kern w:val="0"/>
          <w:lang w:eastAsia="en-GB"/>
          <w14:ligatures w14:val="none"/>
        </w:rPr>
        <w:t>]</w:t>
      </w:r>
    </w:p>
    <w:p w14:paraId="0A81B546" w14:textId="77777777" w:rsidR="00666F87" w:rsidRDefault="00666F87" w:rsidP="006D1179">
      <w:pPr>
        <w:pStyle w:val="NoSpacing"/>
      </w:pPr>
    </w:p>
    <w:p w14:paraId="3A13F92F" w14:textId="14BF91E7" w:rsidR="00072FB7" w:rsidRDefault="00B74D60" w:rsidP="006D1179">
      <w:pPr>
        <w:pStyle w:val="NoSpacing"/>
      </w:pPr>
      <w:r w:rsidRPr="008D0370">
        <w:t>French, Roger. 'Foretelling the Future: Arabic Astrology and English Medicine in the Late Twelfth Century.' Isis 87, no. 3 (1996): 453-480</w:t>
      </w:r>
      <w:r w:rsidR="00145B4E">
        <w:t>.</w:t>
      </w:r>
    </w:p>
    <w:p w14:paraId="1A6EFEFD" w14:textId="77777777" w:rsidR="001F7D78" w:rsidRDefault="001F7D78" w:rsidP="006D1179">
      <w:pPr>
        <w:pStyle w:val="NoSpacing"/>
      </w:pPr>
    </w:p>
    <w:p w14:paraId="02642E90" w14:textId="77777777" w:rsidR="001F7D78" w:rsidRDefault="001F7D78" w:rsidP="001F7D78">
      <w:pPr>
        <w:pStyle w:val="NoSpacing"/>
      </w:pPr>
      <w:r w:rsidRPr="001F7D78">
        <w:t xml:space="preserve">Galen, De </w:t>
      </w:r>
      <w:proofErr w:type="spellStart"/>
      <w:r w:rsidRPr="001F7D78">
        <w:t>diebus</w:t>
      </w:r>
      <w:proofErr w:type="spellEnd"/>
      <w:r w:rsidRPr="001F7D78">
        <w:t xml:space="preserve"> </w:t>
      </w:r>
      <w:proofErr w:type="spellStart"/>
      <w:r w:rsidRPr="001F7D78">
        <w:t>decretoriis</w:t>
      </w:r>
      <w:proofErr w:type="spellEnd"/>
      <w:r w:rsidRPr="001F7D78">
        <w:t xml:space="preserve">, from Greek into </w:t>
      </w:r>
      <w:proofErr w:type="spellStart"/>
      <w:r w:rsidRPr="001F7D78">
        <w:t>ArabicA</w:t>
      </w:r>
      <w:proofErr w:type="spellEnd"/>
      <w:r w:rsidRPr="001F7D78">
        <w:t xml:space="preserve"> Critical Edition, with Translation and Commentary, of </w:t>
      </w:r>
      <w:proofErr w:type="spellStart"/>
      <w:r w:rsidRPr="001F7D78">
        <w:t>Hunayn</w:t>
      </w:r>
      <w:proofErr w:type="spellEnd"/>
      <w:r w:rsidRPr="001F7D78">
        <w:t xml:space="preserve"> ibn Ishaq, Kitab </w:t>
      </w:r>
      <w:proofErr w:type="spellStart"/>
      <w:r w:rsidRPr="001F7D78">
        <w:t>ayyam</w:t>
      </w:r>
      <w:proofErr w:type="spellEnd"/>
      <w:r w:rsidRPr="001F7D78">
        <w:t xml:space="preserve"> al-</w:t>
      </w:r>
      <w:proofErr w:type="spellStart"/>
      <w:r w:rsidRPr="001F7D78">
        <w:t>buhran</w:t>
      </w:r>
      <w:proofErr w:type="spellEnd"/>
    </w:p>
    <w:p w14:paraId="4CBEAB8F" w14:textId="1DA7256A" w:rsidR="001F7D78" w:rsidRDefault="001A4B66" w:rsidP="001F7D78">
      <w:pPr>
        <w:pStyle w:val="NoSpacing"/>
      </w:pPr>
      <w:hyperlink r:id="rId10" w:history="1">
        <w:r w:rsidRPr="00143AA3">
          <w:rPr>
            <w:rStyle w:val="Hyperlink"/>
          </w:rPr>
          <w:t>https://www.routledge.com/Galen-De-diebus-decretoriis-from-Greek-into-Arabic-A-Critical-Edition/Cooper/p/book/9781138250833</w:t>
        </w:r>
      </w:hyperlink>
      <w:r w:rsidR="001F7D78">
        <w:t xml:space="preserve"> </w:t>
      </w:r>
      <w:r>
        <w:t>[</w:t>
      </w:r>
      <w:r w:rsidR="001F7D78">
        <w:t>Accessed 20/10/2023</w:t>
      </w:r>
      <w:r>
        <w:t>]</w:t>
      </w:r>
    </w:p>
    <w:p w14:paraId="04F5309F" w14:textId="77777777" w:rsidR="00C338F6" w:rsidRDefault="00C338F6" w:rsidP="001F7D78">
      <w:pPr>
        <w:pStyle w:val="NoSpacing"/>
      </w:pPr>
    </w:p>
    <w:p w14:paraId="1E4EBA34" w14:textId="6697EAD6" w:rsidR="00C338F6" w:rsidRPr="00C338F6" w:rsidRDefault="00C338F6" w:rsidP="001F7D78">
      <w:pPr>
        <w:pStyle w:val="NoSpacing"/>
      </w:pPr>
      <w:r w:rsidRPr="00C338F6">
        <w:t>Obituary R</w:t>
      </w:r>
      <w:r w:rsidR="00145B4E">
        <w:t>oger</w:t>
      </w:r>
      <w:r w:rsidRPr="00C338F6">
        <w:t xml:space="preserve"> F</w:t>
      </w:r>
      <w:r w:rsidR="00145B4E">
        <w:t>rench</w:t>
      </w:r>
      <w:r w:rsidRPr="00C338F6">
        <w:t xml:space="preserve"> (12 April 1938-14 May 2002)</w:t>
      </w:r>
    </w:p>
    <w:p w14:paraId="0A505F9D" w14:textId="47D6A92B" w:rsidR="00145B4E" w:rsidRDefault="00000000" w:rsidP="00145B4E">
      <w:pPr>
        <w:pStyle w:val="NoSpacing"/>
      </w:pPr>
      <w:hyperlink r:id="rId11" w:history="1">
        <w:r w:rsidR="001F7D78" w:rsidRPr="004F56CF">
          <w:rPr>
            <w:rStyle w:val="Hyperlink"/>
          </w:rPr>
          <w:t xml:space="preserve">https://www.cambridge.org/core/services/aop-cambridge-core/content/view/C248E32CB5F0AEF06720B34F6B6D192B/S0025727300069751a.pdf/roger-french12-april-193814-may-2002.pdf  </w:t>
        </w:r>
      </w:hyperlink>
      <w:r w:rsidR="00145B4E">
        <w:rPr>
          <w:rStyle w:val="Hyperlink"/>
        </w:rPr>
        <w:t xml:space="preserve">  [</w:t>
      </w:r>
      <w:r w:rsidR="00145B4E">
        <w:t>Accessed 15/10/2023</w:t>
      </w:r>
      <w:r w:rsidR="00145B4E">
        <w:t>]</w:t>
      </w:r>
    </w:p>
    <w:p w14:paraId="2535B04C" w14:textId="4870B857" w:rsidR="00C338F6" w:rsidRDefault="00C338F6" w:rsidP="001F7D78">
      <w:pPr>
        <w:pStyle w:val="NoSpacing"/>
      </w:pPr>
    </w:p>
    <w:p w14:paraId="5DAF7734" w14:textId="77777777" w:rsidR="00B74D60" w:rsidRDefault="00B74D60" w:rsidP="006D1179">
      <w:pPr>
        <w:pStyle w:val="NoSpacing"/>
      </w:pPr>
    </w:p>
    <w:p w14:paraId="694BA4CE" w14:textId="02886D55" w:rsidR="00B74D60" w:rsidRPr="00B74D60" w:rsidRDefault="00B74D60" w:rsidP="006D1179">
      <w:pPr>
        <w:pStyle w:val="NoSpacing"/>
      </w:pPr>
      <w:r w:rsidRPr="00B74D60">
        <w:rPr>
          <w:rFonts w:cstheme="minorHAnsi"/>
          <w:shd w:val="clear" w:color="auto" w:fill="FFFFFF"/>
        </w:rPr>
        <w:t>Thorndike, Lynn</w:t>
      </w:r>
      <w:r w:rsidRPr="00145B4E">
        <w:rPr>
          <w:rFonts w:cstheme="minorHAnsi"/>
          <w:shd w:val="clear" w:color="auto" w:fill="FFFFFF"/>
        </w:rPr>
        <w:t>, A History of Magic and Experimental Science, Volume 1 (of 2) During the First Thirteen Centuries of Our Era</w:t>
      </w:r>
      <w:r w:rsidRPr="00B74D60">
        <w:rPr>
          <w:rFonts w:cstheme="minorHAnsi"/>
          <w:shd w:val="clear" w:color="auto" w:fill="FFFFFF"/>
        </w:rPr>
        <w:t xml:space="preserve"> (Project Gutenberg), p.111 </w:t>
      </w:r>
      <w:hyperlink r:id="rId12" w:anchor="Page_100" w:history="1">
        <w:r w:rsidRPr="00B74D60">
          <w:rPr>
            <w:rStyle w:val="Hyperlink"/>
            <w:rFonts w:cstheme="minorHAnsi"/>
            <w:shd w:val="clear" w:color="auto" w:fill="FFFFFF"/>
          </w:rPr>
          <w:t>https://www.gutenberg.org/cache/epub/67792/pg67792-images.html#Page_100</w:t>
        </w:r>
      </w:hyperlink>
      <w:r w:rsidRPr="00B74D60">
        <w:rPr>
          <w:rFonts w:cstheme="minorHAnsi"/>
          <w:shd w:val="clear" w:color="auto" w:fill="FFFFFF"/>
        </w:rPr>
        <w:t xml:space="preserve"> </w:t>
      </w:r>
      <w:r w:rsidR="00145B4E">
        <w:rPr>
          <w:rFonts w:cstheme="minorHAnsi"/>
          <w:shd w:val="clear" w:color="auto" w:fill="FFFFFF"/>
        </w:rPr>
        <w:t>[</w:t>
      </w:r>
      <w:r w:rsidRPr="00B74D60">
        <w:rPr>
          <w:rFonts w:cstheme="minorHAnsi"/>
          <w:shd w:val="clear" w:color="auto" w:fill="FFFFFF"/>
        </w:rPr>
        <w:t>Accessed 29/10/2023</w:t>
      </w:r>
      <w:r w:rsidR="00145B4E">
        <w:rPr>
          <w:rFonts w:cstheme="minorHAnsi"/>
          <w:shd w:val="clear" w:color="auto" w:fill="FFFFFF"/>
        </w:rPr>
        <w:t>]</w:t>
      </w:r>
    </w:p>
    <w:p w14:paraId="7D426CE3" w14:textId="77777777" w:rsidR="00B74D60" w:rsidRDefault="00B74D60" w:rsidP="006D1179">
      <w:pPr>
        <w:pStyle w:val="NoSpacing"/>
      </w:pPr>
    </w:p>
    <w:p w14:paraId="3A62CF9A" w14:textId="45678FA4" w:rsidR="00145B4E" w:rsidRPr="00145B4E" w:rsidRDefault="00145B4E" w:rsidP="00145B4E">
      <w:pPr>
        <w:pStyle w:val="NoSpacing"/>
      </w:pPr>
      <w:proofErr w:type="spellStart"/>
      <w:r w:rsidRPr="00145B4E">
        <w:rPr>
          <w:lang w:eastAsia="en-GB"/>
        </w:rPr>
        <w:t>Vannuffelen</w:t>
      </w:r>
      <w:proofErr w:type="spellEnd"/>
      <w:r w:rsidRPr="00145B4E">
        <w:rPr>
          <w:lang w:eastAsia="en-GB"/>
        </w:rPr>
        <w:t xml:space="preserve">, Peter. Galen, </w:t>
      </w:r>
      <w:proofErr w:type="gramStart"/>
      <w:r w:rsidRPr="00145B4E">
        <w:rPr>
          <w:lang w:eastAsia="en-GB"/>
        </w:rPr>
        <w:t>Divination</w:t>
      </w:r>
      <w:proofErr w:type="gramEnd"/>
      <w:r w:rsidRPr="00145B4E">
        <w:rPr>
          <w:lang w:eastAsia="en-GB"/>
        </w:rPr>
        <w:t xml:space="preserve"> and the Status of Medicine. </w:t>
      </w:r>
      <w:r w:rsidRPr="00145B4E">
        <w:rPr>
          <w:i/>
          <w:iCs/>
          <w:lang w:eastAsia="en-GB"/>
        </w:rPr>
        <w:t>The Classical Quarterly</w:t>
      </w:r>
      <w:r w:rsidRPr="00145B4E">
        <w:rPr>
          <w:lang w:eastAsia="en-GB"/>
        </w:rPr>
        <w:t xml:space="preserve">, vol. 64, no. 1, 2014, p. 344. </w:t>
      </w:r>
      <w:r w:rsidRPr="00145B4E">
        <w:rPr>
          <w:i/>
          <w:iCs/>
          <w:lang w:eastAsia="en-GB"/>
        </w:rPr>
        <w:t>JSTOR</w:t>
      </w:r>
      <w:r w:rsidRPr="00145B4E">
        <w:rPr>
          <w:lang w:eastAsia="en-GB"/>
        </w:rPr>
        <w:t xml:space="preserve">, </w:t>
      </w:r>
      <w:hyperlink r:id="rId13" w:history="1">
        <w:r w:rsidRPr="00145B4E">
          <w:rPr>
            <w:rStyle w:val="Hyperlink"/>
            <w:lang w:eastAsia="en-GB"/>
          </w:rPr>
          <w:t>https://www.jstor.org/stable/26546306</w:t>
        </w:r>
      </w:hyperlink>
      <w:r w:rsidRPr="00145B4E">
        <w:rPr>
          <w:lang w:eastAsia="en-GB"/>
        </w:rPr>
        <w:t xml:space="preserve"> </w:t>
      </w:r>
      <w:r>
        <w:rPr>
          <w:lang w:eastAsia="en-GB"/>
        </w:rPr>
        <w:t>[</w:t>
      </w:r>
      <w:r w:rsidRPr="00145B4E">
        <w:rPr>
          <w:lang w:eastAsia="en-GB"/>
        </w:rPr>
        <w:t>Accessed 27 Oct. 2023</w:t>
      </w:r>
      <w:r>
        <w:rPr>
          <w:lang w:eastAsia="en-GB"/>
        </w:rPr>
        <w:t>]</w:t>
      </w:r>
    </w:p>
    <w:p w14:paraId="4BA2AA0F" w14:textId="77777777" w:rsidR="00145B4E" w:rsidRPr="00B74D60" w:rsidRDefault="00145B4E" w:rsidP="006D1179">
      <w:pPr>
        <w:pStyle w:val="NoSpacing"/>
      </w:pPr>
    </w:p>
    <w:p w14:paraId="0B942ADA" w14:textId="77777777" w:rsidR="00072FB7" w:rsidRDefault="00072FB7" w:rsidP="006D1179">
      <w:pPr>
        <w:pStyle w:val="NoSpacing"/>
      </w:pPr>
    </w:p>
    <w:p w14:paraId="09201ED0" w14:textId="77777777" w:rsidR="00072FB7" w:rsidRDefault="00072FB7" w:rsidP="006D1179">
      <w:pPr>
        <w:pStyle w:val="NoSpacing"/>
      </w:pPr>
    </w:p>
    <w:p w14:paraId="3DB888FC" w14:textId="77777777" w:rsidR="006D1179" w:rsidRDefault="006D1179" w:rsidP="006D1179">
      <w:pPr>
        <w:pStyle w:val="NoSpacing"/>
      </w:pPr>
    </w:p>
    <w:sectPr w:rsidR="006D117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41EEB" w14:textId="77777777" w:rsidR="008D69B8" w:rsidRDefault="008D69B8" w:rsidP="00BE6C9E">
      <w:pPr>
        <w:spacing w:after="0" w:line="240" w:lineRule="auto"/>
      </w:pPr>
      <w:r>
        <w:separator/>
      </w:r>
    </w:p>
  </w:endnote>
  <w:endnote w:type="continuationSeparator" w:id="0">
    <w:p w14:paraId="28893148" w14:textId="77777777" w:rsidR="008D69B8" w:rsidRDefault="008D69B8" w:rsidP="00BE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625445"/>
      <w:docPartObj>
        <w:docPartGallery w:val="Page Numbers (Bottom of Page)"/>
        <w:docPartUnique/>
      </w:docPartObj>
    </w:sdtPr>
    <w:sdtContent>
      <w:p w14:paraId="7983B568" w14:textId="5F221CE1" w:rsidR="00A235F9" w:rsidRDefault="00A235F9">
        <w:pPr>
          <w:pStyle w:val="Footer"/>
          <w:jc w:val="center"/>
        </w:pPr>
        <w:r>
          <w:fldChar w:fldCharType="begin"/>
        </w:r>
        <w:r>
          <w:instrText>PAGE   \* MERGEFORMAT</w:instrText>
        </w:r>
        <w:r>
          <w:fldChar w:fldCharType="separate"/>
        </w:r>
        <w:r>
          <w:t>2</w:t>
        </w:r>
        <w:r>
          <w:fldChar w:fldCharType="end"/>
        </w:r>
      </w:p>
    </w:sdtContent>
  </w:sdt>
  <w:p w14:paraId="6A1C36CE" w14:textId="77777777" w:rsidR="00A235F9" w:rsidRDefault="00A23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D3C30" w14:textId="77777777" w:rsidR="008D69B8" w:rsidRDefault="008D69B8" w:rsidP="00BE6C9E">
      <w:pPr>
        <w:spacing w:after="0" w:line="240" w:lineRule="auto"/>
      </w:pPr>
      <w:r>
        <w:separator/>
      </w:r>
    </w:p>
  </w:footnote>
  <w:footnote w:type="continuationSeparator" w:id="0">
    <w:p w14:paraId="01BA67E5" w14:textId="77777777" w:rsidR="008D69B8" w:rsidRDefault="008D69B8" w:rsidP="00BE6C9E">
      <w:pPr>
        <w:spacing w:after="0" w:line="240" w:lineRule="auto"/>
      </w:pPr>
      <w:r>
        <w:continuationSeparator/>
      </w:r>
    </w:p>
  </w:footnote>
  <w:footnote w:id="1">
    <w:p w14:paraId="6F6F5476" w14:textId="1F13B68F" w:rsidR="00145B4E" w:rsidRPr="00145B4E" w:rsidRDefault="00251377" w:rsidP="00145B4E">
      <w:pPr>
        <w:pStyle w:val="NoSpacing"/>
        <w:rPr>
          <w:sz w:val="20"/>
          <w:szCs w:val="20"/>
        </w:rPr>
      </w:pPr>
      <w:r>
        <w:rPr>
          <w:rStyle w:val="FootnoteReference"/>
        </w:rPr>
        <w:footnoteRef/>
      </w:r>
      <w:r>
        <w:t xml:space="preserve"> </w:t>
      </w:r>
      <w:r w:rsidR="00145B4E" w:rsidRPr="00145B4E">
        <w:rPr>
          <w:sz w:val="20"/>
          <w:szCs w:val="20"/>
        </w:rPr>
        <w:t>Obituary R</w:t>
      </w:r>
      <w:r w:rsidR="00145B4E">
        <w:rPr>
          <w:sz w:val="20"/>
          <w:szCs w:val="20"/>
        </w:rPr>
        <w:t>oger</w:t>
      </w:r>
      <w:r w:rsidR="00145B4E" w:rsidRPr="00145B4E">
        <w:rPr>
          <w:sz w:val="20"/>
          <w:szCs w:val="20"/>
        </w:rPr>
        <w:t xml:space="preserve"> F</w:t>
      </w:r>
      <w:r w:rsidR="00145B4E">
        <w:rPr>
          <w:sz w:val="20"/>
          <w:szCs w:val="20"/>
        </w:rPr>
        <w:t>rench</w:t>
      </w:r>
      <w:r w:rsidR="00145B4E" w:rsidRPr="00145B4E">
        <w:rPr>
          <w:sz w:val="20"/>
          <w:szCs w:val="20"/>
        </w:rPr>
        <w:t xml:space="preserve"> (12 April 1938-14 May 2002)</w:t>
      </w:r>
    </w:p>
    <w:p w14:paraId="7E71ED2C" w14:textId="3438B3A8" w:rsidR="00251377" w:rsidRDefault="00000000" w:rsidP="00251377">
      <w:pPr>
        <w:pStyle w:val="FootnoteText"/>
      </w:pPr>
      <w:hyperlink r:id="rId1" w:history="1">
        <w:r w:rsidR="00251377" w:rsidRPr="001802FF">
          <w:rPr>
            <w:rStyle w:val="Hyperlink"/>
          </w:rPr>
          <w:t>https://www.cambridge.org/core/services/aop-cambridge-core/content/view/C248E32CB5F0AEF06720B34F6B6D192B/S0025727300069751a.pdf/roger-french12-april-193814-may-2002.pdf</w:t>
        </w:r>
      </w:hyperlink>
      <w:r w:rsidR="00251377">
        <w:t xml:space="preserve"> </w:t>
      </w:r>
      <w:r w:rsidR="001A4B66">
        <w:t>[</w:t>
      </w:r>
      <w:r w:rsidR="00251377">
        <w:t>Accessed 15/10/2023</w:t>
      </w:r>
      <w:r w:rsidR="001A4B66">
        <w:t>]</w:t>
      </w:r>
    </w:p>
  </w:footnote>
  <w:footnote w:id="2">
    <w:p w14:paraId="1DDB2B9C" w14:textId="77777777" w:rsidR="00145B4E" w:rsidRDefault="00251377" w:rsidP="00145B4E">
      <w:pPr>
        <w:pStyle w:val="NoSpacing"/>
      </w:pPr>
      <w:r>
        <w:rPr>
          <w:rStyle w:val="FootnoteReference"/>
        </w:rPr>
        <w:footnoteRef/>
      </w:r>
      <w:r>
        <w:t xml:space="preserve"> </w:t>
      </w:r>
      <w:r w:rsidR="00145B4E" w:rsidRPr="00145B4E">
        <w:rPr>
          <w:sz w:val="20"/>
          <w:szCs w:val="20"/>
        </w:rPr>
        <w:t xml:space="preserve">Galen, De </w:t>
      </w:r>
      <w:proofErr w:type="spellStart"/>
      <w:r w:rsidR="00145B4E" w:rsidRPr="00145B4E">
        <w:rPr>
          <w:sz w:val="20"/>
          <w:szCs w:val="20"/>
        </w:rPr>
        <w:t>diebus</w:t>
      </w:r>
      <w:proofErr w:type="spellEnd"/>
      <w:r w:rsidR="00145B4E" w:rsidRPr="00145B4E">
        <w:rPr>
          <w:sz w:val="20"/>
          <w:szCs w:val="20"/>
        </w:rPr>
        <w:t xml:space="preserve"> </w:t>
      </w:r>
      <w:proofErr w:type="spellStart"/>
      <w:r w:rsidR="00145B4E" w:rsidRPr="00145B4E">
        <w:rPr>
          <w:sz w:val="20"/>
          <w:szCs w:val="20"/>
        </w:rPr>
        <w:t>decretoriis</w:t>
      </w:r>
      <w:proofErr w:type="spellEnd"/>
      <w:r w:rsidR="00145B4E" w:rsidRPr="00145B4E">
        <w:rPr>
          <w:sz w:val="20"/>
          <w:szCs w:val="20"/>
        </w:rPr>
        <w:t xml:space="preserve">, from Greek into </w:t>
      </w:r>
      <w:proofErr w:type="spellStart"/>
      <w:r w:rsidR="00145B4E" w:rsidRPr="00145B4E">
        <w:rPr>
          <w:sz w:val="20"/>
          <w:szCs w:val="20"/>
        </w:rPr>
        <w:t>ArabicA</w:t>
      </w:r>
      <w:proofErr w:type="spellEnd"/>
      <w:r w:rsidR="00145B4E" w:rsidRPr="00145B4E">
        <w:rPr>
          <w:sz w:val="20"/>
          <w:szCs w:val="20"/>
        </w:rPr>
        <w:t xml:space="preserve"> Critical Edition, with Translation and Commentary, of </w:t>
      </w:r>
      <w:proofErr w:type="spellStart"/>
      <w:r w:rsidR="00145B4E" w:rsidRPr="00145B4E">
        <w:rPr>
          <w:sz w:val="20"/>
          <w:szCs w:val="20"/>
        </w:rPr>
        <w:t>Hunayn</w:t>
      </w:r>
      <w:proofErr w:type="spellEnd"/>
      <w:r w:rsidR="00145B4E" w:rsidRPr="00145B4E">
        <w:rPr>
          <w:sz w:val="20"/>
          <w:szCs w:val="20"/>
        </w:rPr>
        <w:t xml:space="preserve"> ibn Ishaq, Kitab </w:t>
      </w:r>
      <w:proofErr w:type="spellStart"/>
      <w:r w:rsidR="00145B4E" w:rsidRPr="00145B4E">
        <w:rPr>
          <w:sz w:val="20"/>
          <w:szCs w:val="20"/>
        </w:rPr>
        <w:t>ayyam</w:t>
      </w:r>
      <w:proofErr w:type="spellEnd"/>
      <w:r w:rsidR="00145B4E" w:rsidRPr="00145B4E">
        <w:rPr>
          <w:sz w:val="20"/>
          <w:szCs w:val="20"/>
        </w:rPr>
        <w:t xml:space="preserve"> al-</w:t>
      </w:r>
      <w:proofErr w:type="spellStart"/>
      <w:r w:rsidR="00145B4E" w:rsidRPr="00145B4E">
        <w:rPr>
          <w:sz w:val="20"/>
          <w:szCs w:val="20"/>
        </w:rPr>
        <w:t>buhran</w:t>
      </w:r>
      <w:proofErr w:type="spellEnd"/>
    </w:p>
    <w:p w14:paraId="20460B8D" w14:textId="4A42E6DF" w:rsidR="00251377" w:rsidRPr="003307AE" w:rsidRDefault="00000000" w:rsidP="00251377">
      <w:pPr>
        <w:pStyle w:val="FootnoteText"/>
        <w:rPr>
          <w:rFonts w:cstheme="minorHAnsi"/>
          <w:sz w:val="21"/>
          <w:szCs w:val="21"/>
          <w:shd w:val="clear" w:color="auto" w:fill="0F0F0F"/>
        </w:rPr>
      </w:pPr>
      <w:hyperlink r:id="rId2" w:history="1">
        <w:r w:rsidR="00251377" w:rsidRPr="00EE44F3">
          <w:rPr>
            <w:rStyle w:val="Hyperlink"/>
          </w:rPr>
          <w:t>https://www.routledge.com/Galen-De-diebus-decretoriis-from-Greek-into-Arabic-A-Critical-Edition/Cooper/p/book/9781138250833</w:t>
        </w:r>
      </w:hyperlink>
      <w:r w:rsidR="00251377">
        <w:t xml:space="preserve"> </w:t>
      </w:r>
      <w:r w:rsidR="001A4B66">
        <w:t>[</w:t>
      </w:r>
      <w:r w:rsidR="00251377">
        <w:t>Accessed 20/10/2023</w:t>
      </w:r>
      <w:r w:rsidR="001A4B66">
        <w:t>]</w:t>
      </w:r>
    </w:p>
  </w:footnote>
  <w:footnote w:id="3">
    <w:p w14:paraId="3252F47F" w14:textId="0BC3EAF8" w:rsidR="000D779C" w:rsidRDefault="000D779C" w:rsidP="000D779C">
      <w:pPr>
        <w:pStyle w:val="FootnoteText"/>
      </w:pPr>
      <w:r>
        <w:rPr>
          <w:rStyle w:val="FootnoteReference"/>
        </w:rPr>
        <w:footnoteRef/>
      </w:r>
      <w:r>
        <w:t xml:space="preserve"> Campion, Nicholas., Astrology and Cosmology in the World’s Religions (New York: New York University Press, 2012), p.16</w:t>
      </w:r>
      <w:r w:rsidR="00145B4E">
        <w:t>.</w:t>
      </w:r>
    </w:p>
  </w:footnote>
  <w:footnote w:id="4">
    <w:p w14:paraId="337A726C" w14:textId="7619E09E" w:rsidR="000D779C" w:rsidRDefault="000D779C" w:rsidP="000D779C">
      <w:pPr>
        <w:pStyle w:val="FootnoteText"/>
      </w:pPr>
      <w:r>
        <w:rPr>
          <w:rStyle w:val="FootnoteReference"/>
        </w:rPr>
        <w:footnoteRef/>
      </w:r>
      <w:r>
        <w:t xml:space="preserve"> Campion, Nicholas., Astrology and Cosmology, p.16</w:t>
      </w:r>
      <w:r w:rsidR="00145B4E">
        <w:t>.</w:t>
      </w:r>
    </w:p>
  </w:footnote>
  <w:footnote w:id="5">
    <w:p w14:paraId="3184E2CC" w14:textId="59CAF3E6" w:rsidR="008E3B54" w:rsidRDefault="008E3B54" w:rsidP="008E3B54">
      <w:pPr>
        <w:pStyle w:val="FootnoteText"/>
      </w:pPr>
      <w:r>
        <w:rPr>
          <w:rStyle w:val="FootnoteReference"/>
        </w:rPr>
        <w:footnoteRef/>
      </w:r>
      <w:r>
        <w:t xml:space="preserve"> French, Foretelling the Future, p.460</w:t>
      </w:r>
      <w:r w:rsidR="00145B4E">
        <w:t>.</w:t>
      </w:r>
    </w:p>
  </w:footnote>
  <w:footnote w:id="6">
    <w:p w14:paraId="51FD67FA" w14:textId="59FBAAFA" w:rsidR="008E3B54" w:rsidRDefault="008E3B54" w:rsidP="008E3B54">
      <w:pPr>
        <w:pStyle w:val="FootnoteText"/>
      </w:pPr>
      <w:r>
        <w:rPr>
          <w:rStyle w:val="FootnoteReference"/>
        </w:rPr>
        <w:footnoteRef/>
      </w:r>
      <w:r>
        <w:t xml:space="preserve"> French, Foretelling the Future, p.463</w:t>
      </w:r>
      <w:r w:rsidR="00145B4E">
        <w:t>.</w:t>
      </w:r>
    </w:p>
  </w:footnote>
  <w:footnote w:id="7">
    <w:p w14:paraId="26D87CD0" w14:textId="26DB0C4B" w:rsidR="006D1179" w:rsidRDefault="006D1179">
      <w:pPr>
        <w:pStyle w:val="FootnoteText"/>
      </w:pPr>
      <w:r>
        <w:rPr>
          <w:rStyle w:val="FootnoteReference"/>
        </w:rPr>
        <w:footnoteRef/>
      </w:r>
      <w:r>
        <w:t xml:space="preserve"> French, </w:t>
      </w:r>
      <w:r w:rsidR="0006467F">
        <w:t>Foretelling the Future</w:t>
      </w:r>
      <w:r>
        <w:t>, p. 455</w:t>
      </w:r>
      <w:r w:rsidR="00145B4E">
        <w:t>.</w:t>
      </w:r>
    </w:p>
  </w:footnote>
  <w:footnote w:id="8">
    <w:p w14:paraId="008BBCF8" w14:textId="3C735A0F" w:rsidR="007A435D" w:rsidRDefault="007A435D">
      <w:pPr>
        <w:pStyle w:val="FootnoteText"/>
      </w:pPr>
      <w:r>
        <w:rPr>
          <w:rStyle w:val="FootnoteReference"/>
        </w:rPr>
        <w:footnoteRef/>
      </w:r>
      <w:r>
        <w:t xml:space="preserve"> Cooper, Galen and Astrology, p.121</w:t>
      </w:r>
      <w:r w:rsidR="00145B4E">
        <w:t>.</w:t>
      </w:r>
    </w:p>
  </w:footnote>
  <w:footnote w:id="9">
    <w:p w14:paraId="3DDF074A" w14:textId="3052CFDC" w:rsidR="000D779C" w:rsidRDefault="000D779C">
      <w:pPr>
        <w:pStyle w:val="FootnoteText"/>
      </w:pPr>
      <w:r>
        <w:rPr>
          <w:rStyle w:val="FootnoteReference"/>
        </w:rPr>
        <w:footnoteRef/>
      </w:r>
      <w:r>
        <w:t xml:space="preserve"> Cooper, Galen and Astrology, p.123</w:t>
      </w:r>
      <w:r w:rsidR="00145B4E">
        <w:t>.</w:t>
      </w:r>
    </w:p>
  </w:footnote>
  <w:footnote w:id="10">
    <w:p w14:paraId="746AE7A6" w14:textId="73FCFFAA" w:rsidR="00E4621E" w:rsidRDefault="00E4621E">
      <w:pPr>
        <w:pStyle w:val="FootnoteText"/>
      </w:pPr>
      <w:r>
        <w:rPr>
          <w:rStyle w:val="FootnoteReference"/>
        </w:rPr>
        <w:footnoteRef/>
      </w:r>
      <w:r>
        <w:t xml:space="preserve"> Cooper, Galen and Astrology, p.133</w:t>
      </w:r>
      <w:r w:rsidR="00145B4E">
        <w:t>.</w:t>
      </w:r>
    </w:p>
  </w:footnote>
  <w:footnote w:id="11">
    <w:p w14:paraId="709DDFD4" w14:textId="4BE9074E" w:rsidR="00D470BB" w:rsidRDefault="00D470BB" w:rsidP="00D470BB">
      <w:pPr>
        <w:pStyle w:val="FootnoteText"/>
      </w:pPr>
      <w:r>
        <w:rPr>
          <w:rStyle w:val="FootnoteReference"/>
        </w:rPr>
        <w:footnoteRef/>
      </w:r>
      <w:r>
        <w:t xml:space="preserve"> Cooper, Galen and Astrology, p.131</w:t>
      </w:r>
      <w:r w:rsidR="00145B4E">
        <w:t>.</w:t>
      </w:r>
    </w:p>
  </w:footnote>
  <w:footnote w:id="12">
    <w:p w14:paraId="0AD81E13" w14:textId="45CA2090" w:rsidR="00BA0A00" w:rsidRDefault="00BA0A00">
      <w:pPr>
        <w:pStyle w:val="FootnoteText"/>
      </w:pPr>
      <w:r>
        <w:rPr>
          <w:rStyle w:val="FootnoteReference"/>
        </w:rPr>
        <w:footnoteRef/>
      </w:r>
      <w:r>
        <w:t xml:space="preserve"> French, Foretelling the Future, p.473</w:t>
      </w:r>
      <w:r w:rsidR="00145B4E">
        <w:t>.</w:t>
      </w:r>
    </w:p>
  </w:footnote>
  <w:footnote w:id="13">
    <w:p w14:paraId="155FB1FE" w14:textId="76501D5C" w:rsidR="00BA0A00" w:rsidRDefault="00BA0A00">
      <w:pPr>
        <w:pStyle w:val="FootnoteText"/>
      </w:pPr>
      <w:r>
        <w:rPr>
          <w:rStyle w:val="FootnoteReference"/>
        </w:rPr>
        <w:footnoteRef/>
      </w:r>
      <w:r>
        <w:t xml:space="preserve"> French, Foretelling the Future, p.474</w:t>
      </w:r>
      <w:r w:rsidR="00145B4E">
        <w:t>.</w:t>
      </w:r>
    </w:p>
  </w:footnote>
  <w:footnote w:id="14">
    <w:p w14:paraId="18136F2B" w14:textId="7A834595" w:rsidR="000D779C" w:rsidRDefault="000D779C" w:rsidP="000D779C">
      <w:pPr>
        <w:pStyle w:val="FootnoteText"/>
      </w:pPr>
      <w:r>
        <w:rPr>
          <w:rStyle w:val="FootnoteReference"/>
        </w:rPr>
        <w:footnoteRef/>
      </w:r>
      <w:r>
        <w:t xml:space="preserve"> Cooper, Galen and Astrology, p.124</w:t>
      </w:r>
      <w:r w:rsidR="00145B4E">
        <w:t>.</w:t>
      </w:r>
    </w:p>
  </w:footnote>
  <w:footnote w:id="15">
    <w:p w14:paraId="1E677259" w14:textId="19116C61" w:rsidR="000D779C" w:rsidRDefault="000D779C">
      <w:pPr>
        <w:pStyle w:val="FootnoteText"/>
      </w:pPr>
      <w:r>
        <w:rPr>
          <w:rStyle w:val="FootnoteReference"/>
        </w:rPr>
        <w:footnoteRef/>
      </w:r>
      <w:r>
        <w:t xml:space="preserve"> French, Foretelling the Future, p.454</w:t>
      </w:r>
      <w:r w:rsidR="00145B4E">
        <w:t>.</w:t>
      </w:r>
    </w:p>
  </w:footnote>
  <w:footnote w:id="16">
    <w:p w14:paraId="45F1541C" w14:textId="4C777378" w:rsidR="00F615F1" w:rsidRDefault="00F615F1">
      <w:pPr>
        <w:pStyle w:val="FootnoteText"/>
      </w:pPr>
      <w:r>
        <w:rPr>
          <w:rStyle w:val="FootnoteReference"/>
        </w:rPr>
        <w:footnoteRef/>
      </w:r>
      <w:r>
        <w:t xml:space="preserve"> Co</w:t>
      </w:r>
      <w:r w:rsidR="00D470BB">
        <w:t>o</w:t>
      </w:r>
      <w:r>
        <w:t>per, Galen and Astrology, p.122</w:t>
      </w:r>
      <w:r w:rsidR="00145B4E">
        <w:t>.</w:t>
      </w:r>
    </w:p>
  </w:footnote>
  <w:footnote w:id="17">
    <w:p w14:paraId="38A19BA8" w14:textId="1D959F35" w:rsidR="00620876" w:rsidRDefault="00620876">
      <w:pPr>
        <w:pStyle w:val="FootnoteText"/>
      </w:pPr>
      <w:r>
        <w:rPr>
          <w:rStyle w:val="FootnoteReference"/>
        </w:rPr>
        <w:footnoteRef/>
      </w:r>
      <w:r>
        <w:t xml:space="preserve"> French, Foretelling the Future, p. 454, footnote 5</w:t>
      </w:r>
      <w:r w:rsidR="00145B4E">
        <w:t>.</w:t>
      </w:r>
    </w:p>
  </w:footnote>
  <w:footnote w:id="18">
    <w:p w14:paraId="0CD9B97D" w14:textId="10097B37" w:rsidR="00620876" w:rsidRDefault="00620876">
      <w:pPr>
        <w:pStyle w:val="FootnoteText"/>
      </w:pPr>
      <w:r>
        <w:rPr>
          <w:rStyle w:val="FootnoteReference"/>
        </w:rPr>
        <w:footnoteRef/>
      </w:r>
      <w:r>
        <w:t xml:space="preserve"> French, Foretelling the Future, p. 454</w:t>
      </w:r>
      <w:r w:rsidR="00145B4E">
        <w:t>.</w:t>
      </w:r>
    </w:p>
  </w:footnote>
  <w:footnote w:id="19">
    <w:p w14:paraId="46EB84A6" w14:textId="56C8A0FB" w:rsidR="000E59BF" w:rsidRDefault="000E59BF">
      <w:pPr>
        <w:pStyle w:val="FootnoteText"/>
      </w:pPr>
      <w:r>
        <w:rPr>
          <w:rStyle w:val="FootnoteReference"/>
        </w:rPr>
        <w:footnoteRef/>
      </w:r>
      <w:r>
        <w:t xml:space="preserve"> French, Foretelling the Future, p. 456</w:t>
      </w:r>
      <w:r w:rsidR="00145B4E">
        <w:t>.</w:t>
      </w:r>
    </w:p>
  </w:footnote>
  <w:footnote w:id="20">
    <w:p w14:paraId="31A73468" w14:textId="0EF4617E" w:rsidR="00F13ADE" w:rsidRDefault="00F13ADE" w:rsidP="00D470BB">
      <w:pPr>
        <w:pStyle w:val="NoSpacing"/>
      </w:pPr>
      <w:r>
        <w:rPr>
          <w:rStyle w:val="FootnoteReference"/>
        </w:rPr>
        <w:footnoteRef/>
      </w:r>
      <w:r>
        <w:t xml:space="preserve"> </w:t>
      </w:r>
      <w:proofErr w:type="spellStart"/>
      <w:r w:rsidRPr="00F13ADE">
        <w:rPr>
          <w:sz w:val="20"/>
          <w:szCs w:val="20"/>
          <w:lang w:eastAsia="en-GB"/>
        </w:rPr>
        <w:t>V</w:t>
      </w:r>
      <w:r w:rsidR="00145B4E">
        <w:rPr>
          <w:sz w:val="20"/>
          <w:szCs w:val="20"/>
          <w:lang w:eastAsia="en-GB"/>
        </w:rPr>
        <w:t>annuffelen</w:t>
      </w:r>
      <w:proofErr w:type="spellEnd"/>
      <w:r w:rsidRPr="00F13ADE">
        <w:rPr>
          <w:sz w:val="20"/>
          <w:szCs w:val="20"/>
          <w:lang w:eastAsia="en-GB"/>
        </w:rPr>
        <w:t>, P</w:t>
      </w:r>
      <w:r w:rsidR="00145B4E">
        <w:rPr>
          <w:sz w:val="20"/>
          <w:szCs w:val="20"/>
          <w:lang w:eastAsia="en-GB"/>
        </w:rPr>
        <w:t>eter</w:t>
      </w:r>
      <w:r w:rsidRPr="00F13ADE">
        <w:rPr>
          <w:sz w:val="20"/>
          <w:szCs w:val="20"/>
          <w:lang w:eastAsia="en-GB"/>
        </w:rPr>
        <w:t>. G</w:t>
      </w:r>
      <w:r w:rsidR="00145B4E">
        <w:rPr>
          <w:sz w:val="20"/>
          <w:szCs w:val="20"/>
          <w:lang w:eastAsia="en-GB"/>
        </w:rPr>
        <w:t>alen</w:t>
      </w:r>
      <w:r w:rsidRPr="00F13ADE">
        <w:rPr>
          <w:sz w:val="20"/>
          <w:szCs w:val="20"/>
          <w:lang w:eastAsia="en-GB"/>
        </w:rPr>
        <w:t xml:space="preserve">, </w:t>
      </w:r>
      <w:proofErr w:type="gramStart"/>
      <w:r w:rsidRPr="00F13ADE">
        <w:rPr>
          <w:sz w:val="20"/>
          <w:szCs w:val="20"/>
          <w:lang w:eastAsia="en-GB"/>
        </w:rPr>
        <w:t>D</w:t>
      </w:r>
      <w:r w:rsidR="00145B4E">
        <w:rPr>
          <w:sz w:val="20"/>
          <w:szCs w:val="20"/>
          <w:lang w:eastAsia="en-GB"/>
        </w:rPr>
        <w:t>ivination</w:t>
      </w:r>
      <w:proofErr w:type="gramEnd"/>
      <w:r w:rsidR="00145B4E">
        <w:rPr>
          <w:sz w:val="20"/>
          <w:szCs w:val="20"/>
          <w:lang w:eastAsia="en-GB"/>
        </w:rPr>
        <w:t xml:space="preserve"> and the</w:t>
      </w:r>
      <w:r w:rsidRPr="00F13ADE">
        <w:rPr>
          <w:sz w:val="20"/>
          <w:szCs w:val="20"/>
          <w:lang w:eastAsia="en-GB"/>
        </w:rPr>
        <w:t xml:space="preserve"> S</w:t>
      </w:r>
      <w:r w:rsidR="00145B4E">
        <w:rPr>
          <w:sz w:val="20"/>
          <w:szCs w:val="20"/>
          <w:lang w:eastAsia="en-GB"/>
        </w:rPr>
        <w:t>tatus</w:t>
      </w:r>
      <w:r w:rsidRPr="00F13ADE">
        <w:rPr>
          <w:sz w:val="20"/>
          <w:szCs w:val="20"/>
          <w:lang w:eastAsia="en-GB"/>
        </w:rPr>
        <w:t xml:space="preserve"> </w:t>
      </w:r>
      <w:r w:rsidR="00145B4E">
        <w:rPr>
          <w:sz w:val="20"/>
          <w:szCs w:val="20"/>
          <w:lang w:eastAsia="en-GB"/>
        </w:rPr>
        <w:t>of</w:t>
      </w:r>
      <w:r w:rsidRPr="00F13ADE">
        <w:rPr>
          <w:sz w:val="20"/>
          <w:szCs w:val="20"/>
          <w:lang w:eastAsia="en-GB"/>
        </w:rPr>
        <w:t xml:space="preserve"> M</w:t>
      </w:r>
      <w:r w:rsidR="00145B4E">
        <w:rPr>
          <w:sz w:val="20"/>
          <w:szCs w:val="20"/>
          <w:lang w:eastAsia="en-GB"/>
        </w:rPr>
        <w:t>edicine</w:t>
      </w:r>
      <w:r w:rsidRPr="00F13ADE">
        <w:rPr>
          <w:sz w:val="20"/>
          <w:szCs w:val="20"/>
          <w:lang w:eastAsia="en-GB"/>
        </w:rPr>
        <w:t xml:space="preserve">. </w:t>
      </w:r>
      <w:r w:rsidRPr="00F13ADE">
        <w:rPr>
          <w:i/>
          <w:iCs/>
          <w:sz w:val="20"/>
          <w:szCs w:val="20"/>
          <w:lang w:eastAsia="en-GB"/>
        </w:rPr>
        <w:t>The Classical Quarterly</w:t>
      </w:r>
      <w:r w:rsidRPr="00F13ADE">
        <w:rPr>
          <w:sz w:val="20"/>
          <w:szCs w:val="20"/>
          <w:lang w:eastAsia="en-GB"/>
        </w:rPr>
        <w:t xml:space="preserve">, vol. 64, no. 1, 2014, p. 344. </w:t>
      </w:r>
      <w:r w:rsidRPr="00F13ADE">
        <w:rPr>
          <w:i/>
          <w:iCs/>
          <w:sz w:val="20"/>
          <w:szCs w:val="20"/>
          <w:lang w:eastAsia="en-GB"/>
        </w:rPr>
        <w:t>JSTOR</w:t>
      </w:r>
      <w:r w:rsidRPr="00F13ADE">
        <w:rPr>
          <w:sz w:val="20"/>
          <w:szCs w:val="20"/>
          <w:lang w:eastAsia="en-GB"/>
        </w:rPr>
        <w:t xml:space="preserve">, </w:t>
      </w:r>
      <w:hyperlink r:id="rId3" w:history="1">
        <w:r w:rsidRPr="00145B4E">
          <w:rPr>
            <w:rStyle w:val="Hyperlink"/>
            <w:sz w:val="20"/>
            <w:szCs w:val="20"/>
            <w:lang w:eastAsia="en-GB"/>
          </w:rPr>
          <w:t>https://www.jstor.org/stable/26546306</w:t>
        </w:r>
      </w:hyperlink>
      <w:r w:rsidRPr="00F13ADE">
        <w:rPr>
          <w:sz w:val="20"/>
          <w:szCs w:val="20"/>
          <w:lang w:eastAsia="en-GB"/>
        </w:rPr>
        <w:t xml:space="preserve"> </w:t>
      </w:r>
      <w:r w:rsidR="001A4B66">
        <w:rPr>
          <w:sz w:val="20"/>
          <w:szCs w:val="20"/>
          <w:lang w:eastAsia="en-GB"/>
        </w:rPr>
        <w:t>[</w:t>
      </w:r>
      <w:r w:rsidRPr="00F13ADE">
        <w:rPr>
          <w:sz w:val="20"/>
          <w:szCs w:val="20"/>
          <w:lang w:eastAsia="en-GB"/>
        </w:rPr>
        <w:t>Accessed 27 Oct. 2023</w:t>
      </w:r>
      <w:r w:rsidR="001A4B66">
        <w:rPr>
          <w:sz w:val="20"/>
          <w:szCs w:val="20"/>
          <w:lang w:eastAsia="en-GB"/>
        </w:rPr>
        <w:t>]</w:t>
      </w:r>
    </w:p>
  </w:footnote>
  <w:footnote w:id="21">
    <w:p w14:paraId="7B056A1F" w14:textId="0348BAB9" w:rsidR="00F13ADE" w:rsidRPr="00F13ADE" w:rsidRDefault="00F13ADE" w:rsidP="00F13ADE">
      <w:pPr>
        <w:pStyle w:val="NoSpacing"/>
        <w:rPr>
          <w:rFonts w:ascii="Times New Roman" w:hAnsi="Times New Roman" w:cs="Times New Roman"/>
          <w:sz w:val="20"/>
          <w:szCs w:val="20"/>
          <w:lang w:eastAsia="en-GB"/>
        </w:rPr>
      </w:pPr>
      <w:r>
        <w:rPr>
          <w:rStyle w:val="FootnoteReference"/>
        </w:rPr>
        <w:footnoteRef/>
      </w:r>
      <w:r>
        <w:t xml:space="preserve"> </w:t>
      </w:r>
      <w:proofErr w:type="spellStart"/>
      <w:r w:rsidR="00145B4E" w:rsidRPr="00F13ADE">
        <w:rPr>
          <w:sz w:val="20"/>
          <w:szCs w:val="20"/>
          <w:lang w:eastAsia="en-GB"/>
        </w:rPr>
        <w:t>V</w:t>
      </w:r>
      <w:r w:rsidR="00145B4E">
        <w:rPr>
          <w:sz w:val="20"/>
          <w:szCs w:val="20"/>
          <w:lang w:eastAsia="en-GB"/>
        </w:rPr>
        <w:t>annuffelen</w:t>
      </w:r>
      <w:proofErr w:type="spellEnd"/>
      <w:r w:rsidR="00145B4E" w:rsidRPr="00F13ADE">
        <w:rPr>
          <w:sz w:val="20"/>
          <w:szCs w:val="20"/>
          <w:lang w:eastAsia="en-GB"/>
        </w:rPr>
        <w:t>, P</w:t>
      </w:r>
      <w:r w:rsidR="00145B4E">
        <w:rPr>
          <w:sz w:val="20"/>
          <w:szCs w:val="20"/>
          <w:lang w:eastAsia="en-GB"/>
        </w:rPr>
        <w:t>eter</w:t>
      </w:r>
      <w:r w:rsidR="00145B4E" w:rsidRPr="00F13ADE">
        <w:rPr>
          <w:sz w:val="20"/>
          <w:szCs w:val="20"/>
          <w:lang w:eastAsia="en-GB"/>
        </w:rPr>
        <w:t>. G</w:t>
      </w:r>
      <w:r w:rsidR="00145B4E">
        <w:rPr>
          <w:sz w:val="20"/>
          <w:szCs w:val="20"/>
          <w:lang w:eastAsia="en-GB"/>
        </w:rPr>
        <w:t>alen</w:t>
      </w:r>
      <w:r w:rsidR="00145B4E" w:rsidRPr="00F13ADE">
        <w:rPr>
          <w:sz w:val="20"/>
          <w:szCs w:val="20"/>
          <w:lang w:eastAsia="en-GB"/>
        </w:rPr>
        <w:t>, D</w:t>
      </w:r>
      <w:r w:rsidR="00145B4E">
        <w:rPr>
          <w:sz w:val="20"/>
          <w:szCs w:val="20"/>
          <w:lang w:eastAsia="en-GB"/>
        </w:rPr>
        <w:t>ivination and the</w:t>
      </w:r>
      <w:r w:rsidR="00145B4E" w:rsidRPr="00F13ADE">
        <w:rPr>
          <w:sz w:val="20"/>
          <w:szCs w:val="20"/>
          <w:lang w:eastAsia="en-GB"/>
        </w:rPr>
        <w:t xml:space="preserve"> S</w:t>
      </w:r>
      <w:r w:rsidR="00145B4E">
        <w:rPr>
          <w:sz w:val="20"/>
          <w:szCs w:val="20"/>
          <w:lang w:eastAsia="en-GB"/>
        </w:rPr>
        <w:t>tatus</w:t>
      </w:r>
      <w:r w:rsidR="00145B4E" w:rsidRPr="00F13ADE">
        <w:rPr>
          <w:sz w:val="20"/>
          <w:szCs w:val="20"/>
          <w:lang w:eastAsia="en-GB"/>
        </w:rPr>
        <w:t xml:space="preserve"> </w:t>
      </w:r>
      <w:r w:rsidR="00145B4E">
        <w:rPr>
          <w:sz w:val="20"/>
          <w:szCs w:val="20"/>
          <w:lang w:eastAsia="en-GB"/>
        </w:rPr>
        <w:t>of</w:t>
      </w:r>
      <w:r w:rsidR="00145B4E" w:rsidRPr="00F13ADE">
        <w:rPr>
          <w:sz w:val="20"/>
          <w:szCs w:val="20"/>
          <w:lang w:eastAsia="en-GB"/>
        </w:rPr>
        <w:t xml:space="preserve"> M</w:t>
      </w:r>
      <w:r w:rsidR="00145B4E">
        <w:rPr>
          <w:sz w:val="20"/>
          <w:szCs w:val="20"/>
          <w:lang w:eastAsia="en-GB"/>
        </w:rPr>
        <w:t>edicine</w:t>
      </w:r>
      <w:r w:rsidRPr="00F13ADE">
        <w:rPr>
          <w:sz w:val="20"/>
          <w:szCs w:val="20"/>
          <w:lang w:eastAsia="en-GB"/>
        </w:rPr>
        <w:t>, p. 34</w:t>
      </w:r>
      <w:r>
        <w:rPr>
          <w:sz w:val="20"/>
          <w:szCs w:val="20"/>
          <w:lang w:eastAsia="en-GB"/>
        </w:rPr>
        <w:t>5</w:t>
      </w:r>
      <w:r w:rsidRPr="00F13ADE">
        <w:rPr>
          <w:sz w:val="20"/>
          <w:szCs w:val="20"/>
          <w:lang w:eastAsia="en-GB"/>
        </w:rPr>
        <w:t>.</w:t>
      </w:r>
    </w:p>
  </w:footnote>
  <w:footnote w:id="22">
    <w:p w14:paraId="07AE2620" w14:textId="3B662DEE" w:rsidR="008E3B54" w:rsidRPr="00D470BB" w:rsidRDefault="008E3B54" w:rsidP="008E3B54">
      <w:pPr>
        <w:pStyle w:val="FootnoteText"/>
        <w:rPr>
          <w:rFonts w:cstheme="minorHAnsi"/>
        </w:rPr>
      </w:pPr>
      <w:r>
        <w:rPr>
          <w:rStyle w:val="FootnoteReference"/>
        </w:rPr>
        <w:footnoteRef/>
      </w:r>
      <w:r>
        <w:t xml:space="preserve"> </w:t>
      </w:r>
      <w:r w:rsidRPr="00D470BB">
        <w:rPr>
          <w:rFonts w:cstheme="minorHAnsi"/>
          <w:shd w:val="clear" w:color="auto" w:fill="FFFFFF"/>
        </w:rPr>
        <w:t>Thorndike, Lynn</w:t>
      </w:r>
      <w:r w:rsidRPr="00145B4E">
        <w:rPr>
          <w:rFonts w:cstheme="minorHAnsi"/>
          <w:shd w:val="clear" w:color="auto" w:fill="FFFFFF"/>
        </w:rPr>
        <w:t>, A History of Magic and Experimental Science, Volume 1 (of 2) During the First Thirteen Centuries of Our Era</w:t>
      </w:r>
      <w:r w:rsidRPr="00D470BB">
        <w:rPr>
          <w:rFonts w:cstheme="minorHAnsi"/>
          <w:shd w:val="clear" w:color="auto" w:fill="FFFFFF"/>
        </w:rPr>
        <w:t xml:space="preserve"> (Project Gutenberg), p.111 </w:t>
      </w:r>
      <w:hyperlink r:id="rId4" w:anchor="Page_100" w:history="1">
        <w:r w:rsidRPr="0062193D">
          <w:rPr>
            <w:rStyle w:val="Hyperlink"/>
            <w:rFonts w:cstheme="minorHAnsi"/>
            <w:shd w:val="clear" w:color="auto" w:fill="FFFFFF"/>
          </w:rPr>
          <w:t>https://www.gutenberg.org/cache/epub/67792/pg67792-images.html#Page_100</w:t>
        </w:r>
      </w:hyperlink>
      <w:r>
        <w:rPr>
          <w:rFonts w:cstheme="minorHAnsi"/>
          <w:shd w:val="clear" w:color="auto" w:fill="FFFFFF"/>
        </w:rPr>
        <w:t xml:space="preserve"> </w:t>
      </w:r>
      <w:r w:rsidR="001A4B66">
        <w:rPr>
          <w:rFonts w:cstheme="minorHAnsi"/>
          <w:shd w:val="clear" w:color="auto" w:fill="FFFFFF"/>
        </w:rPr>
        <w:t>[</w:t>
      </w:r>
      <w:r>
        <w:rPr>
          <w:rFonts w:cstheme="minorHAnsi"/>
          <w:shd w:val="clear" w:color="auto" w:fill="FFFFFF"/>
        </w:rPr>
        <w:t>Accessed 29/10/2023</w:t>
      </w:r>
      <w:r w:rsidR="001A4B66">
        <w:rPr>
          <w:rFonts w:cstheme="minorHAnsi"/>
          <w:shd w:val="clear" w:color="auto" w:fill="FFFFFF"/>
        </w:rPr>
        <w:t>]</w:t>
      </w:r>
    </w:p>
  </w:footnote>
  <w:footnote w:id="23">
    <w:p w14:paraId="6CCF22FE" w14:textId="03E725B7" w:rsidR="00235C45" w:rsidRDefault="00235C45">
      <w:pPr>
        <w:pStyle w:val="FootnoteText"/>
      </w:pPr>
      <w:r>
        <w:rPr>
          <w:rStyle w:val="FootnoteReference"/>
        </w:rPr>
        <w:footnoteRef/>
      </w:r>
      <w:r>
        <w:t xml:space="preserve"> French, Foretelling the Future, p.470</w:t>
      </w:r>
      <w:r w:rsidR="00145B4E">
        <w:t>.</w:t>
      </w:r>
    </w:p>
  </w:footnote>
  <w:footnote w:id="24">
    <w:p w14:paraId="2691D95F" w14:textId="200E1320" w:rsidR="00AF4265" w:rsidRPr="00AF4265" w:rsidRDefault="00AF4265" w:rsidP="00AF4265">
      <w:pPr>
        <w:pStyle w:val="NoSpacing"/>
        <w:rPr>
          <w:sz w:val="20"/>
          <w:szCs w:val="20"/>
          <w:lang w:eastAsia="en-GB"/>
        </w:rPr>
      </w:pPr>
      <w:r>
        <w:rPr>
          <w:rStyle w:val="FootnoteReference"/>
        </w:rPr>
        <w:footnoteRef/>
      </w:r>
      <w:r>
        <w:t xml:space="preserve"> </w:t>
      </w:r>
      <w:proofErr w:type="spellStart"/>
      <w:r w:rsidRPr="00AF4265">
        <w:rPr>
          <w:sz w:val="20"/>
          <w:szCs w:val="20"/>
          <w:lang w:eastAsia="en-GB"/>
        </w:rPr>
        <w:t>Fidora</w:t>
      </w:r>
      <w:proofErr w:type="spellEnd"/>
      <w:r w:rsidRPr="00AF4265">
        <w:rPr>
          <w:sz w:val="20"/>
          <w:szCs w:val="20"/>
          <w:lang w:eastAsia="en-GB"/>
        </w:rPr>
        <w:t xml:space="preserve">, Alexander. Divination and Scientific Prediction: The Epistemology of Prognostic Sciences in Medieval Europe. </w:t>
      </w:r>
      <w:r w:rsidRPr="00145B4E">
        <w:rPr>
          <w:sz w:val="20"/>
          <w:szCs w:val="20"/>
          <w:lang w:eastAsia="en-GB"/>
        </w:rPr>
        <w:t>Early Science and Medicine</w:t>
      </w:r>
      <w:r w:rsidRPr="00AF4265">
        <w:rPr>
          <w:sz w:val="20"/>
          <w:szCs w:val="20"/>
          <w:lang w:eastAsia="en-GB"/>
        </w:rPr>
        <w:t>, vol. 18, no. 6, 2013, pp. 5</w:t>
      </w:r>
      <w:r w:rsidR="00666F87">
        <w:rPr>
          <w:sz w:val="20"/>
          <w:szCs w:val="20"/>
          <w:lang w:eastAsia="en-GB"/>
        </w:rPr>
        <w:t>19</w:t>
      </w:r>
      <w:r w:rsidRPr="00AF4265">
        <w:rPr>
          <w:sz w:val="20"/>
          <w:szCs w:val="20"/>
          <w:lang w:eastAsia="en-GB"/>
        </w:rPr>
        <w:t xml:space="preserve"> </w:t>
      </w:r>
      <w:r w:rsidRPr="00AF4265">
        <w:rPr>
          <w:i/>
          <w:iCs/>
          <w:sz w:val="20"/>
          <w:szCs w:val="20"/>
          <w:lang w:eastAsia="en-GB"/>
        </w:rPr>
        <w:t>JSTOR</w:t>
      </w:r>
      <w:r w:rsidRPr="00AF4265">
        <w:rPr>
          <w:sz w:val="20"/>
          <w:szCs w:val="20"/>
          <w:lang w:eastAsia="en-GB"/>
        </w:rPr>
        <w:t xml:space="preserve">, </w:t>
      </w:r>
      <w:hyperlink r:id="rId5" w:history="1">
        <w:r w:rsidRPr="004F56CF">
          <w:rPr>
            <w:rStyle w:val="Hyperlink"/>
            <w:sz w:val="20"/>
            <w:szCs w:val="20"/>
            <w:lang w:eastAsia="en-GB"/>
          </w:rPr>
          <w:t>http://www.jstor.org/stable/24269302</w:t>
        </w:r>
      </w:hyperlink>
      <w:r>
        <w:rPr>
          <w:sz w:val="20"/>
          <w:szCs w:val="20"/>
          <w:lang w:eastAsia="en-GB"/>
        </w:rPr>
        <w:t xml:space="preserve"> </w:t>
      </w:r>
      <w:r w:rsidR="001A4B66">
        <w:rPr>
          <w:sz w:val="20"/>
          <w:szCs w:val="20"/>
          <w:lang w:eastAsia="en-GB"/>
        </w:rPr>
        <w:t>[</w:t>
      </w:r>
      <w:r w:rsidRPr="00AF4265">
        <w:rPr>
          <w:sz w:val="20"/>
          <w:szCs w:val="20"/>
          <w:lang w:eastAsia="en-GB"/>
        </w:rPr>
        <w:t>Accessed 29 Oct. 2023</w:t>
      </w:r>
      <w:r w:rsidR="001A4B66">
        <w:rPr>
          <w:sz w:val="20"/>
          <w:szCs w:val="20"/>
          <w:lang w:eastAsia="en-GB"/>
        </w:rPr>
        <w:t>]</w:t>
      </w:r>
    </w:p>
  </w:footnote>
  <w:footnote w:id="25">
    <w:p w14:paraId="644DF212" w14:textId="03532EAE" w:rsidR="00145B4E" w:rsidRDefault="00503CC3" w:rsidP="00B74D60">
      <w:pPr>
        <w:pStyle w:val="NoSpacing"/>
      </w:pPr>
      <w:r>
        <w:rPr>
          <w:rStyle w:val="FootnoteReference"/>
        </w:rPr>
        <w:footnoteRef/>
      </w:r>
      <w:r>
        <w:t xml:space="preserve"> </w:t>
      </w:r>
      <w:proofErr w:type="spellStart"/>
      <w:r w:rsidR="00145B4E" w:rsidRPr="00F13ADE">
        <w:rPr>
          <w:sz w:val="20"/>
          <w:szCs w:val="20"/>
          <w:lang w:eastAsia="en-GB"/>
        </w:rPr>
        <w:t>V</w:t>
      </w:r>
      <w:r w:rsidR="00145B4E">
        <w:rPr>
          <w:sz w:val="20"/>
          <w:szCs w:val="20"/>
          <w:lang w:eastAsia="en-GB"/>
        </w:rPr>
        <w:t>annuffelen</w:t>
      </w:r>
      <w:proofErr w:type="spellEnd"/>
      <w:r w:rsidR="00145B4E" w:rsidRPr="00F13ADE">
        <w:rPr>
          <w:sz w:val="20"/>
          <w:szCs w:val="20"/>
          <w:lang w:eastAsia="en-GB"/>
        </w:rPr>
        <w:t>, P</w:t>
      </w:r>
      <w:r w:rsidR="00145B4E">
        <w:rPr>
          <w:sz w:val="20"/>
          <w:szCs w:val="20"/>
          <w:lang w:eastAsia="en-GB"/>
        </w:rPr>
        <w:t>eter</w:t>
      </w:r>
      <w:r w:rsidR="00145B4E" w:rsidRPr="00F13ADE">
        <w:rPr>
          <w:sz w:val="20"/>
          <w:szCs w:val="20"/>
          <w:lang w:eastAsia="en-GB"/>
        </w:rPr>
        <w:t>. G</w:t>
      </w:r>
      <w:r w:rsidR="00145B4E">
        <w:rPr>
          <w:sz w:val="20"/>
          <w:szCs w:val="20"/>
          <w:lang w:eastAsia="en-GB"/>
        </w:rPr>
        <w:t>alen</w:t>
      </w:r>
      <w:r w:rsidR="00145B4E" w:rsidRPr="00F13ADE">
        <w:rPr>
          <w:sz w:val="20"/>
          <w:szCs w:val="20"/>
          <w:lang w:eastAsia="en-GB"/>
        </w:rPr>
        <w:t>, D</w:t>
      </w:r>
      <w:r w:rsidR="00145B4E">
        <w:rPr>
          <w:sz w:val="20"/>
          <w:szCs w:val="20"/>
          <w:lang w:eastAsia="en-GB"/>
        </w:rPr>
        <w:t>ivination and the</w:t>
      </w:r>
      <w:r w:rsidR="00145B4E" w:rsidRPr="00F13ADE">
        <w:rPr>
          <w:sz w:val="20"/>
          <w:szCs w:val="20"/>
          <w:lang w:eastAsia="en-GB"/>
        </w:rPr>
        <w:t xml:space="preserve"> S</w:t>
      </w:r>
      <w:r w:rsidR="00145B4E">
        <w:rPr>
          <w:sz w:val="20"/>
          <w:szCs w:val="20"/>
          <w:lang w:eastAsia="en-GB"/>
        </w:rPr>
        <w:t>tatus</w:t>
      </w:r>
      <w:r w:rsidR="00145B4E" w:rsidRPr="00F13ADE">
        <w:rPr>
          <w:sz w:val="20"/>
          <w:szCs w:val="20"/>
          <w:lang w:eastAsia="en-GB"/>
        </w:rPr>
        <w:t xml:space="preserve"> </w:t>
      </w:r>
      <w:r w:rsidR="00145B4E">
        <w:rPr>
          <w:sz w:val="20"/>
          <w:szCs w:val="20"/>
          <w:lang w:eastAsia="en-GB"/>
        </w:rPr>
        <w:t>of</w:t>
      </w:r>
      <w:r w:rsidR="00145B4E" w:rsidRPr="00F13ADE">
        <w:rPr>
          <w:sz w:val="20"/>
          <w:szCs w:val="20"/>
          <w:lang w:eastAsia="en-GB"/>
        </w:rPr>
        <w:t xml:space="preserve"> M</w:t>
      </w:r>
      <w:r w:rsidR="00145B4E">
        <w:rPr>
          <w:sz w:val="20"/>
          <w:szCs w:val="20"/>
          <w:lang w:eastAsia="en-GB"/>
        </w:rPr>
        <w:t>edicine</w:t>
      </w:r>
      <w:r w:rsidR="00145B4E" w:rsidRPr="00F13ADE">
        <w:rPr>
          <w:sz w:val="20"/>
          <w:szCs w:val="20"/>
          <w:lang w:eastAsia="en-GB"/>
        </w:rPr>
        <w:t>, p.</w:t>
      </w:r>
      <w:r w:rsidR="00145B4E">
        <w:rPr>
          <w:sz w:val="20"/>
          <w:szCs w:val="20"/>
          <w:lang w:eastAsia="en-GB"/>
        </w:rPr>
        <w:t xml:space="preserve"> 351.</w:t>
      </w:r>
    </w:p>
  </w:footnote>
  <w:footnote w:id="26">
    <w:p w14:paraId="44BE9F3B" w14:textId="293284EE" w:rsidR="008A3F57" w:rsidRDefault="008A3F57">
      <w:pPr>
        <w:pStyle w:val="FootnoteText"/>
      </w:pPr>
      <w:r>
        <w:rPr>
          <w:rStyle w:val="FootnoteReference"/>
        </w:rPr>
        <w:footnoteRef/>
      </w:r>
      <w:r>
        <w:t xml:space="preserve"> French, foretelling the Future, p. 456</w:t>
      </w:r>
      <w:r w:rsidR="00145B4E">
        <w:t>.</w:t>
      </w:r>
    </w:p>
  </w:footnote>
  <w:footnote w:id="27">
    <w:p w14:paraId="6C06CED6" w14:textId="12226F64" w:rsidR="008A3F57" w:rsidRDefault="008A3F57">
      <w:pPr>
        <w:pStyle w:val="FootnoteText"/>
      </w:pPr>
      <w:r>
        <w:rPr>
          <w:rStyle w:val="FootnoteReference"/>
        </w:rPr>
        <w:footnoteRef/>
      </w:r>
      <w:r>
        <w:t xml:space="preserve"> French, Foretelling the Future, p. 477</w:t>
      </w:r>
      <w:r w:rsidR="00145B4E">
        <w:t>.</w:t>
      </w:r>
    </w:p>
  </w:footnote>
  <w:footnote w:id="28">
    <w:p w14:paraId="4A868304" w14:textId="4E17FA09" w:rsidR="00814AC5" w:rsidRDefault="00814AC5" w:rsidP="00814AC5">
      <w:pPr>
        <w:pStyle w:val="FootnoteText"/>
      </w:pPr>
      <w:r>
        <w:rPr>
          <w:rStyle w:val="FootnoteReference"/>
        </w:rPr>
        <w:footnoteRef/>
      </w:r>
      <w:r>
        <w:t xml:space="preserve"> French, Foretelling the Future, p.</w:t>
      </w:r>
      <w:r w:rsidR="008A3F57">
        <w:t xml:space="preserve"> </w:t>
      </w:r>
      <w:r>
        <w:t>476</w:t>
      </w:r>
      <w:r w:rsidR="00145B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042E8" w14:textId="6F059001" w:rsidR="00A235F9" w:rsidRDefault="00A235F9" w:rsidP="00A235F9">
    <w:pPr>
      <w:pStyle w:val="Header"/>
      <w:tabs>
        <w:tab w:val="left" w:pos="555"/>
      </w:tabs>
      <w:rPr>
        <w:color w:val="8496B0" w:themeColor="text2" w:themeTint="99"/>
        <w:sz w:val="24"/>
        <w:szCs w:val="24"/>
      </w:rPr>
    </w:pPr>
    <w:r>
      <w:rPr>
        <w:color w:val="8496B0" w:themeColor="text2" w:themeTint="99"/>
        <w:sz w:val="24"/>
        <w:szCs w:val="24"/>
      </w:rPr>
      <w:tab/>
      <w:t>Lisa Stockley 2307752</w:t>
    </w:r>
    <w:r>
      <w:rPr>
        <w:color w:val="8496B0" w:themeColor="text2" w:themeTint="99"/>
        <w:sz w:val="24"/>
        <w:szCs w:val="24"/>
      </w:rPr>
      <w:tab/>
    </w:r>
    <w:r>
      <w:rPr>
        <w:color w:val="8496B0" w:themeColor="text2" w:themeTint="99"/>
        <w:sz w:val="24"/>
        <w:szCs w:val="24"/>
      </w:rPr>
      <w:tab/>
      <w:t xml:space="preserve">Page </w:t>
    </w: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t>2</w:t>
    </w:r>
    <w:r>
      <w:rPr>
        <w:color w:val="8496B0" w:themeColor="text2" w:themeTint="99"/>
        <w:sz w:val="24"/>
        <w:szCs w:val="24"/>
      </w:rPr>
      <w:fldChar w:fldCharType="end"/>
    </w:r>
    <w:r>
      <w:rPr>
        <w:color w:val="8496B0" w:themeColor="text2" w:themeTint="99"/>
        <w:sz w:val="24"/>
        <w:szCs w:val="24"/>
      </w:rPr>
      <w:t xml:space="preserve"> of 7</w:t>
    </w:r>
  </w:p>
  <w:p w14:paraId="7E916C88" w14:textId="77777777" w:rsidR="00A235F9" w:rsidRDefault="00A235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9E"/>
    <w:rsid w:val="0004365E"/>
    <w:rsid w:val="0006467F"/>
    <w:rsid w:val="000650CE"/>
    <w:rsid w:val="00067871"/>
    <w:rsid w:val="00072FB7"/>
    <w:rsid w:val="000B298E"/>
    <w:rsid w:val="000D779C"/>
    <w:rsid w:val="000E59BF"/>
    <w:rsid w:val="000F7B65"/>
    <w:rsid w:val="0013112E"/>
    <w:rsid w:val="00145B4E"/>
    <w:rsid w:val="0017432F"/>
    <w:rsid w:val="00174F41"/>
    <w:rsid w:val="001A1070"/>
    <w:rsid w:val="001A16F6"/>
    <w:rsid w:val="001A29CA"/>
    <w:rsid w:val="001A4B66"/>
    <w:rsid w:val="001A682E"/>
    <w:rsid w:val="001B130A"/>
    <w:rsid w:val="001F7D78"/>
    <w:rsid w:val="00223EE6"/>
    <w:rsid w:val="00235C45"/>
    <w:rsid w:val="00251377"/>
    <w:rsid w:val="00267457"/>
    <w:rsid w:val="00297425"/>
    <w:rsid w:val="002A2D35"/>
    <w:rsid w:val="002A5BAC"/>
    <w:rsid w:val="002C4B00"/>
    <w:rsid w:val="003307AE"/>
    <w:rsid w:val="0036332D"/>
    <w:rsid w:val="00476F7F"/>
    <w:rsid w:val="004A238F"/>
    <w:rsid w:val="004F6125"/>
    <w:rsid w:val="00503CC3"/>
    <w:rsid w:val="00555969"/>
    <w:rsid w:val="005604EA"/>
    <w:rsid w:val="00562B27"/>
    <w:rsid w:val="005B1BF6"/>
    <w:rsid w:val="005D03DD"/>
    <w:rsid w:val="005D48FA"/>
    <w:rsid w:val="00616C0C"/>
    <w:rsid w:val="00620876"/>
    <w:rsid w:val="00666F87"/>
    <w:rsid w:val="006B6D0A"/>
    <w:rsid w:val="006D1179"/>
    <w:rsid w:val="007365EA"/>
    <w:rsid w:val="00745922"/>
    <w:rsid w:val="00752E69"/>
    <w:rsid w:val="007735F9"/>
    <w:rsid w:val="00784AB2"/>
    <w:rsid w:val="007A435D"/>
    <w:rsid w:val="007E37F2"/>
    <w:rsid w:val="007F122F"/>
    <w:rsid w:val="007F22B7"/>
    <w:rsid w:val="00814AC5"/>
    <w:rsid w:val="00827534"/>
    <w:rsid w:val="008A3F57"/>
    <w:rsid w:val="008D0370"/>
    <w:rsid w:val="008D69B8"/>
    <w:rsid w:val="008E3B54"/>
    <w:rsid w:val="008F1A16"/>
    <w:rsid w:val="008F6A71"/>
    <w:rsid w:val="008F7265"/>
    <w:rsid w:val="00931371"/>
    <w:rsid w:val="009926A0"/>
    <w:rsid w:val="009F3C2D"/>
    <w:rsid w:val="00A235F9"/>
    <w:rsid w:val="00AF4265"/>
    <w:rsid w:val="00AF512E"/>
    <w:rsid w:val="00B035DE"/>
    <w:rsid w:val="00B1071D"/>
    <w:rsid w:val="00B147A2"/>
    <w:rsid w:val="00B74D60"/>
    <w:rsid w:val="00BA0A00"/>
    <w:rsid w:val="00BE6C9E"/>
    <w:rsid w:val="00C11B6A"/>
    <w:rsid w:val="00C338F6"/>
    <w:rsid w:val="00C4480F"/>
    <w:rsid w:val="00CB11AF"/>
    <w:rsid w:val="00D470BB"/>
    <w:rsid w:val="00D548A7"/>
    <w:rsid w:val="00D70F25"/>
    <w:rsid w:val="00D75738"/>
    <w:rsid w:val="00D7607A"/>
    <w:rsid w:val="00DA1CF4"/>
    <w:rsid w:val="00DD7793"/>
    <w:rsid w:val="00E4621E"/>
    <w:rsid w:val="00EA255F"/>
    <w:rsid w:val="00F030E3"/>
    <w:rsid w:val="00F13ADE"/>
    <w:rsid w:val="00F615F1"/>
    <w:rsid w:val="00F70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39E4"/>
  <w15:chartTrackingRefBased/>
  <w15:docId w15:val="{EE4494B8-81B3-4C07-8BB4-479201BF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7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0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6C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C9E"/>
    <w:rPr>
      <w:sz w:val="20"/>
      <w:szCs w:val="20"/>
    </w:rPr>
  </w:style>
  <w:style w:type="character" w:styleId="FootnoteReference">
    <w:name w:val="footnote reference"/>
    <w:basedOn w:val="DefaultParagraphFont"/>
    <w:uiPriority w:val="99"/>
    <w:semiHidden/>
    <w:unhideWhenUsed/>
    <w:rsid w:val="00BE6C9E"/>
    <w:rPr>
      <w:vertAlign w:val="superscript"/>
    </w:rPr>
  </w:style>
  <w:style w:type="character" w:styleId="Hyperlink">
    <w:name w:val="Hyperlink"/>
    <w:basedOn w:val="DefaultParagraphFont"/>
    <w:uiPriority w:val="99"/>
    <w:unhideWhenUsed/>
    <w:rsid w:val="00BE6C9E"/>
    <w:rPr>
      <w:color w:val="0563C1" w:themeColor="hyperlink"/>
      <w:u w:val="single"/>
    </w:rPr>
  </w:style>
  <w:style w:type="character" w:styleId="UnresolvedMention">
    <w:name w:val="Unresolved Mention"/>
    <w:basedOn w:val="DefaultParagraphFont"/>
    <w:uiPriority w:val="99"/>
    <w:semiHidden/>
    <w:unhideWhenUsed/>
    <w:rsid w:val="00BE6C9E"/>
    <w:rPr>
      <w:color w:val="605E5C"/>
      <w:shd w:val="clear" w:color="auto" w:fill="E1DFDD"/>
    </w:rPr>
  </w:style>
  <w:style w:type="paragraph" w:styleId="NoSpacing">
    <w:name w:val="No Spacing"/>
    <w:uiPriority w:val="1"/>
    <w:qFormat/>
    <w:rsid w:val="00C11B6A"/>
    <w:pPr>
      <w:spacing w:after="0" w:line="240" w:lineRule="auto"/>
    </w:pPr>
  </w:style>
  <w:style w:type="character" w:styleId="Strong">
    <w:name w:val="Strong"/>
    <w:basedOn w:val="DefaultParagraphFont"/>
    <w:uiPriority w:val="22"/>
    <w:qFormat/>
    <w:rsid w:val="003307AE"/>
    <w:rPr>
      <w:b/>
      <w:bCs/>
    </w:rPr>
  </w:style>
  <w:style w:type="character" w:styleId="Emphasis">
    <w:name w:val="Emphasis"/>
    <w:basedOn w:val="DefaultParagraphFont"/>
    <w:uiPriority w:val="20"/>
    <w:qFormat/>
    <w:rsid w:val="003307AE"/>
    <w:rPr>
      <w:i/>
      <w:iCs/>
    </w:rPr>
  </w:style>
  <w:style w:type="paragraph" w:styleId="Title">
    <w:name w:val="Title"/>
    <w:basedOn w:val="Normal"/>
    <w:next w:val="Normal"/>
    <w:link w:val="TitleChar"/>
    <w:uiPriority w:val="10"/>
    <w:qFormat/>
    <w:rsid w:val="00784A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AB2"/>
    <w:rPr>
      <w:rFonts w:asciiTheme="majorHAnsi" w:eastAsiaTheme="majorEastAsia" w:hAnsiTheme="majorHAnsi" w:cstheme="majorBidi"/>
      <w:spacing w:val="-10"/>
      <w:kern w:val="28"/>
      <w:sz w:val="56"/>
      <w:szCs w:val="56"/>
    </w:rPr>
  </w:style>
  <w:style w:type="paragraph" w:styleId="NormalWeb">
    <w:name w:val="Normal (Web)"/>
    <w:basedOn w:val="Normal"/>
    <w:rsid w:val="007A435D"/>
    <w:pPr>
      <w:suppressAutoHyphens/>
      <w:spacing w:before="280" w:after="280" w:line="240" w:lineRule="auto"/>
    </w:pPr>
    <w:rPr>
      <w:rFonts w:ascii="Georgia" w:eastAsia="SimSun" w:hAnsi="Georgia" w:cs="Georgia"/>
      <w:color w:val="000000"/>
      <w:kern w:val="0"/>
      <w:sz w:val="21"/>
      <w:szCs w:val="21"/>
      <w:lang w:eastAsia="zh-CN"/>
      <w14:ligatures w14:val="none"/>
    </w:rPr>
  </w:style>
  <w:style w:type="character" w:customStyle="1" w:styleId="Heading2Char">
    <w:name w:val="Heading 2 Char"/>
    <w:basedOn w:val="DefaultParagraphFont"/>
    <w:link w:val="Heading2"/>
    <w:uiPriority w:val="9"/>
    <w:rsid w:val="00B1071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107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470B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23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5F9"/>
  </w:style>
  <w:style w:type="paragraph" w:styleId="Footer">
    <w:name w:val="footer"/>
    <w:basedOn w:val="Normal"/>
    <w:link w:val="FooterChar"/>
    <w:uiPriority w:val="99"/>
    <w:unhideWhenUsed/>
    <w:rsid w:val="00A23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5F9"/>
  </w:style>
  <w:style w:type="character" w:styleId="FollowedHyperlink">
    <w:name w:val="FollowedHyperlink"/>
    <w:basedOn w:val="DefaultParagraphFont"/>
    <w:uiPriority w:val="99"/>
    <w:semiHidden/>
    <w:unhideWhenUsed/>
    <w:rsid w:val="00C33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41735">
      <w:bodyDiv w:val="1"/>
      <w:marLeft w:val="0"/>
      <w:marRight w:val="0"/>
      <w:marTop w:val="0"/>
      <w:marBottom w:val="0"/>
      <w:divBdr>
        <w:top w:val="none" w:sz="0" w:space="0" w:color="auto"/>
        <w:left w:val="none" w:sz="0" w:space="0" w:color="auto"/>
        <w:bottom w:val="none" w:sz="0" w:space="0" w:color="auto"/>
        <w:right w:val="none" w:sz="0" w:space="0" w:color="auto"/>
      </w:divBdr>
      <w:divsChild>
        <w:div w:id="75908962">
          <w:marLeft w:val="0"/>
          <w:marRight w:val="0"/>
          <w:marTop w:val="0"/>
          <w:marBottom w:val="0"/>
          <w:divBdr>
            <w:top w:val="none" w:sz="0" w:space="0" w:color="auto"/>
            <w:left w:val="none" w:sz="0" w:space="0" w:color="auto"/>
            <w:bottom w:val="none" w:sz="0" w:space="0" w:color="auto"/>
            <w:right w:val="none" w:sz="0" w:space="0" w:color="auto"/>
          </w:divBdr>
          <w:divsChild>
            <w:div w:id="8504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83862">
      <w:bodyDiv w:val="1"/>
      <w:marLeft w:val="0"/>
      <w:marRight w:val="0"/>
      <w:marTop w:val="0"/>
      <w:marBottom w:val="0"/>
      <w:divBdr>
        <w:top w:val="none" w:sz="0" w:space="0" w:color="auto"/>
        <w:left w:val="none" w:sz="0" w:space="0" w:color="auto"/>
        <w:bottom w:val="none" w:sz="0" w:space="0" w:color="auto"/>
        <w:right w:val="none" w:sz="0" w:space="0" w:color="auto"/>
      </w:divBdr>
      <w:divsChild>
        <w:div w:id="1107506330">
          <w:marLeft w:val="0"/>
          <w:marRight w:val="0"/>
          <w:marTop w:val="0"/>
          <w:marBottom w:val="0"/>
          <w:divBdr>
            <w:top w:val="none" w:sz="0" w:space="0" w:color="auto"/>
            <w:left w:val="none" w:sz="0" w:space="0" w:color="auto"/>
            <w:bottom w:val="none" w:sz="0" w:space="0" w:color="auto"/>
            <w:right w:val="none" w:sz="0" w:space="0" w:color="auto"/>
          </w:divBdr>
          <w:divsChild>
            <w:div w:id="59421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0301">
      <w:bodyDiv w:val="1"/>
      <w:marLeft w:val="0"/>
      <w:marRight w:val="0"/>
      <w:marTop w:val="0"/>
      <w:marBottom w:val="0"/>
      <w:divBdr>
        <w:top w:val="none" w:sz="0" w:space="0" w:color="auto"/>
        <w:left w:val="none" w:sz="0" w:space="0" w:color="auto"/>
        <w:bottom w:val="none" w:sz="0" w:space="0" w:color="auto"/>
        <w:right w:val="none" w:sz="0" w:space="0" w:color="auto"/>
      </w:divBdr>
      <w:divsChild>
        <w:div w:id="1972055911">
          <w:marLeft w:val="0"/>
          <w:marRight w:val="0"/>
          <w:marTop w:val="0"/>
          <w:marBottom w:val="0"/>
          <w:divBdr>
            <w:top w:val="none" w:sz="0" w:space="0" w:color="auto"/>
            <w:left w:val="none" w:sz="0" w:space="0" w:color="auto"/>
            <w:bottom w:val="none" w:sz="0" w:space="0" w:color="auto"/>
            <w:right w:val="none" w:sz="0" w:space="0" w:color="auto"/>
          </w:divBdr>
          <w:divsChild>
            <w:div w:id="12130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8089">
      <w:bodyDiv w:val="1"/>
      <w:marLeft w:val="0"/>
      <w:marRight w:val="0"/>
      <w:marTop w:val="0"/>
      <w:marBottom w:val="0"/>
      <w:divBdr>
        <w:top w:val="none" w:sz="0" w:space="0" w:color="auto"/>
        <w:left w:val="none" w:sz="0" w:space="0" w:color="auto"/>
        <w:bottom w:val="none" w:sz="0" w:space="0" w:color="auto"/>
        <w:right w:val="none" w:sz="0" w:space="0" w:color="auto"/>
      </w:divBdr>
    </w:div>
    <w:div w:id="2101480884">
      <w:bodyDiv w:val="1"/>
      <w:marLeft w:val="0"/>
      <w:marRight w:val="0"/>
      <w:marTop w:val="0"/>
      <w:marBottom w:val="0"/>
      <w:divBdr>
        <w:top w:val="none" w:sz="0" w:space="0" w:color="auto"/>
        <w:left w:val="none" w:sz="0" w:space="0" w:color="auto"/>
        <w:bottom w:val="none" w:sz="0" w:space="0" w:color="auto"/>
        <w:right w:val="none" w:sz="0" w:space="0" w:color="auto"/>
      </w:divBdr>
      <w:divsChild>
        <w:div w:id="61685811">
          <w:marLeft w:val="0"/>
          <w:marRight w:val="0"/>
          <w:marTop w:val="0"/>
          <w:marBottom w:val="0"/>
          <w:divBdr>
            <w:top w:val="none" w:sz="0" w:space="0" w:color="auto"/>
            <w:left w:val="none" w:sz="0" w:space="0" w:color="auto"/>
            <w:bottom w:val="none" w:sz="0" w:space="0" w:color="auto"/>
            <w:right w:val="none" w:sz="0" w:space="0" w:color="auto"/>
          </w:divBdr>
          <w:divsChild>
            <w:div w:id="7060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Relationship Id="rId13" Type="http://schemas.openxmlformats.org/officeDocument/2006/relationships/hyperlink" Target="https://www.jstor.org/stable/26546306"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gutenberg.org/cache/epub/67792/pg67792-image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mbridge.org/core/services/aop-cambridge-core/content/view/C248E32CB5F0AEF06720B34F6B6D192B/S0025727300069751a.pdf/roger-french12-april-193814-may-2002.pdf%20%2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outledge.com/Galen-De-diebus-decretoriis-from-Greek-into-Arabic-A-Critical-Edition/Cooper/p/book/9781138250833" TargetMode="External"/><Relationship Id="rId4" Type="http://schemas.openxmlformats.org/officeDocument/2006/relationships/webSettings" Target="webSettings.xml"/><Relationship Id="rId9" Type="http://schemas.openxmlformats.org/officeDocument/2006/relationships/hyperlink" Target="http://www.jstor.org/stable/24269302"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26546306" TargetMode="External"/><Relationship Id="rId2" Type="http://schemas.openxmlformats.org/officeDocument/2006/relationships/hyperlink" Target="https://www.routledge.com/Galen-De-diebus-decretoriis-from-Greek-into-Arabic-A-Critical-Edition/Cooper/p/book/9781138250833" TargetMode="External"/><Relationship Id="rId1" Type="http://schemas.openxmlformats.org/officeDocument/2006/relationships/hyperlink" Target="https://www.cambridge.org/core/services/aop-cambridge-core/content/view/C248E32CB5F0AEF06720B34F6B6D192B/S0025727300069751a.pdf/roger-french12-april-193814-may-2002.pdf" TargetMode="External"/><Relationship Id="rId5" Type="http://schemas.openxmlformats.org/officeDocument/2006/relationships/hyperlink" Target="http://www.jstor.org/stable/24269302" TargetMode="External"/><Relationship Id="rId4" Type="http://schemas.openxmlformats.org/officeDocument/2006/relationships/hyperlink" Target="https://www.gutenberg.org/cache/epub/67792/pg67792-im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CF5BC73-FFAB-43FD-93EA-B478726C8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Stockley</dc:creator>
  <cp:keywords/>
  <dc:description/>
  <cp:lastModifiedBy>Lisa Stockley</cp:lastModifiedBy>
  <cp:revision>2</cp:revision>
  <dcterms:created xsi:type="dcterms:W3CDTF">2023-11-03T12:34:00Z</dcterms:created>
  <dcterms:modified xsi:type="dcterms:W3CDTF">2023-11-03T12:34:00Z</dcterms:modified>
</cp:coreProperties>
</file>