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7D75C1" w14:textId="77777777" w:rsidR="005508AE" w:rsidRPr="00BE66B2" w:rsidRDefault="005508AE" w:rsidP="00BE66B2">
      <w:pPr>
        <w:jc w:val="both"/>
        <w:rPr>
          <w:rFonts w:asciiTheme="minorHAnsi" w:hAnsiTheme="minorHAnsi" w:cstheme="minorHAnsi"/>
        </w:rPr>
      </w:pPr>
      <w:r w:rsidRPr="00BE66B2">
        <w:rPr>
          <w:rFonts w:asciiTheme="minorHAnsi" w:hAnsiTheme="minorHAnsi" w:cstheme="minorHAnsi"/>
        </w:rPr>
        <w:t>Student Name: Saleh Ahmed</w:t>
      </w:r>
    </w:p>
    <w:p w14:paraId="7E1B31F8" w14:textId="77777777" w:rsidR="005508AE" w:rsidRPr="00BE66B2" w:rsidRDefault="005508AE" w:rsidP="00BE66B2">
      <w:pPr>
        <w:jc w:val="both"/>
        <w:rPr>
          <w:rFonts w:asciiTheme="minorHAnsi" w:hAnsiTheme="minorHAnsi" w:cstheme="minorHAnsi"/>
        </w:rPr>
      </w:pPr>
    </w:p>
    <w:p w14:paraId="7458F485" w14:textId="13A99538" w:rsidR="005508AE" w:rsidRPr="00BE66B2" w:rsidRDefault="005508AE" w:rsidP="00BE66B2">
      <w:pPr>
        <w:jc w:val="both"/>
        <w:rPr>
          <w:rFonts w:asciiTheme="minorHAnsi" w:hAnsiTheme="minorHAnsi" w:cstheme="minorHAnsi"/>
        </w:rPr>
      </w:pPr>
      <w:r w:rsidRPr="00BE66B2">
        <w:rPr>
          <w:rFonts w:asciiTheme="minorHAnsi" w:hAnsiTheme="minorHAnsi" w:cstheme="minorHAnsi"/>
        </w:rPr>
        <w:t>Student ID: 2010208</w:t>
      </w:r>
    </w:p>
    <w:p w14:paraId="05E759EB" w14:textId="1771501C" w:rsidR="005508AE" w:rsidRPr="00BE66B2" w:rsidRDefault="005508AE" w:rsidP="00BE66B2">
      <w:pPr>
        <w:jc w:val="both"/>
        <w:rPr>
          <w:rFonts w:asciiTheme="minorHAnsi" w:hAnsiTheme="minorHAnsi" w:cstheme="minorHAnsi"/>
        </w:rPr>
      </w:pPr>
    </w:p>
    <w:p w14:paraId="711AFD70" w14:textId="6B61CEDF" w:rsidR="005508AE" w:rsidRPr="00BE66B2" w:rsidRDefault="005508AE" w:rsidP="00BE66B2">
      <w:pPr>
        <w:jc w:val="both"/>
        <w:rPr>
          <w:rFonts w:asciiTheme="minorHAnsi" w:hAnsiTheme="minorHAnsi" w:cstheme="minorHAnsi"/>
        </w:rPr>
      </w:pPr>
      <w:r w:rsidRPr="00BE66B2">
        <w:rPr>
          <w:rFonts w:asciiTheme="minorHAnsi" w:hAnsiTheme="minorHAnsi" w:cstheme="minorHAnsi"/>
        </w:rPr>
        <w:t xml:space="preserve">Assignment : 2 </w:t>
      </w:r>
    </w:p>
    <w:p w14:paraId="224A34EE" w14:textId="13DD41F1" w:rsidR="005508AE" w:rsidRPr="00BE66B2" w:rsidRDefault="005508AE" w:rsidP="00BE66B2">
      <w:pPr>
        <w:jc w:val="both"/>
        <w:rPr>
          <w:rFonts w:asciiTheme="minorHAnsi" w:hAnsiTheme="minorHAnsi" w:cstheme="minorHAnsi"/>
        </w:rPr>
      </w:pPr>
    </w:p>
    <w:p w14:paraId="2A3765DC" w14:textId="46E88E54" w:rsidR="005508AE" w:rsidRPr="00BE66B2" w:rsidRDefault="005508AE" w:rsidP="00BE66B2">
      <w:pPr>
        <w:jc w:val="both"/>
        <w:rPr>
          <w:rFonts w:asciiTheme="minorHAnsi" w:hAnsiTheme="minorHAnsi" w:cstheme="minorHAnsi"/>
        </w:rPr>
      </w:pPr>
      <w:r w:rsidRPr="00BE66B2">
        <w:rPr>
          <w:rFonts w:asciiTheme="minorHAnsi" w:hAnsiTheme="minorHAnsi" w:cstheme="minorHAnsi"/>
        </w:rPr>
        <w:t>Module: Public Law</w:t>
      </w:r>
    </w:p>
    <w:p w14:paraId="62A8F7D1" w14:textId="0737FBD3" w:rsidR="005508AE" w:rsidRPr="00BE66B2" w:rsidRDefault="005508AE" w:rsidP="00BE66B2">
      <w:pPr>
        <w:jc w:val="both"/>
        <w:rPr>
          <w:rFonts w:asciiTheme="minorHAnsi" w:hAnsiTheme="minorHAnsi" w:cstheme="minorHAnsi"/>
        </w:rPr>
      </w:pPr>
    </w:p>
    <w:p w14:paraId="09C47A8A" w14:textId="519DAC0A" w:rsidR="005508AE" w:rsidRPr="00BE66B2" w:rsidRDefault="005508AE" w:rsidP="00BE66B2">
      <w:pPr>
        <w:jc w:val="both"/>
        <w:rPr>
          <w:rFonts w:asciiTheme="minorHAnsi" w:hAnsiTheme="minorHAnsi" w:cstheme="minorHAnsi"/>
        </w:rPr>
      </w:pPr>
    </w:p>
    <w:p w14:paraId="28DDE668" w14:textId="63DCF766" w:rsidR="005508AE" w:rsidRPr="00BE66B2" w:rsidRDefault="005508AE" w:rsidP="00BE66B2">
      <w:pPr>
        <w:jc w:val="both"/>
        <w:rPr>
          <w:rFonts w:asciiTheme="minorHAnsi" w:hAnsiTheme="minorHAnsi" w:cstheme="minorHAnsi"/>
        </w:rPr>
      </w:pPr>
    </w:p>
    <w:p w14:paraId="2F0BF92B" w14:textId="7962BCC9" w:rsidR="005508AE" w:rsidRPr="00BE66B2" w:rsidRDefault="005508AE" w:rsidP="00BE66B2">
      <w:pPr>
        <w:jc w:val="both"/>
        <w:rPr>
          <w:rFonts w:asciiTheme="minorHAnsi" w:hAnsiTheme="minorHAnsi" w:cstheme="minorHAnsi"/>
        </w:rPr>
      </w:pPr>
    </w:p>
    <w:p w14:paraId="5BF166E0" w14:textId="570482F4" w:rsidR="005508AE" w:rsidRPr="00BE66B2" w:rsidRDefault="005508AE" w:rsidP="00BE66B2">
      <w:pPr>
        <w:jc w:val="both"/>
        <w:rPr>
          <w:rFonts w:asciiTheme="minorHAnsi" w:hAnsiTheme="minorHAnsi" w:cstheme="minorHAnsi"/>
        </w:rPr>
      </w:pPr>
    </w:p>
    <w:p w14:paraId="6320B3D7" w14:textId="78A019D7" w:rsidR="005508AE" w:rsidRPr="00BE66B2" w:rsidRDefault="005508AE" w:rsidP="00BE66B2">
      <w:pPr>
        <w:jc w:val="both"/>
        <w:rPr>
          <w:rFonts w:asciiTheme="minorHAnsi" w:hAnsiTheme="minorHAnsi" w:cstheme="minorHAnsi"/>
        </w:rPr>
      </w:pPr>
    </w:p>
    <w:p w14:paraId="310C4C09" w14:textId="3FCDC3B8" w:rsidR="005508AE" w:rsidRPr="00BE66B2" w:rsidRDefault="005508AE" w:rsidP="00BE66B2">
      <w:pPr>
        <w:jc w:val="both"/>
        <w:rPr>
          <w:rFonts w:asciiTheme="minorHAnsi" w:hAnsiTheme="minorHAnsi" w:cstheme="minorHAnsi"/>
        </w:rPr>
      </w:pPr>
    </w:p>
    <w:p w14:paraId="53DA4A80" w14:textId="7868F679" w:rsidR="005508AE" w:rsidRPr="00BE66B2" w:rsidRDefault="005508AE" w:rsidP="00BE66B2">
      <w:pPr>
        <w:jc w:val="both"/>
        <w:rPr>
          <w:rFonts w:asciiTheme="minorHAnsi" w:hAnsiTheme="minorHAnsi" w:cstheme="minorHAnsi"/>
        </w:rPr>
      </w:pPr>
    </w:p>
    <w:p w14:paraId="6DC48853" w14:textId="27AEC879" w:rsidR="005508AE" w:rsidRPr="00BE66B2" w:rsidRDefault="005508AE" w:rsidP="00BE66B2">
      <w:pPr>
        <w:jc w:val="both"/>
        <w:rPr>
          <w:rFonts w:asciiTheme="minorHAnsi" w:hAnsiTheme="minorHAnsi" w:cstheme="minorHAnsi"/>
        </w:rPr>
      </w:pPr>
    </w:p>
    <w:p w14:paraId="774D8838" w14:textId="746FCA5F" w:rsidR="005508AE" w:rsidRPr="00BE66B2" w:rsidRDefault="005508AE" w:rsidP="00BE66B2">
      <w:pPr>
        <w:jc w:val="both"/>
        <w:rPr>
          <w:rFonts w:asciiTheme="minorHAnsi" w:hAnsiTheme="minorHAnsi" w:cstheme="minorHAnsi"/>
        </w:rPr>
      </w:pPr>
    </w:p>
    <w:p w14:paraId="7FB38C6E" w14:textId="261F43C9" w:rsidR="005508AE" w:rsidRPr="00BE66B2" w:rsidRDefault="005508AE" w:rsidP="00BE66B2">
      <w:pPr>
        <w:jc w:val="both"/>
        <w:rPr>
          <w:rFonts w:asciiTheme="minorHAnsi" w:hAnsiTheme="minorHAnsi" w:cstheme="minorHAnsi"/>
        </w:rPr>
      </w:pPr>
    </w:p>
    <w:p w14:paraId="1878382F" w14:textId="57102576" w:rsidR="005508AE" w:rsidRPr="00BE66B2" w:rsidRDefault="005508AE" w:rsidP="00BE66B2">
      <w:pPr>
        <w:jc w:val="both"/>
        <w:rPr>
          <w:rFonts w:asciiTheme="minorHAnsi" w:hAnsiTheme="minorHAnsi" w:cstheme="minorHAnsi"/>
        </w:rPr>
      </w:pPr>
    </w:p>
    <w:p w14:paraId="2179F729" w14:textId="5F0BAAD2" w:rsidR="005508AE" w:rsidRPr="00BE66B2" w:rsidRDefault="005508AE" w:rsidP="00BE66B2">
      <w:pPr>
        <w:jc w:val="both"/>
        <w:rPr>
          <w:rFonts w:asciiTheme="minorHAnsi" w:hAnsiTheme="minorHAnsi" w:cstheme="minorHAnsi"/>
        </w:rPr>
      </w:pPr>
    </w:p>
    <w:p w14:paraId="5DA52CB4" w14:textId="24B0DD3E" w:rsidR="005508AE" w:rsidRPr="00BE66B2" w:rsidRDefault="005508AE" w:rsidP="00BE66B2">
      <w:pPr>
        <w:jc w:val="both"/>
        <w:rPr>
          <w:rFonts w:asciiTheme="minorHAnsi" w:hAnsiTheme="minorHAnsi" w:cstheme="minorHAnsi"/>
        </w:rPr>
      </w:pPr>
    </w:p>
    <w:p w14:paraId="302463EC" w14:textId="7F1A2AC0" w:rsidR="005508AE" w:rsidRPr="00BE66B2" w:rsidRDefault="005508AE" w:rsidP="00BE66B2">
      <w:pPr>
        <w:jc w:val="both"/>
        <w:rPr>
          <w:rFonts w:asciiTheme="minorHAnsi" w:hAnsiTheme="minorHAnsi" w:cstheme="minorHAnsi"/>
        </w:rPr>
      </w:pPr>
    </w:p>
    <w:p w14:paraId="29E6F5AC" w14:textId="1C6B8CF2" w:rsidR="005508AE" w:rsidRPr="00BE66B2" w:rsidRDefault="005508AE" w:rsidP="00BE66B2">
      <w:pPr>
        <w:jc w:val="both"/>
        <w:rPr>
          <w:rFonts w:asciiTheme="minorHAnsi" w:hAnsiTheme="minorHAnsi" w:cstheme="minorHAnsi"/>
        </w:rPr>
      </w:pPr>
    </w:p>
    <w:p w14:paraId="650AE200" w14:textId="6D8CFBC7" w:rsidR="005508AE" w:rsidRPr="00BE66B2" w:rsidRDefault="005508AE" w:rsidP="00BE66B2">
      <w:pPr>
        <w:jc w:val="both"/>
        <w:rPr>
          <w:rFonts w:asciiTheme="minorHAnsi" w:hAnsiTheme="minorHAnsi" w:cstheme="minorHAnsi"/>
        </w:rPr>
      </w:pPr>
    </w:p>
    <w:p w14:paraId="54A40311" w14:textId="33169418" w:rsidR="005508AE" w:rsidRPr="00BE66B2" w:rsidRDefault="005508AE" w:rsidP="00BE66B2">
      <w:pPr>
        <w:jc w:val="both"/>
        <w:rPr>
          <w:rFonts w:asciiTheme="minorHAnsi" w:hAnsiTheme="minorHAnsi" w:cstheme="minorHAnsi"/>
        </w:rPr>
      </w:pPr>
    </w:p>
    <w:p w14:paraId="043C2C4C" w14:textId="137C0F57" w:rsidR="005508AE" w:rsidRPr="00BE66B2" w:rsidRDefault="005508AE" w:rsidP="00BE66B2">
      <w:pPr>
        <w:jc w:val="both"/>
        <w:rPr>
          <w:rFonts w:asciiTheme="minorHAnsi" w:hAnsiTheme="minorHAnsi" w:cstheme="minorHAnsi"/>
        </w:rPr>
      </w:pPr>
    </w:p>
    <w:p w14:paraId="19654B22" w14:textId="5E00189D" w:rsidR="005508AE" w:rsidRPr="00BE66B2" w:rsidRDefault="005508AE" w:rsidP="00BE66B2">
      <w:pPr>
        <w:jc w:val="both"/>
        <w:rPr>
          <w:rFonts w:asciiTheme="minorHAnsi" w:hAnsiTheme="minorHAnsi" w:cstheme="minorHAnsi"/>
        </w:rPr>
      </w:pPr>
    </w:p>
    <w:p w14:paraId="44BD20E4" w14:textId="26A3AD36" w:rsidR="005508AE" w:rsidRPr="00BE66B2" w:rsidRDefault="005508AE" w:rsidP="00BE66B2">
      <w:pPr>
        <w:jc w:val="both"/>
        <w:rPr>
          <w:rFonts w:asciiTheme="minorHAnsi" w:hAnsiTheme="minorHAnsi" w:cstheme="minorHAnsi"/>
        </w:rPr>
      </w:pPr>
    </w:p>
    <w:p w14:paraId="30EF464B" w14:textId="152BB42B" w:rsidR="005508AE" w:rsidRPr="00BE66B2" w:rsidRDefault="005508AE" w:rsidP="00BE66B2">
      <w:pPr>
        <w:jc w:val="both"/>
        <w:rPr>
          <w:rFonts w:asciiTheme="minorHAnsi" w:hAnsiTheme="minorHAnsi" w:cstheme="minorHAnsi"/>
        </w:rPr>
      </w:pPr>
    </w:p>
    <w:p w14:paraId="48AB84E7" w14:textId="77165CFE" w:rsidR="005508AE" w:rsidRPr="00BE66B2" w:rsidRDefault="005508AE" w:rsidP="00BE66B2">
      <w:pPr>
        <w:jc w:val="both"/>
        <w:rPr>
          <w:rFonts w:asciiTheme="minorHAnsi" w:hAnsiTheme="minorHAnsi" w:cstheme="minorHAnsi"/>
        </w:rPr>
      </w:pPr>
    </w:p>
    <w:p w14:paraId="077E1EFD" w14:textId="77777777" w:rsidR="003740C3" w:rsidRPr="00BE66B2" w:rsidRDefault="003740C3" w:rsidP="00BE66B2">
      <w:pPr>
        <w:jc w:val="both"/>
        <w:rPr>
          <w:rFonts w:asciiTheme="minorHAnsi" w:hAnsiTheme="minorHAnsi" w:cstheme="minorHAnsi"/>
        </w:rPr>
      </w:pPr>
    </w:p>
    <w:p w14:paraId="5E90EECD" w14:textId="77777777" w:rsidR="003740C3" w:rsidRPr="00BE66B2" w:rsidRDefault="003740C3" w:rsidP="00BE66B2">
      <w:pPr>
        <w:jc w:val="both"/>
        <w:rPr>
          <w:rFonts w:asciiTheme="minorHAnsi" w:hAnsiTheme="minorHAnsi" w:cstheme="minorHAnsi"/>
        </w:rPr>
      </w:pPr>
    </w:p>
    <w:p w14:paraId="457DFB30" w14:textId="77777777" w:rsidR="003740C3" w:rsidRPr="00BE66B2" w:rsidRDefault="003740C3" w:rsidP="00BE66B2">
      <w:pPr>
        <w:jc w:val="both"/>
        <w:rPr>
          <w:rFonts w:asciiTheme="minorHAnsi" w:hAnsiTheme="minorHAnsi" w:cstheme="minorHAnsi"/>
        </w:rPr>
      </w:pPr>
    </w:p>
    <w:p w14:paraId="42DB8039" w14:textId="77777777" w:rsidR="003740C3" w:rsidRPr="00BE66B2" w:rsidRDefault="003740C3" w:rsidP="00BE66B2">
      <w:pPr>
        <w:jc w:val="both"/>
        <w:rPr>
          <w:rFonts w:asciiTheme="minorHAnsi" w:hAnsiTheme="minorHAnsi" w:cstheme="minorHAnsi"/>
        </w:rPr>
      </w:pPr>
    </w:p>
    <w:p w14:paraId="2A6E6258" w14:textId="77777777" w:rsidR="003740C3" w:rsidRPr="00BE66B2" w:rsidRDefault="003740C3" w:rsidP="00BE66B2">
      <w:pPr>
        <w:jc w:val="both"/>
        <w:rPr>
          <w:rFonts w:asciiTheme="minorHAnsi" w:hAnsiTheme="minorHAnsi" w:cstheme="minorHAnsi"/>
        </w:rPr>
      </w:pPr>
    </w:p>
    <w:p w14:paraId="3B10AF7F" w14:textId="77777777" w:rsidR="003740C3" w:rsidRPr="00BE66B2" w:rsidRDefault="003740C3" w:rsidP="00BE66B2">
      <w:pPr>
        <w:jc w:val="both"/>
        <w:rPr>
          <w:rFonts w:asciiTheme="minorHAnsi" w:hAnsiTheme="minorHAnsi" w:cstheme="minorHAnsi"/>
        </w:rPr>
      </w:pPr>
    </w:p>
    <w:p w14:paraId="7300B1EC" w14:textId="77777777" w:rsidR="003740C3" w:rsidRPr="00BE66B2" w:rsidRDefault="003740C3" w:rsidP="00BE66B2">
      <w:pPr>
        <w:jc w:val="both"/>
        <w:rPr>
          <w:rFonts w:asciiTheme="minorHAnsi" w:hAnsiTheme="minorHAnsi" w:cstheme="minorHAnsi"/>
        </w:rPr>
      </w:pPr>
    </w:p>
    <w:p w14:paraId="03E8AC0C" w14:textId="77777777" w:rsidR="003740C3" w:rsidRPr="00BE66B2" w:rsidRDefault="003740C3" w:rsidP="00BE66B2">
      <w:pPr>
        <w:jc w:val="both"/>
        <w:rPr>
          <w:rFonts w:asciiTheme="minorHAnsi" w:hAnsiTheme="minorHAnsi" w:cstheme="minorHAnsi"/>
        </w:rPr>
      </w:pPr>
    </w:p>
    <w:p w14:paraId="41132824" w14:textId="77777777" w:rsidR="003740C3" w:rsidRPr="00BE66B2" w:rsidRDefault="003740C3" w:rsidP="00BE66B2">
      <w:pPr>
        <w:jc w:val="both"/>
        <w:rPr>
          <w:rFonts w:asciiTheme="minorHAnsi" w:hAnsiTheme="minorHAnsi" w:cstheme="minorHAnsi"/>
        </w:rPr>
      </w:pPr>
    </w:p>
    <w:p w14:paraId="3ACAB4B7" w14:textId="77777777" w:rsidR="003740C3" w:rsidRPr="00BE66B2" w:rsidRDefault="003740C3" w:rsidP="00BE66B2">
      <w:pPr>
        <w:jc w:val="both"/>
        <w:rPr>
          <w:rFonts w:asciiTheme="minorHAnsi" w:hAnsiTheme="minorHAnsi" w:cstheme="minorHAnsi"/>
        </w:rPr>
      </w:pPr>
    </w:p>
    <w:p w14:paraId="0F7A59D8" w14:textId="77777777" w:rsidR="003740C3" w:rsidRPr="00BE66B2" w:rsidRDefault="003740C3" w:rsidP="00BE66B2">
      <w:pPr>
        <w:jc w:val="both"/>
        <w:rPr>
          <w:rFonts w:asciiTheme="minorHAnsi" w:hAnsiTheme="minorHAnsi" w:cstheme="minorHAnsi"/>
        </w:rPr>
      </w:pPr>
    </w:p>
    <w:p w14:paraId="0CBE64E2" w14:textId="77777777" w:rsidR="003740C3" w:rsidRPr="00BE66B2" w:rsidRDefault="003740C3" w:rsidP="00BE66B2">
      <w:pPr>
        <w:jc w:val="both"/>
        <w:rPr>
          <w:rFonts w:asciiTheme="minorHAnsi" w:hAnsiTheme="minorHAnsi" w:cstheme="minorHAnsi"/>
        </w:rPr>
      </w:pPr>
    </w:p>
    <w:p w14:paraId="12402C4D" w14:textId="77777777" w:rsidR="003740C3" w:rsidRPr="00BE66B2" w:rsidRDefault="003740C3" w:rsidP="00BE66B2">
      <w:pPr>
        <w:jc w:val="both"/>
        <w:rPr>
          <w:rFonts w:asciiTheme="minorHAnsi" w:hAnsiTheme="minorHAnsi" w:cstheme="minorHAnsi"/>
        </w:rPr>
      </w:pPr>
    </w:p>
    <w:p w14:paraId="18091DB9" w14:textId="77777777" w:rsidR="003740C3" w:rsidRPr="00BE66B2" w:rsidRDefault="003740C3" w:rsidP="00BE66B2">
      <w:pPr>
        <w:jc w:val="both"/>
        <w:rPr>
          <w:rFonts w:asciiTheme="minorHAnsi" w:hAnsiTheme="minorHAnsi" w:cstheme="minorHAnsi"/>
        </w:rPr>
      </w:pPr>
    </w:p>
    <w:p w14:paraId="38322C6F" w14:textId="77777777" w:rsidR="003740C3" w:rsidRPr="00BE66B2" w:rsidRDefault="003740C3" w:rsidP="00BE66B2">
      <w:pPr>
        <w:jc w:val="both"/>
        <w:rPr>
          <w:rFonts w:asciiTheme="minorHAnsi" w:hAnsiTheme="minorHAnsi" w:cstheme="minorHAnsi"/>
        </w:rPr>
      </w:pPr>
    </w:p>
    <w:p w14:paraId="508DD1E6" w14:textId="77777777" w:rsidR="003740C3" w:rsidRPr="00BE66B2" w:rsidRDefault="003740C3" w:rsidP="00BE66B2">
      <w:pPr>
        <w:jc w:val="both"/>
        <w:rPr>
          <w:rFonts w:asciiTheme="minorHAnsi" w:hAnsiTheme="minorHAnsi" w:cstheme="minorHAnsi"/>
        </w:rPr>
      </w:pPr>
    </w:p>
    <w:p w14:paraId="6348F6BE" w14:textId="77777777" w:rsidR="003740C3" w:rsidRPr="00BE66B2" w:rsidRDefault="003740C3" w:rsidP="00BE66B2">
      <w:pPr>
        <w:jc w:val="both"/>
        <w:rPr>
          <w:rFonts w:asciiTheme="minorHAnsi" w:hAnsiTheme="minorHAnsi" w:cstheme="minorHAnsi"/>
        </w:rPr>
      </w:pPr>
    </w:p>
    <w:p w14:paraId="772CE0FD" w14:textId="77777777" w:rsidR="003740C3" w:rsidRPr="00BE66B2" w:rsidRDefault="003740C3" w:rsidP="00BE66B2">
      <w:pPr>
        <w:jc w:val="both"/>
        <w:rPr>
          <w:rFonts w:asciiTheme="minorHAnsi" w:hAnsiTheme="minorHAnsi" w:cstheme="minorHAnsi"/>
        </w:rPr>
      </w:pPr>
    </w:p>
    <w:p w14:paraId="14A100D2" w14:textId="012EB044" w:rsidR="005508AE" w:rsidRPr="00BE66B2" w:rsidRDefault="005508AE" w:rsidP="00BE66B2">
      <w:pPr>
        <w:jc w:val="both"/>
        <w:rPr>
          <w:rFonts w:asciiTheme="minorHAnsi" w:hAnsiTheme="minorHAnsi" w:cstheme="minorHAnsi"/>
        </w:rPr>
      </w:pPr>
      <w:r w:rsidRPr="00BE66B2">
        <w:rPr>
          <w:rFonts w:asciiTheme="minorHAnsi" w:hAnsiTheme="minorHAnsi" w:cstheme="minorHAnsi"/>
        </w:rPr>
        <w:t xml:space="preserve">TASK ONE: </w:t>
      </w:r>
    </w:p>
    <w:p w14:paraId="47443674" w14:textId="77777777" w:rsidR="00DA7D53" w:rsidRPr="00BE66B2" w:rsidRDefault="00DA7D53" w:rsidP="00BE66B2">
      <w:pPr>
        <w:jc w:val="both"/>
        <w:rPr>
          <w:rFonts w:asciiTheme="minorHAnsi" w:hAnsiTheme="minorHAnsi" w:cstheme="minorHAnsi"/>
        </w:rPr>
      </w:pPr>
    </w:p>
    <w:p w14:paraId="4B59AF6A" w14:textId="425A7317" w:rsidR="005508AE" w:rsidRPr="00BE66B2" w:rsidRDefault="00DA7D53" w:rsidP="00BE66B2">
      <w:pPr>
        <w:jc w:val="both"/>
        <w:rPr>
          <w:rFonts w:asciiTheme="minorHAnsi" w:hAnsiTheme="minorHAnsi" w:cstheme="minorHAnsi"/>
        </w:rPr>
      </w:pPr>
      <w:r w:rsidRPr="00BE66B2">
        <w:rPr>
          <w:rFonts w:asciiTheme="minorHAnsi" w:hAnsiTheme="minorHAnsi" w:cstheme="minorHAnsi"/>
        </w:rPr>
        <w:t xml:space="preserve">Defamation </w:t>
      </w:r>
      <w:r w:rsidR="005508AE" w:rsidRPr="00BE66B2">
        <w:rPr>
          <w:rFonts w:asciiTheme="minorHAnsi" w:hAnsiTheme="minorHAnsi" w:cstheme="minorHAnsi"/>
        </w:rPr>
        <w:t xml:space="preserve"> includes the distribution of an explanation that unfavo</w:t>
      </w:r>
      <w:r w:rsidR="003740C3" w:rsidRPr="00BE66B2">
        <w:rPr>
          <w:rFonts w:asciiTheme="minorHAnsi" w:hAnsiTheme="minorHAnsi" w:cstheme="minorHAnsi"/>
        </w:rPr>
        <w:t>u</w:t>
      </w:r>
      <w:r w:rsidR="005508AE" w:rsidRPr="00BE66B2">
        <w:rPr>
          <w:rFonts w:asciiTheme="minorHAnsi" w:hAnsiTheme="minorHAnsi" w:cstheme="minorHAnsi"/>
        </w:rPr>
        <w:t xml:space="preserve">rably influences an individual's standing. It is an umbrella term for both defamation and criticism. Defamation essentially concerns composed explanations, in printed distributions or on the web, though criticize basically includes expressed words. </w:t>
      </w:r>
    </w:p>
    <w:p w14:paraId="4AAB5D0F" w14:textId="77777777" w:rsidR="005508AE" w:rsidRPr="00BE66B2" w:rsidRDefault="005508AE" w:rsidP="00BE66B2">
      <w:pPr>
        <w:jc w:val="both"/>
        <w:rPr>
          <w:rFonts w:asciiTheme="minorHAnsi" w:hAnsiTheme="minorHAnsi" w:cstheme="minorHAnsi"/>
        </w:rPr>
      </w:pPr>
    </w:p>
    <w:p w14:paraId="2B1DE357" w14:textId="77777777" w:rsidR="005508AE" w:rsidRPr="00BE66B2" w:rsidRDefault="005508AE" w:rsidP="00BE66B2">
      <w:pPr>
        <w:jc w:val="both"/>
        <w:rPr>
          <w:rFonts w:asciiTheme="minorHAnsi" w:hAnsiTheme="minorHAnsi" w:cstheme="minorHAnsi"/>
        </w:rPr>
      </w:pPr>
      <w:r w:rsidRPr="00BE66B2">
        <w:rPr>
          <w:rFonts w:asciiTheme="minorHAnsi" w:hAnsiTheme="minorHAnsi" w:cstheme="minorHAnsi"/>
        </w:rPr>
        <w:t xml:space="preserve">With the consistently expanding utilization of web-based media, slanderous remarks can be distributed and spread to numerous beneficiaries no sweat and little idea. Web-based media posts can have a 'snowball' impact, possibly arriving at a huge number of individuals around the globe very quickly. </w:t>
      </w:r>
    </w:p>
    <w:p w14:paraId="34A740BF" w14:textId="77777777" w:rsidR="005508AE" w:rsidRPr="00BE66B2" w:rsidRDefault="005508AE" w:rsidP="00BE66B2">
      <w:pPr>
        <w:jc w:val="both"/>
        <w:rPr>
          <w:rFonts w:asciiTheme="minorHAnsi" w:hAnsiTheme="minorHAnsi" w:cstheme="minorHAnsi"/>
        </w:rPr>
      </w:pPr>
    </w:p>
    <w:p w14:paraId="0F6BA573" w14:textId="77777777" w:rsidR="005508AE" w:rsidRPr="00BE66B2" w:rsidRDefault="005508AE" w:rsidP="00BE66B2">
      <w:pPr>
        <w:jc w:val="both"/>
        <w:rPr>
          <w:rFonts w:asciiTheme="minorHAnsi" w:hAnsiTheme="minorHAnsi" w:cstheme="minorHAnsi"/>
        </w:rPr>
      </w:pPr>
      <w:r w:rsidRPr="00BE66B2">
        <w:rPr>
          <w:rFonts w:asciiTheme="minorHAnsi" w:hAnsiTheme="minorHAnsi" w:cstheme="minorHAnsi"/>
        </w:rPr>
        <w:t xml:space="preserve">For a great many people what comes into view when criticism is referenced are prominent cases including notable characters suing the press. There are numerous well known models, including big names, for example, Sean Penn, Kate Winslet, Cliff Richard and Johnny Depp. </w:t>
      </w:r>
    </w:p>
    <w:p w14:paraId="2FB6D9E3" w14:textId="77777777" w:rsidR="005508AE" w:rsidRPr="00BE66B2" w:rsidRDefault="005508AE" w:rsidP="00BE66B2">
      <w:pPr>
        <w:jc w:val="both"/>
        <w:rPr>
          <w:rFonts w:asciiTheme="minorHAnsi" w:hAnsiTheme="minorHAnsi" w:cstheme="minorHAnsi"/>
        </w:rPr>
      </w:pPr>
    </w:p>
    <w:p w14:paraId="14D19A48" w14:textId="77777777" w:rsidR="005508AE" w:rsidRPr="00BE66B2" w:rsidRDefault="005508AE" w:rsidP="00BE66B2">
      <w:pPr>
        <w:jc w:val="both"/>
        <w:rPr>
          <w:rFonts w:asciiTheme="minorHAnsi" w:hAnsiTheme="minorHAnsi" w:cstheme="minorHAnsi"/>
        </w:rPr>
      </w:pPr>
      <w:r w:rsidRPr="00BE66B2">
        <w:rPr>
          <w:rFonts w:asciiTheme="minorHAnsi" w:hAnsiTheme="minorHAnsi" w:cstheme="minorHAnsi"/>
        </w:rPr>
        <w:t xml:space="preserve">Yet, this zone of the law is pertinent to individuals from varying backgrounds and we manage slander cases across a wide scope of settings. As per figures from Thomson Reuters, big name asserts just represented six percent of announced criticism cases in the UK in 2017. As of late, there have been cases announced in the press including claims among instructors and understudies' folks, among married couples, and among organizations and their representatives. </w:t>
      </w:r>
    </w:p>
    <w:p w14:paraId="48187434" w14:textId="77777777" w:rsidR="005508AE" w:rsidRPr="00BE66B2" w:rsidRDefault="005508AE" w:rsidP="00BE66B2">
      <w:pPr>
        <w:jc w:val="both"/>
        <w:rPr>
          <w:rFonts w:asciiTheme="minorHAnsi" w:hAnsiTheme="minorHAnsi" w:cstheme="minorHAnsi"/>
        </w:rPr>
      </w:pPr>
    </w:p>
    <w:p w14:paraId="6D2EC3A2" w14:textId="77777777" w:rsidR="005508AE" w:rsidRPr="00BE66B2" w:rsidRDefault="005508AE" w:rsidP="00BE66B2">
      <w:pPr>
        <w:jc w:val="both"/>
        <w:rPr>
          <w:rFonts w:asciiTheme="minorHAnsi" w:hAnsiTheme="minorHAnsi" w:cstheme="minorHAnsi"/>
        </w:rPr>
      </w:pPr>
      <w:r w:rsidRPr="00BE66B2">
        <w:rPr>
          <w:rFonts w:asciiTheme="minorHAnsi" w:hAnsiTheme="minorHAnsi" w:cstheme="minorHAnsi"/>
        </w:rPr>
        <w:t xml:space="preserve">What is the law on slander? </w:t>
      </w:r>
    </w:p>
    <w:p w14:paraId="36140867" w14:textId="77777777" w:rsidR="005508AE" w:rsidRPr="00BE66B2" w:rsidRDefault="005508AE" w:rsidP="00BE66B2">
      <w:pPr>
        <w:jc w:val="both"/>
        <w:rPr>
          <w:rFonts w:asciiTheme="minorHAnsi" w:hAnsiTheme="minorHAnsi" w:cstheme="minorHAnsi"/>
        </w:rPr>
      </w:pPr>
    </w:p>
    <w:p w14:paraId="39931649" w14:textId="77777777" w:rsidR="005508AE" w:rsidRPr="00BE66B2" w:rsidRDefault="005508AE" w:rsidP="00BE66B2">
      <w:pPr>
        <w:jc w:val="both"/>
        <w:rPr>
          <w:rFonts w:asciiTheme="minorHAnsi" w:hAnsiTheme="minorHAnsi" w:cstheme="minorHAnsi"/>
        </w:rPr>
      </w:pPr>
      <w:r w:rsidRPr="00BE66B2">
        <w:rPr>
          <w:rFonts w:asciiTheme="minorHAnsi" w:hAnsiTheme="minorHAnsi" w:cstheme="minorHAnsi"/>
        </w:rPr>
        <w:t xml:space="preserve">The Defamation Act 2013 is the essential bit of enactment overseeing this zone, enhanced by prior enactment and choices made by the Courts. </w:t>
      </w:r>
    </w:p>
    <w:p w14:paraId="7D7B3968" w14:textId="2CFD0B0F" w:rsidR="005508AE" w:rsidRPr="00BE66B2" w:rsidRDefault="005508AE" w:rsidP="00BE66B2">
      <w:pPr>
        <w:jc w:val="both"/>
        <w:rPr>
          <w:rFonts w:asciiTheme="minorHAnsi" w:hAnsiTheme="minorHAnsi" w:cstheme="minorHAnsi"/>
        </w:rPr>
      </w:pPr>
      <w:r w:rsidRPr="00BE66B2">
        <w:rPr>
          <w:rFonts w:asciiTheme="minorHAnsi" w:hAnsiTheme="minorHAnsi" w:cstheme="minorHAnsi"/>
        </w:rPr>
        <w:t>Just as a criticism guarantee, there might be different reasons for activity, for example, a case for malignant lie.</w:t>
      </w:r>
    </w:p>
    <w:p w14:paraId="4987DBB2" w14:textId="77777777" w:rsidR="005508AE" w:rsidRPr="00BE66B2" w:rsidRDefault="005508AE" w:rsidP="00BE66B2">
      <w:pPr>
        <w:jc w:val="both"/>
        <w:rPr>
          <w:rFonts w:asciiTheme="minorHAnsi" w:hAnsiTheme="minorHAnsi" w:cstheme="minorHAnsi"/>
        </w:rPr>
      </w:pPr>
    </w:p>
    <w:p w14:paraId="2A5DE439" w14:textId="6F091567" w:rsidR="005508AE" w:rsidRPr="00BE66B2" w:rsidRDefault="005508AE" w:rsidP="00BE66B2">
      <w:pPr>
        <w:jc w:val="both"/>
        <w:rPr>
          <w:rFonts w:asciiTheme="minorHAnsi" w:hAnsiTheme="minorHAnsi" w:cstheme="minorHAnsi"/>
        </w:rPr>
      </w:pPr>
    </w:p>
    <w:p w14:paraId="67501304" w14:textId="77777777" w:rsidR="005B2693" w:rsidRPr="00BE66B2" w:rsidRDefault="005508AE" w:rsidP="00BE66B2">
      <w:pPr>
        <w:jc w:val="both"/>
        <w:rPr>
          <w:rFonts w:asciiTheme="minorHAnsi" w:hAnsiTheme="minorHAnsi" w:cstheme="minorHAnsi"/>
        </w:rPr>
      </w:pPr>
      <w:r w:rsidRPr="00BE66B2">
        <w:rPr>
          <w:rFonts w:asciiTheme="minorHAnsi" w:hAnsiTheme="minorHAnsi" w:cstheme="minorHAnsi"/>
        </w:rPr>
        <w:t>Reynolds v Times Newspapers Ltd</w:t>
      </w:r>
      <w:r w:rsidR="005B2693" w:rsidRPr="00BE66B2">
        <w:rPr>
          <w:rFonts w:asciiTheme="minorHAnsi" w:hAnsiTheme="minorHAnsi" w:cstheme="minorHAnsi"/>
        </w:rPr>
        <w:t>:</w:t>
      </w:r>
    </w:p>
    <w:p w14:paraId="42C244B9" w14:textId="3B6BE3BD" w:rsidR="005508AE" w:rsidRPr="00BE66B2" w:rsidRDefault="005B2693" w:rsidP="00BE66B2">
      <w:pPr>
        <w:jc w:val="both"/>
        <w:rPr>
          <w:rFonts w:asciiTheme="minorHAnsi" w:hAnsiTheme="minorHAnsi" w:cstheme="minorHAnsi"/>
        </w:rPr>
      </w:pPr>
      <w:r w:rsidRPr="00BE66B2">
        <w:rPr>
          <w:rFonts w:asciiTheme="minorHAnsi" w:hAnsiTheme="minorHAnsi" w:cstheme="minorHAnsi"/>
        </w:rPr>
        <w:t>It</w:t>
      </w:r>
      <w:r w:rsidR="005508AE" w:rsidRPr="00BE66B2">
        <w:rPr>
          <w:rFonts w:asciiTheme="minorHAnsi" w:hAnsiTheme="minorHAnsi" w:cstheme="minorHAnsi"/>
        </w:rPr>
        <w:t xml:space="preserve"> was a House of Lords case in English slander law concerning qualified advantage for distribution of slanderous explanations in the public interest. The case gave the Reynolds protection, which could be raised where obviously the writer had an obligation to distribute a charge regardless of whether it ended up being incorrectly. </w:t>
      </w:r>
    </w:p>
    <w:p w14:paraId="31D34805" w14:textId="77777777" w:rsidR="005508AE" w:rsidRPr="00BE66B2" w:rsidRDefault="005508AE" w:rsidP="00BE66B2">
      <w:pPr>
        <w:jc w:val="both"/>
        <w:rPr>
          <w:rFonts w:asciiTheme="minorHAnsi" w:hAnsiTheme="minorHAnsi" w:cstheme="minorHAnsi"/>
        </w:rPr>
      </w:pPr>
    </w:p>
    <w:p w14:paraId="4A2C3D8B" w14:textId="0119D69A" w:rsidR="005508AE" w:rsidRPr="00BE66B2" w:rsidRDefault="005508AE" w:rsidP="00BE66B2">
      <w:pPr>
        <w:jc w:val="both"/>
        <w:rPr>
          <w:rFonts w:asciiTheme="minorHAnsi" w:hAnsiTheme="minorHAnsi" w:cstheme="minorHAnsi"/>
        </w:rPr>
      </w:pPr>
      <w:r w:rsidRPr="00BE66B2">
        <w:rPr>
          <w:rFonts w:asciiTheme="minorHAnsi" w:hAnsiTheme="minorHAnsi" w:cstheme="minorHAnsi"/>
        </w:rPr>
        <w:t>In arbitrating on an endeavo</w:t>
      </w:r>
      <w:r w:rsidR="00DA7D53" w:rsidRPr="00BE66B2">
        <w:rPr>
          <w:rFonts w:asciiTheme="minorHAnsi" w:hAnsiTheme="minorHAnsi" w:cstheme="minorHAnsi"/>
        </w:rPr>
        <w:t>u</w:t>
      </w:r>
      <w:r w:rsidRPr="00BE66B2">
        <w:rPr>
          <w:rFonts w:asciiTheme="minorHAnsi" w:hAnsiTheme="minorHAnsi" w:cstheme="minorHAnsi"/>
        </w:rPr>
        <w:t>red Reynolds safeguard a court would examine the direct of the writer and the substance of the distribution. The ensuing instance of Jameel v Wall Street Journal Europe insisted the guard, which was in this way brought effectively up in a few slander proceedings.</w:t>
      </w:r>
      <w:r w:rsidR="005B2693" w:rsidRPr="00BE66B2">
        <w:rPr>
          <w:rFonts w:asciiTheme="minorHAnsi" w:hAnsiTheme="minorHAnsi" w:cstheme="minorHAnsi"/>
        </w:rPr>
        <w:t xml:space="preserve"> </w:t>
      </w:r>
      <w:r w:rsidRPr="00BE66B2">
        <w:rPr>
          <w:rFonts w:asciiTheme="minorHAnsi" w:hAnsiTheme="minorHAnsi" w:cstheme="minorHAnsi"/>
        </w:rPr>
        <w:t>The safeguard was nullified by s4 Defamation Act 2013, being supplanted with the legal protection of distribution on a matter of public interest.</w:t>
      </w:r>
    </w:p>
    <w:p w14:paraId="17DB653C" w14:textId="7B306CEC" w:rsidR="005508AE" w:rsidRPr="00BE66B2" w:rsidRDefault="005508AE" w:rsidP="00BE66B2">
      <w:pPr>
        <w:jc w:val="both"/>
        <w:rPr>
          <w:rFonts w:asciiTheme="minorHAnsi" w:hAnsiTheme="minorHAnsi" w:cstheme="minorHAnsi"/>
        </w:rPr>
      </w:pPr>
    </w:p>
    <w:p w14:paraId="1A01C4A3" w14:textId="77777777" w:rsidR="005B2693" w:rsidRPr="00BE66B2" w:rsidRDefault="005B2693" w:rsidP="00BE66B2">
      <w:pPr>
        <w:jc w:val="both"/>
        <w:rPr>
          <w:rFonts w:asciiTheme="minorHAnsi" w:hAnsiTheme="minorHAnsi" w:cstheme="minorHAnsi"/>
        </w:rPr>
      </w:pPr>
      <w:r w:rsidRPr="00BE66B2">
        <w:rPr>
          <w:rFonts w:asciiTheme="minorHAnsi" w:hAnsiTheme="minorHAnsi" w:cstheme="minorHAnsi"/>
        </w:rPr>
        <w:t>The 10 criteria of Lords Judgements:</w:t>
      </w:r>
    </w:p>
    <w:p w14:paraId="56C77441" w14:textId="00A72D18" w:rsidR="005508AE" w:rsidRPr="00BE66B2" w:rsidRDefault="005508AE" w:rsidP="00BE66B2">
      <w:pPr>
        <w:jc w:val="both"/>
        <w:rPr>
          <w:rFonts w:asciiTheme="minorHAnsi" w:hAnsiTheme="minorHAnsi" w:cstheme="minorHAnsi"/>
        </w:rPr>
      </w:pPr>
      <w:r w:rsidRPr="00BE66B2">
        <w:rPr>
          <w:rFonts w:asciiTheme="minorHAnsi" w:hAnsiTheme="minorHAnsi" w:cstheme="minorHAnsi"/>
        </w:rPr>
        <w:lastRenderedPageBreak/>
        <w:t>Ruler</w:t>
      </w:r>
      <w:r w:rsidR="005B2693" w:rsidRPr="00BE66B2">
        <w:rPr>
          <w:rFonts w:asciiTheme="minorHAnsi" w:hAnsiTheme="minorHAnsi" w:cstheme="minorHAnsi"/>
        </w:rPr>
        <w:t xml:space="preserve"> or lord </w:t>
      </w:r>
      <w:r w:rsidRPr="00BE66B2">
        <w:rPr>
          <w:rFonts w:asciiTheme="minorHAnsi" w:hAnsiTheme="minorHAnsi" w:cstheme="minorHAnsi"/>
        </w:rPr>
        <w:t xml:space="preserve"> Nicholls, representing the lion's share, maintained Lord Bingham's judgment in the Court of Appeal, adding to it a rundown of ten rules against which endeavo</w:t>
      </w:r>
      <w:r w:rsidR="003740C3" w:rsidRPr="00BE66B2">
        <w:rPr>
          <w:rFonts w:asciiTheme="minorHAnsi" w:hAnsiTheme="minorHAnsi" w:cstheme="minorHAnsi"/>
        </w:rPr>
        <w:t>u</w:t>
      </w:r>
      <w:r w:rsidRPr="00BE66B2">
        <w:rPr>
          <w:rFonts w:asciiTheme="minorHAnsi" w:hAnsiTheme="minorHAnsi" w:cstheme="minorHAnsi"/>
        </w:rPr>
        <w:t>rs to utilize the guard of qualified advantage ought to be judge</w:t>
      </w:r>
      <w:r w:rsidR="005B2693" w:rsidRPr="00BE66B2">
        <w:rPr>
          <w:rFonts w:asciiTheme="minorHAnsi" w:hAnsiTheme="minorHAnsi" w:cstheme="minorHAnsi"/>
        </w:rPr>
        <w:t>d-</w:t>
      </w:r>
    </w:p>
    <w:p w14:paraId="642F9C67" w14:textId="2879A559" w:rsidR="005508AE" w:rsidRPr="00BE66B2" w:rsidRDefault="005508AE" w:rsidP="00BE66B2">
      <w:pPr>
        <w:jc w:val="both"/>
        <w:rPr>
          <w:rFonts w:asciiTheme="minorHAnsi" w:hAnsiTheme="minorHAnsi" w:cstheme="minorHAnsi"/>
        </w:rPr>
      </w:pPr>
      <w:r w:rsidRPr="00BE66B2">
        <w:rPr>
          <w:rFonts w:asciiTheme="minorHAnsi" w:hAnsiTheme="minorHAnsi" w:cstheme="minorHAnsi"/>
        </w:rPr>
        <w:t xml:space="preserve">The versatility of the customary law standard empowers impedance with the right to speak freely of discourse to be restricted to what exactly is fundamental in the conditions of the case. This flexibility empowers the court to give proper weight, in the present conditions, to the significance of opportunity of articulation by the media on all issues of public concern. Contingent upon the conditions, the issues to be considered incorporate the accompanying. The remarks are illustrative as it were. </w:t>
      </w:r>
    </w:p>
    <w:p w14:paraId="1190115C" w14:textId="77777777" w:rsidR="005508AE" w:rsidRPr="00BE66B2" w:rsidRDefault="005508AE" w:rsidP="00BE66B2">
      <w:pPr>
        <w:jc w:val="both"/>
        <w:rPr>
          <w:rFonts w:asciiTheme="minorHAnsi" w:hAnsiTheme="minorHAnsi" w:cstheme="minorHAnsi"/>
        </w:rPr>
      </w:pPr>
    </w:p>
    <w:p w14:paraId="5EF6A626" w14:textId="77777777" w:rsidR="005508AE" w:rsidRPr="00BE66B2" w:rsidRDefault="005508AE" w:rsidP="00BE66B2">
      <w:pPr>
        <w:pStyle w:val="ListParagraph"/>
        <w:numPr>
          <w:ilvl w:val="0"/>
          <w:numId w:val="1"/>
        </w:numPr>
        <w:jc w:val="both"/>
        <w:rPr>
          <w:rFonts w:asciiTheme="minorHAnsi" w:hAnsiTheme="minorHAnsi" w:cstheme="minorHAnsi"/>
        </w:rPr>
      </w:pPr>
      <w:r w:rsidRPr="00BE66B2">
        <w:rPr>
          <w:rFonts w:asciiTheme="minorHAnsi" w:hAnsiTheme="minorHAnsi" w:cstheme="minorHAnsi"/>
        </w:rPr>
        <w:t xml:space="preserve">The earnestness of the charge. The more genuine the charge, the more the general population is misguided and the individual hurt, if the claim isn't correct. </w:t>
      </w:r>
    </w:p>
    <w:p w14:paraId="3750F4B2" w14:textId="77777777" w:rsidR="005508AE" w:rsidRPr="00BE66B2" w:rsidRDefault="005508AE" w:rsidP="00BE66B2">
      <w:pPr>
        <w:jc w:val="both"/>
        <w:rPr>
          <w:rFonts w:asciiTheme="minorHAnsi" w:hAnsiTheme="minorHAnsi" w:cstheme="minorHAnsi"/>
        </w:rPr>
      </w:pPr>
    </w:p>
    <w:p w14:paraId="37C811ED" w14:textId="77777777" w:rsidR="005508AE" w:rsidRPr="00BE66B2" w:rsidRDefault="005508AE" w:rsidP="00BE66B2">
      <w:pPr>
        <w:pStyle w:val="ListParagraph"/>
        <w:numPr>
          <w:ilvl w:val="0"/>
          <w:numId w:val="1"/>
        </w:numPr>
        <w:jc w:val="both"/>
        <w:rPr>
          <w:rFonts w:asciiTheme="minorHAnsi" w:hAnsiTheme="minorHAnsi" w:cstheme="minorHAnsi"/>
        </w:rPr>
      </w:pPr>
      <w:r w:rsidRPr="00BE66B2">
        <w:rPr>
          <w:rFonts w:asciiTheme="minorHAnsi" w:hAnsiTheme="minorHAnsi" w:cstheme="minorHAnsi"/>
        </w:rPr>
        <w:t xml:space="preserve">The idea of the data, and the degree to which the topic involves public concern. </w:t>
      </w:r>
    </w:p>
    <w:p w14:paraId="116492F5" w14:textId="77777777" w:rsidR="005508AE" w:rsidRPr="00BE66B2" w:rsidRDefault="005508AE" w:rsidP="00BE66B2">
      <w:pPr>
        <w:jc w:val="both"/>
        <w:rPr>
          <w:rFonts w:asciiTheme="minorHAnsi" w:hAnsiTheme="minorHAnsi" w:cstheme="minorHAnsi"/>
        </w:rPr>
      </w:pPr>
    </w:p>
    <w:p w14:paraId="5A667D05" w14:textId="77777777" w:rsidR="005508AE" w:rsidRPr="00BE66B2" w:rsidRDefault="005508AE" w:rsidP="00BE66B2">
      <w:pPr>
        <w:pStyle w:val="ListParagraph"/>
        <w:numPr>
          <w:ilvl w:val="0"/>
          <w:numId w:val="1"/>
        </w:numPr>
        <w:jc w:val="both"/>
        <w:rPr>
          <w:rFonts w:asciiTheme="minorHAnsi" w:hAnsiTheme="minorHAnsi" w:cstheme="minorHAnsi"/>
        </w:rPr>
      </w:pPr>
      <w:r w:rsidRPr="00BE66B2">
        <w:rPr>
          <w:rFonts w:asciiTheme="minorHAnsi" w:hAnsiTheme="minorHAnsi" w:cstheme="minorHAnsi"/>
        </w:rPr>
        <w:t xml:space="preserve">The wellspring of the data. A few witnesses have no immediate information on the occasions. Some have their own issues, or are being paid for their accounts. </w:t>
      </w:r>
    </w:p>
    <w:p w14:paraId="28D7159D" w14:textId="77777777" w:rsidR="005508AE" w:rsidRPr="00BE66B2" w:rsidRDefault="005508AE" w:rsidP="00BE66B2">
      <w:pPr>
        <w:jc w:val="both"/>
        <w:rPr>
          <w:rFonts w:asciiTheme="minorHAnsi" w:hAnsiTheme="minorHAnsi" w:cstheme="minorHAnsi"/>
        </w:rPr>
      </w:pPr>
    </w:p>
    <w:p w14:paraId="5E64F7FB" w14:textId="77777777" w:rsidR="005508AE" w:rsidRPr="00BE66B2" w:rsidRDefault="005508AE" w:rsidP="00BE66B2">
      <w:pPr>
        <w:pStyle w:val="ListParagraph"/>
        <w:numPr>
          <w:ilvl w:val="0"/>
          <w:numId w:val="1"/>
        </w:numPr>
        <w:jc w:val="both"/>
        <w:rPr>
          <w:rFonts w:asciiTheme="minorHAnsi" w:hAnsiTheme="minorHAnsi" w:cstheme="minorHAnsi"/>
        </w:rPr>
      </w:pPr>
      <w:r w:rsidRPr="00BE66B2">
        <w:rPr>
          <w:rFonts w:asciiTheme="minorHAnsi" w:hAnsiTheme="minorHAnsi" w:cstheme="minorHAnsi"/>
        </w:rPr>
        <w:t xml:space="preserve">The means taken to confirm the data. </w:t>
      </w:r>
    </w:p>
    <w:p w14:paraId="628A511E" w14:textId="77777777" w:rsidR="005508AE" w:rsidRPr="00BE66B2" w:rsidRDefault="005508AE" w:rsidP="00BE66B2">
      <w:pPr>
        <w:jc w:val="both"/>
        <w:rPr>
          <w:rFonts w:asciiTheme="minorHAnsi" w:hAnsiTheme="minorHAnsi" w:cstheme="minorHAnsi"/>
        </w:rPr>
      </w:pPr>
    </w:p>
    <w:p w14:paraId="6F56CC2E" w14:textId="77777777" w:rsidR="005508AE" w:rsidRPr="00BE66B2" w:rsidRDefault="005508AE" w:rsidP="00BE66B2">
      <w:pPr>
        <w:pStyle w:val="ListParagraph"/>
        <w:numPr>
          <w:ilvl w:val="0"/>
          <w:numId w:val="1"/>
        </w:numPr>
        <w:jc w:val="both"/>
        <w:rPr>
          <w:rFonts w:asciiTheme="minorHAnsi" w:hAnsiTheme="minorHAnsi" w:cstheme="minorHAnsi"/>
        </w:rPr>
      </w:pPr>
      <w:r w:rsidRPr="00BE66B2">
        <w:rPr>
          <w:rFonts w:asciiTheme="minorHAnsi" w:hAnsiTheme="minorHAnsi" w:cstheme="minorHAnsi"/>
        </w:rPr>
        <w:t xml:space="preserve">The status of the data. The charge may have just been the subject of an examination which deserves admiration. </w:t>
      </w:r>
    </w:p>
    <w:p w14:paraId="6FE3EA35" w14:textId="77777777" w:rsidR="005508AE" w:rsidRPr="00BE66B2" w:rsidRDefault="005508AE" w:rsidP="00BE66B2">
      <w:pPr>
        <w:jc w:val="both"/>
        <w:rPr>
          <w:rFonts w:asciiTheme="minorHAnsi" w:hAnsiTheme="minorHAnsi" w:cstheme="minorHAnsi"/>
        </w:rPr>
      </w:pPr>
    </w:p>
    <w:p w14:paraId="159CE9DE" w14:textId="77777777" w:rsidR="005508AE" w:rsidRPr="00BE66B2" w:rsidRDefault="005508AE" w:rsidP="00BE66B2">
      <w:pPr>
        <w:pStyle w:val="ListParagraph"/>
        <w:numPr>
          <w:ilvl w:val="0"/>
          <w:numId w:val="1"/>
        </w:numPr>
        <w:jc w:val="both"/>
        <w:rPr>
          <w:rFonts w:asciiTheme="minorHAnsi" w:hAnsiTheme="minorHAnsi" w:cstheme="minorHAnsi"/>
        </w:rPr>
      </w:pPr>
      <w:r w:rsidRPr="00BE66B2">
        <w:rPr>
          <w:rFonts w:asciiTheme="minorHAnsi" w:hAnsiTheme="minorHAnsi" w:cstheme="minorHAnsi"/>
        </w:rPr>
        <w:t xml:space="preserve">The direness of the issue. News is regularly a transitory ware. </w:t>
      </w:r>
    </w:p>
    <w:p w14:paraId="3FC4B1CE" w14:textId="77777777" w:rsidR="005508AE" w:rsidRPr="00BE66B2" w:rsidRDefault="005508AE" w:rsidP="00BE66B2">
      <w:pPr>
        <w:jc w:val="both"/>
        <w:rPr>
          <w:rFonts w:asciiTheme="minorHAnsi" w:hAnsiTheme="minorHAnsi" w:cstheme="minorHAnsi"/>
        </w:rPr>
      </w:pPr>
    </w:p>
    <w:p w14:paraId="77E6029A" w14:textId="77777777" w:rsidR="005508AE" w:rsidRPr="00BE66B2" w:rsidRDefault="005508AE" w:rsidP="00BE66B2">
      <w:pPr>
        <w:pStyle w:val="ListParagraph"/>
        <w:numPr>
          <w:ilvl w:val="0"/>
          <w:numId w:val="1"/>
        </w:numPr>
        <w:jc w:val="both"/>
        <w:rPr>
          <w:rFonts w:asciiTheme="minorHAnsi" w:hAnsiTheme="minorHAnsi" w:cstheme="minorHAnsi"/>
        </w:rPr>
      </w:pPr>
      <w:r w:rsidRPr="00BE66B2">
        <w:rPr>
          <w:rFonts w:asciiTheme="minorHAnsi" w:hAnsiTheme="minorHAnsi" w:cstheme="minorHAnsi"/>
        </w:rPr>
        <w:t xml:space="preserve">Regardless of whether remark was looked for from the offended party. He may have data others don't have or have not uncovered. A way to deal with the offended party won't generally be important. </w:t>
      </w:r>
    </w:p>
    <w:p w14:paraId="4DFEB4D2" w14:textId="77777777" w:rsidR="005508AE" w:rsidRPr="00BE66B2" w:rsidRDefault="005508AE" w:rsidP="00BE66B2">
      <w:pPr>
        <w:jc w:val="both"/>
        <w:rPr>
          <w:rFonts w:asciiTheme="minorHAnsi" w:hAnsiTheme="minorHAnsi" w:cstheme="minorHAnsi"/>
        </w:rPr>
      </w:pPr>
    </w:p>
    <w:p w14:paraId="3F6BC544" w14:textId="77777777" w:rsidR="005508AE" w:rsidRPr="00BE66B2" w:rsidRDefault="005508AE" w:rsidP="00BE66B2">
      <w:pPr>
        <w:pStyle w:val="ListParagraph"/>
        <w:numPr>
          <w:ilvl w:val="0"/>
          <w:numId w:val="1"/>
        </w:numPr>
        <w:jc w:val="both"/>
        <w:rPr>
          <w:rFonts w:asciiTheme="minorHAnsi" w:hAnsiTheme="minorHAnsi" w:cstheme="minorHAnsi"/>
        </w:rPr>
      </w:pPr>
      <w:r w:rsidRPr="00BE66B2">
        <w:rPr>
          <w:rFonts w:asciiTheme="minorHAnsi" w:hAnsiTheme="minorHAnsi" w:cstheme="minorHAnsi"/>
        </w:rPr>
        <w:t xml:space="preserve">Regardless of whether the article contained the substance of the offended party's side of the story. </w:t>
      </w:r>
    </w:p>
    <w:p w14:paraId="247B878A" w14:textId="77777777" w:rsidR="005508AE" w:rsidRPr="00BE66B2" w:rsidRDefault="005508AE" w:rsidP="00BE66B2">
      <w:pPr>
        <w:jc w:val="both"/>
        <w:rPr>
          <w:rFonts w:asciiTheme="minorHAnsi" w:hAnsiTheme="minorHAnsi" w:cstheme="minorHAnsi"/>
        </w:rPr>
      </w:pPr>
    </w:p>
    <w:p w14:paraId="320B77B3" w14:textId="77777777" w:rsidR="005508AE" w:rsidRPr="00BE66B2" w:rsidRDefault="005508AE" w:rsidP="00BE66B2">
      <w:pPr>
        <w:pStyle w:val="ListParagraph"/>
        <w:numPr>
          <w:ilvl w:val="0"/>
          <w:numId w:val="1"/>
        </w:numPr>
        <w:jc w:val="both"/>
        <w:rPr>
          <w:rFonts w:asciiTheme="minorHAnsi" w:hAnsiTheme="minorHAnsi" w:cstheme="minorHAnsi"/>
        </w:rPr>
      </w:pPr>
      <w:r w:rsidRPr="00BE66B2">
        <w:rPr>
          <w:rFonts w:asciiTheme="minorHAnsi" w:hAnsiTheme="minorHAnsi" w:cstheme="minorHAnsi"/>
        </w:rPr>
        <w:t xml:space="preserve">The tone of the article. A paper can raise inquiries or require an examination. It need not receive claims as explanations of truth. </w:t>
      </w:r>
    </w:p>
    <w:p w14:paraId="7CFBDB33" w14:textId="77777777" w:rsidR="005508AE" w:rsidRPr="00BE66B2" w:rsidRDefault="005508AE" w:rsidP="00BE66B2">
      <w:pPr>
        <w:jc w:val="both"/>
        <w:rPr>
          <w:rFonts w:asciiTheme="minorHAnsi" w:hAnsiTheme="minorHAnsi" w:cstheme="minorHAnsi"/>
        </w:rPr>
      </w:pPr>
    </w:p>
    <w:p w14:paraId="6515372D" w14:textId="77777777" w:rsidR="005508AE" w:rsidRPr="00BE66B2" w:rsidRDefault="005508AE" w:rsidP="00BE66B2">
      <w:pPr>
        <w:pStyle w:val="ListParagraph"/>
        <w:numPr>
          <w:ilvl w:val="0"/>
          <w:numId w:val="1"/>
        </w:numPr>
        <w:jc w:val="both"/>
        <w:rPr>
          <w:rFonts w:asciiTheme="minorHAnsi" w:hAnsiTheme="minorHAnsi" w:cstheme="minorHAnsi"/>
        </w:rPr>
      </w:pPr>
      <w:r w:rsidRPr="00BE66B2">
        <w:rPr>
          <w:rFonts w:asciiTheme="minorHAnsi" w:hAnsiTheme="minorHAnsi" w:cstheme="minorHAnsi"/>
        </w:rPr>
        <w:t xml:space="preserve">The conditions of the distribution, including the circumstance. </w:t>
      </w:r>
    </w:p>
    <w:p w14:paraId="79F298BA" w14:textId="77777777" w:rsidR="005508AE" w:rsidRPr="00BE66B2" w:rsidRDefault="005508AE" w:rsidP="00BE66B2">
      <w:pPr>
        <w:jc w:val="both"/>
        <w:rPr>
          <w:rFonts w:asciiTheme="minorHAnsi" w:hAnsiTheme="minorHAnsi" w:cstheme="minorHAnsi"/>
        </w:rPr>
      </w:pPr>
    </w:p>
    <w:p w14:paraId="6ADA2089" w14:textId="6A960D12" w:rsidR="005508AE" w:rsidRPr="00BE66B2" w:rsidRDefault="005508AE" w:rsidP="00BE66B2">
      <w:pPr>
        <w:jc w:val="both"/>
        <w:rPr>
          <w:rFonts w:asciiTheme="minorHAnsi" w:hAnsiTheme="minorHAnsi" w:cstheme="minorHAnsi"/>
        </w:rPr>
      </w:pPr>
      <w:r w:rsidRPr="00BE66B2">
        <w:rPr>
          <w:rFonts w:asciiTheme="minorHAnsi" w:hAnsiTheme="minorHAnsi" w:cstheme="minorHAnsi"/>
        </w:rPr>
        <w:t>This rundown isn't thorough. The weight to be given to these and some other significant variables will differ from case to case. Any debates of essential actuality will be an issue for the jury, if there is one. The choice on whether, having respect to the conceded or demonstrated realities, the distribution was liable to qualified advantage is an issue for the appointed authority. This is the set up training and appears to be sound. An adjusting activity is better conveyed by an appointed authority in a contemplated judgment than by a jury. Over the long run, a significant corpus of case law will be constructed up</w:t>
      </w:r>
      <w:r w:rsidR="005B2693" w:rsidRPr="00BE66B2">
        <w:rPr>
          <w:rFonts w:asciiTheme="minorHAnsi" w:hAnsiTheme="minorHAnsi" w:cstheme="minorHAnsi"/>
        </w:rPr>
        <w:t>.</w:t>
      </w:r>
    </w:p>
    <w:p w14:paraId="4D1F2978" w14:textId="77777777" w:rsidR="005508AE" w:rsidRPr="00BE66B2" w:rsidRDefault="005508AE" w:rsidP="00BE66B2">
      <w:pPr>
        <w:jc w:val="both"/>
        <w:rPr>
          <w:rFonts w:asciiTheme="minorHAnsi" w:hAnsiTheme="minorHAnsi" w:cstheme="minorHAnsi"/>
        </w:rPr>
      </w:pPr>
    </w:p>
    <w:p w14:paraId="0D01E1C6" w14:textId="77777777" w:rsidR="005B2693" w:rsidRPr="00BE66B2" w:rsidRDefault="005508AE" w:rsidP="00BE66B2">
      <w:pPr>
        <w:jc w:val="both"/>
        <w:rPr>
          <w:rFonts w:asciiTheme="minorHAnsi" w:hAnsiTheme="minorHAnsi" w:cstheme="minorHAnsi"/>
        </w:rPr>
      </w:pPr>
      <w:r w:rsidRPr="00BE66B2">
        <w:rPr>
          <w:rFonts w:asciiTheme="minorHAnsi" w:hAnsiTheme="minorHAnsi" w:cstheme="minorHAnsi"/>
        </w:rPr>
        <w:t>Qualified advantage, as characterized and restricted by this decision, got known as the Reynolds guard after this case.</w:t>
      </w:r>
    </w:p>
    <w:p w14:paraId="3AB62486" w14:textId="77777777" w:rsidR="005B2693" w:rsidRPr="00BE66B2" w:rsidRDefault="005B2693" w:rsidP="00BE66B2">
      <w:pPr>
        <w:jc w:val="both"/>
        <w:rPr>
          <w:rFonts w:asciiTheme="minorHAnsi" w:hAnsiTheme="minorHAnsi" w:cstheme="minorHAnsi"/>
        </w:rPr>
      </w:pPr>
    </w:p>
    <w:p w14:paraId="29639205" w14:textId="1C3F1284" w:rsidR="00DA7D53" w:rsidRPr="00BE66B2" w:rsidRDefault="00DA7D53" w:rsidP="00BE66B2">
      <w:pPr>
        <w:jc w:val="both"/>
        <w:rPr>
          <w:rFonts w:asciiTheme="minorHAnsi" w:hAnsiTheme="minorHAnsi" w:cstheme="minorHAnsi"/>
        </w:rPr>
      </w:pPr>
      <w:r w:rsidRPr="00BE66B2">
        <w:rPr>
          <w:rFonts w:asciiTheme="minorHAnsi" w:hAnsiTheme="minorHAnsi" w:cstheme="minorHAnsi"/>
        </w:rPr>
        <w:t xml:space="preserve">A Democratic Model of Media Freedom? </w:t>
      </w:r>
    </w:p>
    <w:p w14:paraId="6BE5811C" w14:textId="77777777" w:rsidR="00DA7D53" w:rsidRPr="00BE66B2" w:rsidRDefault="00DA7D53" w:rsidP="00BE66B2">
      <w:pPr>
        <w:jc w:val="both"/>
        <w:rPr>
          <w:rFonts w:asciiTheme="minorHAnsi" w:hAnsiTheme="minorHAnsi" w:cstheme="minorHAnsi"/>
        </w:rPr>
      </w:pPr>
    </w:p>
    <w:p w14:paraId="5E971152" w14:textId="77777777" w:rsidR="00DA7D53" w:rsidRPr="00BE66B2" w:rsidRDefault="00DA7D53" w:rsidP="00BE66B2">
      <w:pPr>
        <w:jc w:val="both"/>
        <w:rPr>
          <w:rFonts w:asciiTheme="minorHAnsi" w:hAnsiTheme="minorHAnsi" w:cstheme="minorHAnsi"/>
        </w:rPr>
      </w:pPr>
      <w:r w:rsidRPr="00BE66B2">
        <w:rPr>
          <w:rFonts w:asciiTheme="minorHAnsi" w:hAnsiTheme="minorHAnsi" w:cstheme="minorHAnsi"/>
        </w:rPr>
        <w:t xml:space="preserve">In spite of the absence of any unequivocal legal acknowledgment, it is doubtful that as of late the Irish Courts have moved towards perceiving the Democratic Model of media opportunity similar to the leitmotif of Defamation and Privacy Law. This thought is encapsulated in the new changes in the law. The statutes of the popularity based model are best enlightened when put conversely with the unregulated economy model of media opportunity: </w:t>
      </w:r>
    </w:p>
    <w:p w14:paraId="64806442" w14:textId="77777777" w:rsidR="00DA7D53" w:rsidRPr="00BE66B2" w:rsidRDefault="00DA7D53" w:rsidP="00BE66B2">
      <w:pPr>
        <w:jc w:val="both"/>
        <w:rPr>
          <w:rFonts w:asciiTheme="minorHAnsi" w:hAnsiTheme="minorHAnsi" w:cstheme="minorHAnsi"/>
        </w:rPr>
      </w:pPr>
    </w:p>
    <w:p w14:paraId="2C932047" w14:textId="60F53695" w:rsidR="00DA7D53" w:rsidRPr="00BE66B2" w:rsidRDefault="00DA7D53" w:rsidP="00BE66B2">
      <w:pPr>
        <w:jc w:val="both"/>
        <w:rPr>
          <w:rFonts w:asciiTheme="minorHAnsi" w:hAnsiTheme="minorHAnsi" w:cstheme="minorHAnsi"/>
        </w:rPr>
      </w:pPr>
      <w:r w:rsidRPr="00BE66B2">
        <w:rPr>
          <w:rFonts w:asciiTheme="minorHAnsi" w:hAnsiTheme="minorHAnsi" w:cstheme="minorHAnsi"/>
        </w:rPr>
        <w:t>The unregulated economy model grasps the Milton Ideal of the Free Market of Ideas where hypotheses succeed or come up short on their own benefits. It was pushed by Justices Holmes and Brandeis in Abrams v. US where is was pronounced that</w:t>
      </w:r>
      <w:r w:rsidR="009F4E78" w:rsidRPr="00BE66B2">
        <w:rPr>
          <w:rFonts w:asciiTheme="minorHAnsi" w:hAnsiTheme="minorHAnsi" w:cstheme="minorHAnsi"/>
        </w:rPr>
        <w:t xml:space="preserve"> </w:t>
      </w:r>
      <w:r w:rsidRPr="00BE66B2">
        <w:rPr>
          <w:rFonts w:asciiTheme="minorHAnsi" w:hAnsiTheme="minorHAnsi" w:cstheme="minorHAnsi"/>
        </w:rPr>
        <w:t>he best trial of truth is simply the intensity of the idea to get itself acknowledged in the opposition of the market</w:t>
      </w:r>
      <w:r w:rsidR="009F4E78" w:rsidRPr="00BE66B2">
        <w:rPr>
          <w:rFonts w:asciiTheme="minorHAnsi" w:hAnsiTheme="minorHAnsi" w:cstheme="minorHAnsi"/>
        </w:rPr>
        <w:t xml:space="preserve"> </w:t>
      </w:r>
      <w:r w:rsidRPr="00BE66B2">
        <w:rPr>
          <w:rFonts w:asciiTheme="minorHAnsi" w:hAnsiTheme="minorHAnsi" w:cstheme="minorHAnsi"/>
        </w:rPr>
        <w:t xml:space="preserve"> The original choice of New York Times v. Sullivan given that the criticism suit taken by a person of note was just feasible when real malevolence with respect to the Defendant was found. The feature's the unrestricted economy model's emphasis on the genuineness of the individual offering the expression instead of the reality of the assertion. </w:t>
      </w:r>
    </w:p>
    <w:p w14:paraId="234A17A4" w14:textId="77777777" w:rsidR="00DA7D53" w:rsidRPr="00BE66B2" w:rsidRDefault="00DA7D53" w:rsidP="00BE66B2">
      <w:pPr>
        <w:jc w:val="both"/>
        <w:rPr>
          <w:rFonts w:asciiTheme="minorHAnsi" w:hAnsiTheme="minorHAnsi" w:cstheme="minorHAnsi"/>
        </w:rPr>
      </w:pPr>
    </w:p>
    <w:p w14:paraId="6C79ABDE" w14:textId="77777777" w:rsidR="00DA7D53" w:rsidRPr="00BE66B2" w:rsidRDefault="00DA7D53" w:rsidP="00BE66B2">
      <w:pPr>
        <w:jc w:val="both"/>
        <w:rPr>
          <w:rFonts w:asciiTheme="minorHAnsi" w:hAnsiTheme="minorHAnsi" w:cstheme="minorHAnsi"/>
        </w:rPr>
      </w:pPr>
      <w:r w:rsidRPr="00BE66B2">
        <w:rPr>
          <w:rFonts w:asciiTheme="minorHAnsi" w:hAnsiTheme="minorHAnsi" w:cstheme="minorHAnsi"/>
        </w:rPr>
        <w:t xml:space="preserve">Conversely, the Democratic Model imagines an instructive job for the Media. It sees the Sullivan-Style insusceptibility for false articulations as harming to majority rules system, the once "free" market gets dirtied with bogus data and this "permit" for bogus data is seen as hostile to powerful, educated discussion by residents on issues regarding public premium. This model for press opportunity has been grasped in Canada, Australia, New Zealand and in the House of Lords. </w:t>
      </w:r>
    </w:p>
    <w:p w14:paraId="12C353D2" w14:textId="77777777" w:rsidR="00DA7D53" w:rsidRPr="00BE66B2" w:rsidRDefault="00DA7D53" w:rsidP="00BE66B2">
      <w:pPr>
        <w:jc w:val="both"/>
        <w:rPr>
          <w:rFonts w:asciiTheme="minorHAnsi" w:hAnsiTheme="minorHAnsi" w:cstheme="minorHAnsi"/>
        </w:rPr>
      </w:pPr>
    </w:p>
    <w:p w14:paraId="26460E4F" w14:textId="24432CCD" w:rsidR="00DA7D53" w:rsidRPr="00BE66B2" w:rsidRDefault="00DA7D53" w:rsidP="00BE66B2">
      <w:pPr>
        <w:jc w:val="both"/>
        <w:rPr>
          <w:rFonts w:asciiTheme="minorHAnsi" w:hAnsiTheme="minorHAnsi" w:cstheme="minorHAnsi"/>
        </w:rPr>
      </w:pPr>
      <w:r w:rsidRPr="00BE66B2">
        <w:rPr>
          <w:rFonts w:asciiTheme="minorHAnsi" w:hAnsiTheme="minorHAnsi" w:cstheme="minorHAnsi"/>
        </w:rPr>
        <w:t>Irish statute never really preferred any one model. The lone significant part of the media that has been perceived is that of "public watchdog"(Irish Times v. Ireland [1998]). Nonetheless, Article 40.6. 1° portrays the media as "organs of general assessment" and ongoing choices on maligning and protection seem to buy in to the idea of the media as a crucial facilitator of resident's discussion too. Consequently, it is sensible to reason that the Democratic Model has most impact on Irish Law</w:t>
      </w:r>
      <w:r w:rsidR="009F4E78" w:rsidRPr="00BE66B2">
        <w:rPr>
          <w:rFonts w:asciiTheme="minorHAnsi" w:hAnsiTheme="minorHAnsi" w:cstheme="minorHAnsi"/>
        </w:rPr>
        <w:t>.</w:t>
      </w:r>
    </w:p>
    <w:p w14:paraId="38EA6BD7" w14:textId="1437E5B5" w:rsidR="00DA7D53" w:rsidRPr="00BE66B2" w:rsidRDefault="00DA7D53" w:rsidP="00BE66B2">
      <w:pPr>
        <w:jc w:val="both"/>
        <w:rPr>
          <w:rFonts w:asciiTheme="minorHAnsi" w:hAnsiTheme="minorHAnsi" w:cstheme="minorHAnsi"/>
        </w:rPr>
      </w:pPr>
    </w:p>
    <w:p w14:paraId="3F7418FC" w14:textId="77777777" w:rsidR="00DA7D53" w:rsidRPr="00BE66B2" w:rsidRDefault="00DA7D53" w:rsidP="00BE66B2">
      <w:pPr>
        <w:jc w:val="both"/>
        <w:rPr>
          <w:rFonts w:asciiTheme="minorHAnsi" w:hAnsiTheme="minorHAnsi" w:cstheme="minorHAnsi"/>
        </w:rPr>
      </w:pPr>
    </w:p>
    <w:p w14:paraId="64FD7D63" w14:textId="77777777" w:rsidR="005508AE" w:rsidRPr="00BE66B2" w:rsidRDefault="005508AE" w:rsidP="00BE66B2">
      <w:pPr>
        <w:jc w:val="both"/>
        <w:rPr>
          <w:rFonts w:asciiTheme="minorHAnsi" w:hAnsiTheme="minorHAnsi" w:cstheme="minorHAnsi"/>
        </w:rPr>
      </w:pPr>
    </w:p>
    <w:p w14:paraId="13AC8B3B" w14:textId="5D6623D5" w:rsidR="005508AE" w:rsidRPr="00BE66B2" w:rsidRDefault="005508AE" w:rsidP="00BE66B2">
      <w:pPr>
        <w:jc w:val="both"/>
        <w:rPr>
          <w:rFonts w:asciiTheme="minorHAnsi" w:hAnsiTheme="minorHAnsi" w:cstheme="minorHAnsi"/>
        </w:rPr>
      </w:pPr>
    </w:p>
    <w:p w14:paraId="32799492" w14:textId="7D4577FB" w:rsidR="005508AE" w:rsidRPr="00BE66B2" w:rsidRDefault="005508AE" w:rsidP="00BE66B2">
      <w:pPr>
        <w:jc w:val="both"/>
        <w:rPr>
          <w:rFonts w:asciiTheme="minorHAnsi" w:hAnsiTheme="minorHAnsi" w:cstheme="minorHAnsi"/>
        </w:rPr>
      </w:pPr>
    </w:p>
    <w:p w14:paraId="6D18DB4E" w14:textId="6DA23ABE" w:rsidR="005508AE" w:rsidRPr="00BE66B2" w:rsidRDefault="005508AE" w:rsidP="00BE66B2">
      <w:pPr>
        <w:jc w:val="both"/>
        <w:rPr>
          <w:rFonts w:asciiTheme="minorHAnsi" w:hAnsiTheme="minorHAnsi" w:cstheme="minorHAnsi"/>
        </w:rPr>
      </w:pPr>
    </w:p>
    <w:p w14:paraId="03B46B29" w14:textId="3B7FB92B" w:rsidR="005508AE" w:rsidRPr="00BE66B2" w:rsidRDefault="005508AE" w:rsidP="00BE66B2">
      <w:pPr>
        <w:jc w:val="both"/>
        <w:rPr>
          <w:rFonts w:asciiTheme="minorHAnsi" w:hAnsiTheme="minorHAnsi" w:cstheme="minorHAnsi"/>
        </w:rPr>
      </w:pPr>
    </w:p>
    <w:p w14:paraId="2DEF8615" w14:textId="58F796D7" w:rsidR="005508AE" w:rsidRPr="00BE66B2" w:rsidRDefault="005508AE" w:rsidP="00BE66B2">
      <w:pPr>
        <w:jc w:val="both"/>
        <w:rPr>
          <w:rFonts w:asciiTheme="minorHAnsi" w:hAnsiTheme="minorHAnsi" w:cstheme="minorHAnsi"/>
        </w:rPr>
      </w:pPr>
    </w:p>
    <w:p w14:paraId="2D628D53" w14:textId="38D46D1D" w:rsidR="005508AE" w:rsidRPr="00BE66B2" w:rsidRDefault="005508AE" w:rsidP="00BE66B2">
      <w:pPr>
        <w:jc w:val="both"/>
        <w:rPr>
          <w:rFonts w:asciiTheme="minorHAnsi" w:hAnsiTheme="minorHAnsi" w:cstheme="minorHAnsi"/>
        </w:rPr>
      </w:pPr>
    </w:p>
    <w:p w14:paraId="486AC1B5" w14:textId="4296243B" w:rsidR="005508AE" w:rsidRPr="00BE66B2" w:rsidRDefault="005508AE" w:rsidP="00BE66B2">
      <w:pPr>
        <w:jc w:val="both"/>
        <w:rPr>
          <w:rFonts w:asciiTheme="minorHAnsi" w:hAnsiTheme="minorHAnsi" w:cstheme="minorHAnsi"/>
        </w:rPr>
      </w:pPr>
    </w:p>
    <w:p w14:paraId="14F8BF5B" w14:textId="25D1CA52" w:rsidR="005508AE" w:rsidRPr="00BE66B2" w:rsidRDefault="005508AE" w:rsidP="00BE66B2">
      <w:pPr>
        <w:jc w:val="both"/>
        <w:rPr>
          <w:rFonts w:asciiTheme="minorHAnsi" w:hAnsiTheme="minorHAnsi" w:cstheme="minorHAnsi"/>
        </w:rPr>
      </w:pPr>
    </w:p>
    <w:p w14:paraId="7C4B7178" w14:textId="754D05F2" w:rsidR="005508AE" w:rsidRPr="00BE66B2" w:rsidRDefault="005508AE" w:rsidP="00BE66B2">
      <w:pPr>
        <w:jc w:val="both"/>
        <w:rPr>
          <w:rFonts w:asciiTheme="minorHAnsi" w:hAnsiTheme="minorHAnsi" w:cstheme="minorHAnsi"/>
        </w:rPr>
      </w:pPr>
    </w:p>
    <w:p w14:paraId="26EA10C6" w14:textId="7C923925" w:rsidR="005508AE" w:rsidRPr="00BE66B2" w:rsidRDefault="005508AE" w:rsidP="00BE66B2">
      <w:pPr>
        <w:jc w:val="both"/>
        <w:rPr>
          <w:rFonts w:asciiTheme="minorHAnsi" w:hAnsiTheme="minorHAnsi" w:cstheme="minorHAnsi"/>
        </w:rPr>
      </w:pPr>
    </w:p>
    <w:p w14:paraId="10A729A5" w14:textId="77F55350" w:rsidR="005508AE" w:rsidRPr="00BE66B2" w:rsidRDefault="005508AE" w:rsidP="00BE66B2">
      <w:pPr>
        <w:jc w:val="both"/>
        <w:rPr>
          <w:rFonts w:asciiTheme="minorHAnsi" w:hAnsiTheme="minorHAnsi" w:cstheme="minorHAnsi"/>
        </w:rPr>
      </w:pPr>
    </w:p>
    <w:p w14:paraId="47F8AEDE" w14:textId="77777777" w:rsidR="005B2693" w:rsidRPr="00BE66B2" w:rsidRDefault="005B2693" w:rsidP="00BE66B2">
      <w:pPr>
        <w:jc w:val="both"/>
        <w:rPr>
          <w:rFonts w:asciiTheme="minorHAnsi" w:hAnsiTheme="minorHAnsi" w:cstheme="minorHAnsi"/>
        </w:rPr>
      </w:pPr>
    </w:p>
    <w:p w14:paraId="3E9B21A3" w14:textId="77777777" w:rsidR="005B2693" w:rsidRPr="00BE66B2" w:rsidRDefault="005B2693" w:rsidP="00BE66B2">
      <w:pPr>
        <w:jc w:val="both"/>
        <w:rPr>
          <w:rFonts w:asciiTheme="minorHAnsi" w:hAnsiTheme="minorHAnsi" w:cstheme="minorHAnsi"/>
        </w:rPr>
      </w:pPr>
    </w:p>
    <w:p w14:paraId="4CCC7016" w14:textId="77777777" w:rsidR="005B2693" w:rsidRPr="00BE66B2" w:rsidRDefault="005B2693" w:rsidP="00BE66B2">
      <w:pPr>
        <w:jc w:val="both"/>
        <w:rPr>
          <w:rFonts w:asciiTheme="minorHAnsi" w:hAnsiTheme="minorHAnsi" w:cstheme="minorHAnsi"/>
        </w:rPr>
      </w:pPr>
    </w:p>
    <w:p w14:paraId="248074EF" w14:textId="60663A03" w:rsidR="005508AE" w:rsidRPr="00BE66B2" w:rsidRDefault="005508AE" w:rsidP="00BE66B2">
      <w:pPr>
        <w:jc w:val="both"/>
        <w:rPr>
          <w:rFonts w:asciiTheme="minorHAnsi" w:hAnsiTheme="minorHAnsi" w:cstheme="minorHAnsi"/>
        </w:rPr>
      </w:pPr>
      <w:r w:rsidRPr="00BE66B2">
        <w:rPr>
          <w:rFonts w:asciiTheme="minorHAnsi" w:hAnsiTheme="minorHAnsi" w:cstheme="minorHAnsi"/>
        </w:rPr>
        <w:t xml:space="preserve">TASK TWO: </w:t>
      </w:r>
    </w:p>
    <w:p w14:paraId="1B725D84" w14:textId="0D7A64A7" w:rsidR="00DA7D53" w:rsidRPr="00BE66B2" w:rsidRDefault="00DA7D53" w:rsidP="00BE66B2">
      <w:pPr>
        <w:jc w:val="both"/>
        <w:rPr>
          <w:rFonts w:asciiTheme="minorHAnsi" w:hAnsiTheme="minorHAnsi" w:cstheme="minorHAnsi"/>
        </w:rPr>
      </w:pPr>
    </w:p>
    <w:p w14:paraId="2B740A06" w14:textId="1DB15A3B" w:rsidR="00DA7D53" w:rsidRPr="00BE66B2" w:rsidRDefault="00DA7D53" w:rsidP="00BE66B2">
      <w:pPr>
        <w:jc w:val="both"/>
        <w:rPr>
          <w:rFonts w:asciiTheme="minorHAnsi" w:hAnsiTheme="minorHAnsi" w:cstheme="minorHAnsi"/>
        </w:rPr>
      </w:pPr>
    </w:p>
    <w:p w14:paraId="37DF38F0" w14:textId="22EF84B4" w:rsidR="00DA7D53" w:rsidRPr="00BE66B2" w:rsidRDefault="005B2693" w:rsidP="00BE66B2">
      <w:pPr>
        <w:jc w:val="both"/>
        <w:rPr>
          <w:rFonts w:asciiTheme="minorHAnsi" w:hAnsiTheme="minorHAnsi" w:cstheme="minorHAnsi"/>
        </w:rPr>
      </w:pPr>
      <w:r w:rsidRPr="00BE66B2">
        <w:rPr>
          <w:rFonts w:asciiTheme="minorHAnsi" w:hAnsiTheme="minorHAnsi" w:cstheme="minorHAnsi"/>
        </w:rPr>
        <w:t>A</w:t>
      </w:r>
      <w:r w:rsidR="00DA7D53" w:rsidRPr="00BE66B2">
        <w:rPr>
          <w:rFonts w:asciiTheme="minorHAnsi" w:hAnsiTheme="minorHAnsi" w:cstheme="minorHAnsi"/>
        </w:rPr>
        <w:t>fter 23 years of requirement of the Environment Protection Act (EPA, 1996) and Environment Protection Rules (EPR, 1997), EPA (2019) has gone into power on 18 October 2019 (1 Kartik 2076) after its confirmation by the President of Nepal on 11 October 2019 and by cancel</w:t>
      </w:r>
      <w:r w:rsidR="003740C3" w:rsidRPr="00BE66B2">
        <w:rPr>
          <w:rFonts w:asciiTheme="minorHAnsi" w:hAnsiTheme="minorHAnsi" w:cstheme="minorHAnsi"/>
        </w:rPr>
        <w:t>l</w:t>
      </w:r>
      <w:r w:rsidR="00DA7D53" w:rsidRPr="00BE66B2">
        <w:rPr>
          <w:rFonts w:asciiTheme="minorHAnsi" w:hAnsiTheme="minorHAnsi" w:cstheme="minorHAnsi"/>
        </w:rPr>
        <w:t>ing the 1996 Act. I hailed a portion of the ecological appraisal (EA)- related arrangements in May 2019 as contained in the draft Environment Protection Bill to have 'reasonable lucidity' in certain arrangements to make the enactment advancement cordial.</w:t>
      </w:r>
    </w:p>
    <w:p w14:paraId="6E077C33" w14:textId="3034A890" w:rsidR="005508AE" w:rsidRPr="00BE66B2" w:rsidRDefault="005508AE" w:rsidP="00BE66B2">
      <w:pPr>
        <w:jc w:val="both"/>
        <w:rPr>
          <w:rFonts w:asciiTheme="minorHAnsi" w:hAnsiTheme="minorHAnsi" w:cstheme="minorHAnsi"/>
        </w:rPr>
      </w:pPr>
    </w:p>
    <w:p w14:paraId="638FD589" w14:textId="20003881" w:rsidR="00DA7D53" w:rsidRPr="00BE66B2" w:rsidRDefault="00DA7D53" w:rsidP="00BE66B2">
      <w:pPr>
        <w:jc w:val="both"/>
        <w:rPr>
          <w:rFonts w:asciiTheme="minorHAnsi" w:hAnsiTheme="minorHAnsi" w:cstheme="minorHAnsi"/>
        </w:rPr>
      </w:pPr>
      <w:r w:rsidRPr="00BE66B2">
        <w:rPr>
          <w:rFonts w:asciiTheme="minorHAnsi" w:hAnsiTheme="minorHAnsi" w:cstheme="minorHAnsi"/>
        </w:rPr>
        <w:t>Grounds to challenge a neighbo</w:t>
      </w:r>
      <w:r w:rsidR="003740C3" w:rsidRPr="00BE66B2">
        <w:rPr>
          <w:rFonts w:asciiTheme="minorHAnsi" w:hAnsiTheme="minorHAnsi" w:cstheme="minorHAnsi"/>
        </w:rPr>
        <w:t>u</w:t>
      </w:r>
      <w:r w:rsidRPr="00BE66B2">
        <w:rPr>
          <w:rFonts w:asciiTheme="minorHAnsi" w:hAnsiTheme="minorHAnsi" w:cstheme="minorHAnsi"/>
        </w:rPr>
        <w:t>rhood authority via legal survey</w:t>
      </w:r>
      <w:r w:rsidR="005B2693" w:rsidRPr="00BE66B2">
        <w:rPr>
          <w:rFonts w:asciiTheme="minorHAnsi" w:hAnsiTheme="minorHAnsi" w:cstheme="minorHAnsi"/>
        </w:rPr>
        <w:t>:</w:t>
      </w:r>
    </w:p>
    <w:p w14:paraId="1FFFD4BE" w14:textId="77777777" w:rsidR="00DA7D53" w:rsidRPr="00BE66B2" w:rsidRDefault="00DA7D53" w:rsidP="00BE66B2">
      <w:pPr>
        <w:jc w:val="both"/>
        <w:rPr>
          <w:rFonts w:asciiTheme="minorHAnsi" w:hAnsiTheme="minorHAnsi" w:cstheme="minorHAnsi"/>
        </w:rPr>
      </w:pPr>
    </w:p>
    <w:p w14:paraId="34914D0C" w14:textId="77777777" w:rsidR="00DA7D53" w:rsidRPr="00BE66B2" w:rsidRDefault="00DA7D53" w:rsidP="00BE66B2">
      <w:pPr>
        <w:jc w:val="both"/>
        <w:rPr>
          <w:rFonts w:asciiTheme="minorHAnsi" w:hAnsiTheme="minorHAnsi" w:cstheme="minorHAnsi"/>
        </w:rPr>
      </w:pPr>
      <w:r w:rsidRPr="00BE66B2">
        <w:rPr>
          <w:rFonts w:asciiTheme="minorHAnsi" w:hAnsiTheme="minorHAnsi" w:cstheme="minorHAnsi"/>
        </w:rPr>
        <w:t xml:space="preserve">The accompanying grounds can be utilized as a reason for legal survey challenge. Where proper they will likewise shape the premise of a region court request. The grounds incorporate where a power: </w:t>
      </w:r>
    </w:p>
    <w:p w14:paraId="45459EE6" w14:textId="77777777" w:rsidR="00DA7D53" w:rsidRPr="00BE66B2" w:rsidRDefault="00DA7D53" w:rsidP="00BE66B2">
      <w:pPr>
        <w:jc w:val="both"/>
        <w:rPr>
          <w:rFonts w:asciiTheme="minorHAnsi" w:hAnsiTheme="minorHAnsi" w:cstheme="minorHAnsi"/>
        </w:rPr>
      </w:pPr>
    </w:p>
    <w:p w14:paraId="1AEDB9B8"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disregards applicable components </w:t>
      </w:r>
    </w:p>
    <w:p w14:paraId="2CFA8B5B" w14:textId="77777777" w:rsidR="00DA7D53" w:rsidRPr="00BE66B2" w:rsidRDefault="00DA7D53" w:rsidP="00BE66B2">
      <w:pPr>
        <w:jc w:val="both"/>
        <w:rPr>
          <w:rFonts w:asciiTheme="minorHAnsi" w:hAnsiTheme="minorHAnsi" w:cstheme="minorHAnsi"/>
        </w:rPr>
      </w:pPr>
    </w:p>
    <w:p w14:paraId="22C0EECA"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considers unimportant components </w:t>
      </w:r>
    </w:p>
    <w:p w14:paraId="5E956EDB" w14:textId="77777777" w:rsidR="00DA7D53" w:rsidRPr="00BE66B2" w:rsidRDefault="00DA7D53" w:rsidP="00BE66B2">
      <w:pPr>
        <w:jc w:val="both"/>
        <w:rPr>
          <w:rFonts w:asciiTheme="minorHAnsi" w:hAnsiTheme="minorHAnsi" w:cstheme="minorHAnsi"/>
        </w:rPr>
      </w:pPr>
    </w:p>
    <w:p w14:paraId="25CABF98" w14:textId="524BCD58"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neglects to guide itself appropriately in law (i</w:t>
      </w:r>
      <w:r w:rsidR="009F4E78" w:rsidRPr="00BE66B2">
        <w:rPr>
          <w:rFonts w:asciiTheme="minorHAnsi" w:hAnsiTheme="minorHAnsi" w:cstheme="minorHAnsi"/>
        </w:rPr>
        <w:t>.</w:t>
      </w:r>
      <w:r w:rsidRPr="00BE66B2">
        <w:rPr>
          <w:rFonts w:asciiTheme="minorHAnsi" w:hAnsiTheme="minorHAnsi" w:cstheme="minorHAnsi"/>
        </w:rPr>
        <w:t>e</w:t>
      </w:r>
      <w:r w:rsidR="009F4E78" w:rsidRPr="00BE66B2">
        <w:rPr>
          <w:rFonts w:asciiTheme="minorHAnsi" w:hAnsiTheme="minorHAnsi" w:cstheme="minorHAnsi"/>
        </w:rPr>
        <w:t>.</w:t>
      </w:r>
      <w:r w:rsidRPr="00BE66B2">
        <w:rPr>
          <w:rFonts w:asciiTheme="minorHAnsi" w:hAnsiTheme="minorHAnsi" w:cstheme="minorHAnsi"/>
        </w:rPr>
        <w:t xml:space="preserve"> the authority neglects to observe resolution law, case law which has deciphered how the law ought to be applied and pertinent legal direction) </w:t>
      </w:r>
    </w:p>
    <w:p w14:paraId="6E25039B" w14:textId="77777777" w:rsidR="00DA7D53" w:rsidRPr="00BE66B2" w:rsidRDefault="00DA7D53" w:rsidP="00BE66B2">
      <w:pPr>
        <w:jc w:val="both"/>
        <w:rPr>
          <w:rFonts w:asciiTheme="minorHAnsi" w:hAnsiTheme="minorHAnsi" w:cstheme="minorHAnsi"/>
        </w:rPr>
      </w:pPr>
    </w:p>
    <w:p w14:paraId="1D0845E6"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turns around the weight of confirmation or forces too high a weight of evidence on the candidate </w:t>
      </w:r>
    </w:p>
    <w:p w14:paraId="616E544E" w14:textId="77777777" w:rsidR="00DA7D53" w:rsidRPr="00BE66B2" w:rsidRDefault="00DA7D53" w:rsidP="00BE66B2">
      <w:pPr>
        <w:jc w:val="both"/>
        <w:rPr>
          <w:rFonts w:asciiTheme="minorHAnsi" w:hAnsiTheme="minorHAnsi" w:cstheme="minorHAnsi"/>
        </w:rPr>
      </w:pPr>
    </w:p>
    <w:p w14:paraId="60A526AD"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neglects to assume the best about the candidate </w:t>
      </w:r>
    </w:p>
    <w:p w14:paraId="3AC99BBB" w14:textId="77777777" w:rsidR="00DA7D53" w:rsidRPr="00BE66B2" w:rsidRDefault="00DA7D53" w:rsidP="00BE66B2">
      <w:pPr>
        <w:jc w:val="both"/>
        <w:rPr>
          <w:rFonts w:asciiTheme="minorHAnsi" w:hAnsiTheme="minorHAnsi" w:cstheme="minorHAnsi"/>
        </w:rPr>
      </w:pPr>
    </w:p>
    <w:p w14:paraId="63682973"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neglects to make discoveries of reality </w:t>
      </w:r>
    </w:p>
    <w:p w14:paraId="2E0B1CC9" w14:textId="77777777" w:rsidR="00DA7D53" w:rsidRPr="00BE66B2" w:rsidRDefault="00DA7D53" w:rsidP="00BE66B2">
      <w:pPr>
        <w:jc w:val="both"/>
        <w:rPr>
          <w:rFonts w:asciiTheme="minorHAnsi" w:hAnsiTheme="minorHAnsi" w:cstheme="minorHAnsi"/>
        </w:rPr>
      </w:pPr>
    </w:p>
    <w:p w14:paraId="7B5C1618" w14:textId="76DEB1B9"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neglects to give sufficient explanations behind its decision</w:t>
      </w:r>
    </w:p>
    <w:p w14:paraId="16C89713" w14:textId="77777777" w:rsidR="00DA7D53" w:rsidRPr="00BE66B2" w:rsidRDefault="00DA7D53" w:rsidP="00BE66B2">
      <w:pPr>
        <w:jc w:val="both"/>
        <w:rPr>
          <w:rFonts w:asciiTheme="minorHAnsi" w:hAnsiTheme="minorHAnsi" w:cstheme="minorHAnsi"/>
        </w:rPr>
      </w:pPr>
    </w:p>
    <w:p w14:paraId="28586D39"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arrives at a choice absolutely at fluctuation with current realities or for which there is no real reason for the choice </w:t>
      </w:r>
    </w:p>
    <w:p w14:paraId="6362FBD2" w14:textId="77777777" w:rsidR="00DA7D53" w:rsidRPr="00BE66B2" w:rsidRDefault="00DA7D53" w:rsidP="00BE66B2">
      <w:pPr>
        <w:jc w:val="both"/>
        <w:rPr>
          <w:rFonts w:asciiTheme="minorHAnsi" w:hAnsiTheme="minorHAnsi" w:cstheme="minorHAnsi"/>
        </w:rPr>
      </w:pPr>
    </w:p>
    <w:p w14:paraId="67639881"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neglects to act as per the items and standards of the Act being referred to </w:t>
      </w:r>
    </w:p>
    <w:p w14:paraId="72DE784F" w14:textId="77777777" w:rsidR="00DA7D53" w:rsidRPr="00BE66B2" w:rsidRDefault="00DA7D53" w:rsidP="00BE66B2">
      <w:pPr>
        <w:jc w:val="both"/>
        <w:rPr>
          <w:rFonts w:asciiTheme="minorHAnsi" w:hAnsiTheme="minorHAnsi" w:cstheme="minorHAnsi"/>
        </w:rPr>
      </w:pPr>
    </w:p>
    <w:p w14:paraId="5BBA5AAB"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has shackled its attentiveness (frequently alluded to as working cover approaches) or has assigned dynamic to an unapproved body </w:t>
      </w:r>
    </w:p>
    <w:p w14:paraId="17354896" w14:textId="77777777" w:rsidR="00DA7D53" w:rsidRPr="00BE66B2" w:rsidRDefault="00DA7D53" w:rsidP="00BE66B2">
      <w:pPr>
        <w:jc w:val="both"/>
        <w:rPr>
          <w:rFonts w:asciiTheme="minorHAnsi" w:hAnsiTheme="minorHAnsi" w:cstheme="minorHAnsi"/>
        </w:rPr>
      </w:pPr>
    </w:p>
    <w:p w14:paraId="722E5CA2"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backpedals on a real assumption </w:t>
      </w:r>
    </w:p>
    <w:p w14:paraId="77A4B141" w14:textId="77777777" w:rsidR="00DA7D53" w:rsidRPr="00BE66B2" w:rsidRDefault="00DA7D53" w:rsidP="00BE66B2">
      <w:pPr>
        <w:jc w:val="both"/>
        <w:rPr>
          <w:rFonts w:asciiTheme="minorHAnsi" w:hAnsiTheme="minorHAnsi" w:cstheme="minorHAnsi"/>
        </w:rPr>
      </w:pPr>
    </w:p>
    <w:p w14:paraId="0430F4F1"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commits fraud (this is typically extremely hard to demonstrate) </w:t>
      </w:r>
    </w:p>
    <w:p w14:paraId="65316B6F" w14:textId="77777777" w:rsidR="00DA7D53" w:rsidRPr="00BE66B2" w:rsidRDefault="00DA7D53" w:rsidP="00BE66B2">
      <w:pPr>
        <w:jc w:val="both"/>
        <w:rPr>
          <w:rFonts w:asciiTheme="minorHAnsi" w:hAnsiTheme="minorHAnsi" w:cstheme="minorHAnsi"/>
        </w:rPr>
      </w:pPr>
    </w:p>
    <w:p w14:paraId="33F36FC5" w14:textId="5636237E"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lastRenderedPageBreak/>
        <w:t>goes to a choice which is unreasonable or nonsensical, i</w:t>
      </w:r>
      <w:r w:rsidR="009F4E78" w:rsidRPr="00BE66B2">
        <w:rPr>
          <w:rFonts w:asciiTheme="minorHAnsi" w:hAnsiTheme="minorHAnsi" w:cstheme="minorHAnsi"/>
        </w:rPr>
        <w:t>.</w:t>
      </w:r>
      <w:r w:rsidRPr="00BE66B2">
        <w:rPr>
          <w:rFonts w:asciiTheme="minorHAnsi" w:hAnsiTheme="minorHAnsi" w:cstheme="minorHAnsi"/>
        </w:rPr>
        <w:t>e</w:t>
      </w:r>
      <w:r w:rsidR="009F4E78" w:rsidRPr="00BE66B2">
        <w:rPr>
          <w:rFonts w:asciiTheme="minorHAnsi" w:hAnsiTheme="minorHAnsi" w:cstheme="minorHAnsi"/>
        </w:rPr>
        <w:t>.</w:t>
      </w:r>
      <w:r w:rsidRPr="00BE66B2">
        <w:rPr>
          <w:rFonts w:asciiTheme="minorHAnsi" w:hAnsiTheme="minorHAnsi" w:cstheme="minorHAnsi"/>
        </w:rPr>
        <w:t xml:space="preserve"> a choice so preposterous that no sensible authority might have come to it (this is additionally exceptionally hard to demonstrate) </w:t>
      </w:r>
    </w:p>
    <w:p w14:paraId="1D13A85E" w14:textId="77777777" w:rsidR="00DA7D53" w:rsidRPr="00BE66B2" w:rsidRDefault="00DA7D53" w:rsidP="00BE66B2">
      <w:pPr>
        <w:jc w:val="both"/>
        <w:rPr>
          <w:rFonts w:asciiTheme="minorHAnsi" w:hAnsiTheme="minorHAnsi" w:cstheme="minorHAnsi"/>
        </w:rPr>
      </w:pPr>
    </w:p>
    <w:p w14:paraId="162EE2C9" w14:textId="77777777" w:rsidR="00DA7D53" w:rsidRPr="00BE66B2" w:rsidRDefault="00DA7D53" w:rsidP="00BE66B2">
      <w:pPr>
        <w:pStyle w:val="ListParagraph"/>
        <w:numPr>
          <w:ilvl w:val="0"/>
          <w:numId w:val="2"/>
        </w:numPr>
        <w:jc w:val="both"/>
        <w:rPr>
          <w:rFonts w:asciiTheme="minorHAnsi" w:hAnsiTheme="minorHAnsi" w:cstheme="minorHAnsi"/>
        </w:rPr>
      </w:pPr>
      <w:r w:rsidRPr="00BE66B2">
        <w:rPr>
          <w:rFonts w:asciiTheme="minorHAnsi" w:hAnsiTheme="minorHAnsi" w:cstheme="minorHAnsi"/>
        </w:rPr>
        <w:t xml:space="preserve">is in break of its legal obligations, including the Public area fairness obligation. </w:t>
      </w:r>
    </w:p>
    <w:p w14:paraId="50ADCE22" w14:textId="77777777" w:rsidR="00DA7D53" w:rsidRPr="00BE66B2" w:rsidRDefault="00DA7D53" w:rsidP="00BE66B2">
      <w:pPr>
        <w:jc w:val="both"/>
        <w:rPr>
          <w:rFonts w:asciiTheme="minorHAnsi" w:hAnsiTheme="minorHAnsi" w:cstheme="minorHAnsi"/>
        </w:rPr>
      </w:pPr>
    </w:p>
    <w:p w14:paraId="72798713" w14:textId="1F65A2D6" w:rsidR="00DA7D53" w:rsidRPr="00BE66B2" w:rsidRDefault="00DA7D53" w:rsidP="00BE66B2">
      <w:pPr>
        <w:jc w:val="both"/>
        <w:rPr>
          <w:rFonts w:asciiTheme="minorHAnsi" w:hAnsiTheme="minorHAnsi" w:cstheme="minorHAnsi"/>
        </w:rPr>
      </w:pPr>
      <w:r w:rsidRPr="00BE66B2">
        <w:rPr>
          <w:rFonts w:asciiTheme="minorHAnsi" w:hAnsiTheme="minorHAnsi" w:cstheme="minorHAnsi"/>
        </w:rPr>
        <w:t xml:space="preserve">Time limits for legal survey </w:t>
      </w:r>
      <w:r w:rsidR="009F4E78" w:rsidRPr="00BE66B2">
        <w:rPr>
          <w:rFonts w:asciiTheme="minorHAnsi" w:hAnsiTheme="minorHAnsi" w:cstheme="minorHAnsi"/>
        </w:rPr>
        <w:t>:</w:t>
      </w:r>
    </w:p>
    <w:p w14:paraId="3B3FD831" w14:textId="77777777" w:rsidR="00DA7D53" w:rsidRPr="00BE66B2" w:rsidRDefault="00DA7D53" w:rsidP="00BE66B2">
      <w:pPr>
        <w:jc w:val="both"/>
        <w:rPr>
          <w:rFonts w:asciiTheme="minorHAnsi" w:hAnsiTheme="minorHAnsi" w:cstheme="minorHAnsi"/>
        </w:rPr>
      </w:pPr>
    </w:p>
    <w:p w14:paraId="227CF7E4" w14:textId="1EB2A854" w:rsidR="00DA7D53" w:rsidRPr="00BE66B2" w:rsidRDefault="00DA7D53" w:rsidP="00BE66B2">
      <w:pPr>
        <w:jc w:val="both"/>
        <w:rPr>
          <w:rFonts w:asciiTheme="minorHAnsi" w:hAnsiTheme="minorHAnsi" w:cstheme="minorHAnsi"/>
        </w:rPr>
      </w:pPr>
      <w:r w:rsidRPr="00BE66B2">
        <w:rPr>
          <w:rFonts w:asciiTheme="minorHAnsi" w:hAnsiTheme="minorHAnsi" w:cstheme="minorHAnsi"/>
        </w:rPr>
        <w:t>An application for legal audit ought to be begun no later than a quarter of a year after the grounds to make the case first arose.</w:t>
      </w:r>
      <w:r w:rsidR="009F4E78" w:rsidRPr="00BE66B2">
        <w:rPr>
          <w:rFonts w:asciiTheme="minorHAnsi" w:hAnsiTheme="minorHAnsi" w:cstheme="minorHAnsi"/>
        </w:rPr>
        <w:t xml:space="preserve"> </w:t>
      </w:r>
      <w:r w:rsidRPr="00BE66B2">
        <w:rPr>
          <w:rFonts w:asciiTheme="minorHAnsi" w:hAnsiTheme="minorHAnsi" w:cstheme="minorHAnsi"/>
        </w:rPr>
        <w:t xml:space="preserve">As far as possible can't be reached out by any of the gatherings in question. A late application might be permitted if the petitioner can show valid justification for the deferral. In the event that a deferral would bias or make generous damage outsiders, at that point the solicitation can be refused. However, there are special cases for these overall standards (see Administrative Court legal survey manage for additional subtleties). </w:t>
      </w:r>
    </w:p>
    <w:p w14:paraId="2F3EA212" w14:textId="77777777" w:rsidR="00DA7D53" w:rsidRPr="00BE66B2" w:rsidRDefault="00DA7D53" w:rsidP="00BE66B2">
      <w:pPr>
        <w:jc w:val="both"/>
        <w:rPr>
          <w:rFonts w:asciiTheme="minorHAnsi" w:hAnsiTheme="minorHAnsi" w:cstheme="minorHAnsi"/>
        </w:rPr>
      </w:pPr>
    </w:p>
    <w:p w14:paraId="01D14C82" w14:textId="73666471" w:rsidR="005508AE" w:rsidRPr="00BE66B2" w:rsidRDefault="00DA7D53" w:rsidP="00BE66B2">
      <w:pPr>
        <w:jc w:val="both"/>
        <w:rPr>
          <w:rFonts w:asciiTheme="minorHAnsi" w:hAnsiTheme="minorHAnsi" w:cstheme="minorHAnsi"/>
        </w:rPr>
      </w:pPr>
      <w:r w:rsidRPr="00BE66B2">
        <w:rPr>
          <w:rFonts w:asciiTheme="minorHAnsi" w:hAnsiTheme="minorHAnsi" w:cstheme="minorHAnsi"/>
        </w:rPr>
        <w:t>By and by, in vagrancy cases, the legal audit will regularly emerge in a crisis (e</w:t>
      </w:r>
      <w:r w:rsidR="009F4E78" w:rsidRPr="00BE66B2">
        <w:rPr>
          <w:rFonts w:asciiTheme="minorHAnsi" w:hAnsiTheme="minorHAnsi" w:cstheme="minorHAnsi"/>
        </w:rPr>
        <w:t>.</w:t>
      </w:r>
      <w:r w:rsidRPr="00BE66B2">
        <w:rPr>
          <w:rFonts w:asciiTheme="minorHAnsi" w:hAnsiTheme="minorHAnsi" w:cstheme="minorHAnsi"/>
        </w:rPr>
        <w:t>g</w:t>
      </w:r>
      <w:r w:rsidR="009F4E78" w:rsidRPr="00BE66B2">
        <w:rPr>
          <w:rFonts w:asciiTheme="minorHAnsi" w:hAnsiTheme="minorHAnsi" w:cstheme="minorHAnsi"/>
        </w:rPr>
        <w:t>.</w:t>
      </w:r>
      <w:r w:rsidRPr="00BE66B2">
        <w:rPr>
          <w:rFonts w:asciiTheme="minorHAnsi" w:hAnsiTheme="minorHAnsi" w:cstheme="minorHAnsi"/>
        </w:rPr>
        <w:t xml:space="preserve"> inability to acknowledge a destitute application or potentially give interval convenience forthcoming a survey) and subsequently delay tends not to be an issue.</w:t>
      </w:r>
    </w:p>
    <w:p w14:paraId="2F55D1D9" w14:textId="21C79CD4" w:rsidR="00DA7D53" w:rsidRPr="00BE66B2" w:rsidRDefault="00DA7D53" w:rsidP="00BE66B2">
      <w:pPr>
        <w:jc w:val="both"/>
        <w:rPr>
          <w:rFonts w:asciiTheme="minorHAnsi" w:hAnsiTheme="minorHAnsi" w:cstheme="minorHAnsi"/>
        </w:rPr>
      </w:pPr>
    </w:p>
    <w:p w14:paraId="01D82B04" w14:textId="5CF6DC31" w:rsidR="00DA7D53" w:rsidRPr="00BE66B2" w:rsidRDefault="00DA7D53" w:rsidP="00BE66B2">
      <w:pPr>
        <w:jc w:val="both"/>
        <w:rPr>
          <w:rFonts w:asciiTheme="minorHAnsi" w:hAnsiTheme="minorHAnsi" w:cstheme="minorHAnsi"/>
        </w:rPr>
      </w:pPr>
    </w:p>
    <w:p w14:paraId="0F0B42E9" w14:textId="46F06DDD" w:rsidR="00DA7D53" w:rsidRPr="00BE66B2" w:rsidRDefault="00DA7D53" w:rsidP="00BE66B2">
      <w:pPr>
        <w:jc w:val="both"/>
        <w:rPr>
          <w:rFonts w:asciiTheme="minorHAnsi" w:hAnsiTheme="minorHAnsi" w:cstheme="minorHAnsi"/>
        </w:rPr>
      </w:pPr>
      <w:r w:rsidRPr="00BE66B2">
        <w:rPr>
          <w:rFonts w:asciiTheme="minorHAnsi" w:hAnsiTheme="minorHAnsi" w:cstheme="minorHAnsi"/>
        </w:rPr>
        <w:t>Getting ready for legal survey</w:t>
      </w:r>
      <w:r w:rsidR="009F4E78" w:rsidRPr="00BE66B2">
        <w:rPr>
          <w:rFonts w:asciiTheme="minorHAnsi" w:hAnsiTheme="minorHAnsi" w:cstheme="minorHAnsi"/>
        </w:rPr>
        <w:t>:</w:t>
      </w:r>
      <w:r w:rsidRPr="00BE66B2">
        <w:rPr>
          <w:rFonts w:asciiTheme="minorHAnsi" w:hAnsiTheme="minorHAnsi" w:cstheme="minorHAnsi"/>
        </w:rPr>
        <w:t xml:space="preserve"> </w:t>
      </w:r>
    </w:p>
    <w:p w14:paraId="3E12AF80" w14:textId="77777777" w:rsidR="00DA7D53" w:rsidRPr="00BE66B2" w:rsidRDefault="00DA7D53" w:rsidP="00BE66B2">
      <w:pPr>
        <w:jc w:val="both"/>
        <w:rPr>
          <w:rFonts w:asciiTheme="minorHAnsi" w:hAnsiTheme="minorHAnsi" w:cstheme="minorHAnsi"/>
        </w:rPr>
      </w:pPr>
    </w:p>
    <w:p w14:paraId="6DE38695" w14:textId="77777777" w:rsidR="00DA7D53" w:rsidRPr="00BE66B2" w:rsidRDefault="00DA7D53" w:rsidP="00BE66B2">
      <w:pPr>
        <w:jc w:val="both"/>
        <w:rPr>
          <w:rFonts w:asciiTheme="minorHAnsi" w:hAnsiTheme="minorHAnsi" w:cstheme="minorHAnsi"/>
        </w:rPr>
      </w:pPr>
      <w:r w:rsidRPr="00BE66B2">
        <w:rPr>
          <w:rFonts w:asciiTheme="minorHAnsi" w:hAnsiTheme="minorHAnsi" w:cstheme="minorHAnsi"/>
        </w:rPr>
        <w:t xml:space="preserve">Expert counsel from a specialist will be expected to set up a legal audit. The main functional advances are to set up whether the customer has a case, regardless of whether the customer is qualified for lawful assistance and, assuming this is the case, to allude the customer to a specialist immediately so a case can be given inside the time furthest reaches of a quarter of a year from the date the issue whined of first emerged. </w:t>
      </w:r>
    </w:p>
    <w:p w14:paraId="4CAEEE1A" w14:textId="77777777" w:rsidR="00DA7D53" w:rsidRPr="00BE66B2" w:rsidRDefault="00DA7D53" w:rsidP="00BE66B2">
      <w:pPr>
        <w:jc w:val="both"/>
        <w:rPr>
          <w:rFonts w:asciiTheme="minorHAnsi" w:hAnsiTheme="minorHAnsi" w:cstheme="minorHAnsi"/>
        </w:rPr>
      </w:pPr>
    </w:p>
    <w:p w14:paraId="6DF12B8B" w14:textId="77777777" w:rsidR="00DA7D53" w:rsidRPr="00BE66B2" w:rsidRDefault="00DA7D53" w:rsidP="00BE66B2">
      <w:pPr>
        <w:jc w:val="both"/>
        <w:rPr>
          <w:rFonts w:asciiTheme="minorHAnsi" w:hAnsiTheme="minorHAnsi" w:cstheme="minorHAnsi"/>
        </w:rPr>
      </w:pPr>
      <w:r w:rsidRPr="00BE66B2">
        <w:rPr>
          <w:rFonts w:asciiTheme="minorHAnsi" w:hAnsiTheme="minorHAnsi" w:cstheme="minorHAnsi"/>
        </w:rPr>
        <w:t xml:space="preserve">The Administrative Court legal audit manage arranged under the bearing of the lead Judge of the Administrative Court gives an overall clarification of the work and practice of the Court with specific respect to legal survey. It doesn't have the power of law, yet parties utilizing the Administrative Court will be required to act as per it. </w:t>
      </w:r>
    </w:p>
    <w:p w14:paraId="58205401" w14:textId="77777777" w:rsidR="00DA7D53" w:rsidRPr="00BE66B2" w:rsidRDefault="00DA7D53" w:rsidP="00BE66B2">
      <w:pPr>
        <w:jc w:val="both"/>
        <w:rPr>
          <w:rFonts w:asciiTheme="minorHAnsi" w:hAnsiTheme="minorHAnsi" w:cstheme="minorHAnsi"/>
        </w:rPr>
      </w:pPr>
    </w:p>
    <w:p w14:paraId="2AA89E24" w14:textId="17EE93AB" w:rsidR="00DA7D53" w:rsidRPr="00BE66B2" w:rsidRDefault="00DA7D53" w:rsidP="00BE66B2">
      <w:pPr>
        <w:jc w:val="both"/>
        <w:rPr>
          <w:rFonts w:asciiTheme="minorHAnsi" w:hAnsiTheme="minorHAnsi" w:cstheme="minorHAnsi"/>
        </w:rPr>
      </w:pPr>
      <w:r w:rsidRPr="00BE66B2">
        <w:rPr>
          <w:rFonts w:asciiTheme="minorHAnsi" w:hAnsiTheme="minorHAnsi" w:cstheme="minorHAnsi"/>
        </w:rPr>
        <w:t>The necessities of the Pre-activity Protocol for Judicial Review should likewise be conformed to prior to giving a case, besides in dire cases. See the page Pre-activity Protocol for Judicial Review for more data on the necessities.</w:t>
      </w:r>
    </w:p>
    <w:p w14:paraId="36A3D07A" w14:textId="4581AB7E" w:rsidR="00DA7D53" w:rsidRPr="00BE66B2" w:rsidRDefault="00DA7D53" w:rsidP="00BE66B2">
      <w:pPr>
        <w:jc w:val="both"/>
        <w:rPr>
          <w:rFonts w:asciiTheme="minorHAnsi" w:hAnsiTheme="minorHAnsi" w:cstheme="minorHAnsi"/>
        </w:rPr>
      </w:pPr>
    </w:p>
    <w:p w14:paraId="1A9CCC14" w14:textId="77777777" w:rsidR="00DA7D53" w:rsidRPr="00BE66B2" w:rsidRDefault="00DA7D53" w:rsidP="00BE66B2">
      <w:pPr>
        <w:jc w:val="both"/>
        <w:rPr>
          <w:rFonts w:asciiTheme="minorHAnsi" w:hAnsiTheme="minorHAnsi" w:cstheme="minorHAnsi"/>
        </w:rPr>
      </w:pPr>
    </w:p>
    <w:p w14:paraId="783BFABB" w14:textId="10B39ED7" w:rsidR="00DA7D53" w:rsidRPr="00BE66B2" w:rsidRDefault="00DA7D53" w:rsidP="00BE66B2">
      <w:pPr>
        <w:jc w:val="both"/>
        <w:rPr>
          <w:rFonts w:asciiTheme="minorHAnsi" w:hAnsiTheme="minorHAnsi" w:cstheme="minorHAnsi"/>
        </w:rPr>
      </w:pPr>
      <w:r w:rsidRPr="00BE66B2">
        <w:rPr>
          <w:rFonts w:asciiTheme="minorHAnsi" w:hAnsiTheme="minorHAnsi" w:cstheme="minorHAnsi"/>
        </w:rPr>
        <w:t>Legal audit methodology</w:t>
      </w:r>
      <w:r w:rsidR="009F4E78" w:rsidRPr="00BE66B2">
        <w:rPr>
          <w:rFonts w:asciiTheme="minorHAnsi" w:hAnsiTheme="minorHAnsi" w:cstheme="minorHAnsi"/>
        </w:rPr>
        <w:t>:</w:t>
      </w:r>
      <w:r w:rsidRPr="00BE66B2">
        <w:rPr>
          <w:rFonts w:asciiTheme="minorHAnsi" w:hAnsiTheme="minorHAnsi" w:cstheme="minorHAnsi"/>
        </w:rPr>
        <w:t xml:space="preserve"> </w:t>
      </w:r>
    </w:p>
    <w:p w14:paraId="300EC15C" w14:textId="77777777" w:rsidR="00DA7D53" w:rsidRPr="00BE66B2" w:rsidRDefault="00DA7D53" w:rsidP="00BE66B2">
      <w:pPr>
        <w:jc w:val="both"/>
        <w:rPr>
          <w:rFonts w:asciiTheme="minorHAnsi" w:hAnsiTheme="minorHAnsi" w:cstheme="minorHAnsi"/>
        </w:rPr>
      </w:pPr>
    </w:p>
    <w:p w14:paraId="411CAFC7" w14:textId="77777777" w:rsidR="00DA7D53" w:rsidRPr="00BE66B2" w:rsidRDefault="00DA7D53" w:rsidP="00BE66B2">
      <w:pPr>
        <w:jc w:val="both"/>
        <w:rPr>
          <w:rFonts w:asciiTheme="minorHAnsi" w:hAnsiTheme="minorHAnsi" w:cstheme="minorHAnsi"/>
        </w:rPr>
      </w:pPr>
      <w:r w:rsidRPr="00BE66B2">
        <w:rPr>
          <w:rFonts w:asciiTheme="minorHAnsi" w:hAnsiTheme="minorHAnsi" w:cstheme="minorHAnsi"/>
        </w:rPr>
        <w:t xml:space="preserve">Specialists representing customers or defendants face to face in legal audit cases will follow the system set down in Part 54 of the Civil Procedure Rules, and the going with legal survey pre-activity convention. Legal audit is directed in two phases: </w:t>
      </w:r>
    </w:p>
    <w:p w14:paraId="04903878" w14:textId="77777777" w:rsidR="00DA7D53" w:rsidRPr="00BE66B2" w:rsidRDefault="00DA7D53" w:rsidP="00BE66B2">
      <w:pPr>
        <w:jc w:val="both"/>
        <w:rPr>
          <w:rFonts w:asciiTheme="minorHAnsi" w:hAnsiTheme="minorHAnsi" w:cstheme="minorHAnsi"/>
        </w:rPr>
      </w:pPr>
    </w:p>
    <w:p w14:paraId="2BD2F889" w14:textId="77777777" w:rsidR="00DA7D53" w:rsidRPr="00BE66B2" w:rsidRDefault="00DA7D53" w:rsidP="00BE66B2">
      <w:pPr>
        <w:pStyle w:val="ListParagraph"/>
        <w:numPr>
          <w:ilvl w:val="0"/>
          <w:numId w:val="3"/>
        </w:numPr>
        <w:jc w:val="both"/>
        <w:rPr>
          <w:rFonts w:asciiTheme="minorHAnsi" w:hAnsiTheme="minorHAnsi" w:cstheme="minorHAnsi"/>
        </w:rPr>
      </w:pPr>
      <w:r w:rsidRPr="00BE66B2">
        <w:rPr>
          <w:rFonts w:asciiTheme="minorHAnsi" w:hAnsiTheme="minorHAnsi" w:cstheme="minorHAnsi"/>
        </w:rPr>
        <w:t xml:space="preserve">an application for authorization to apply for legal survey (regularly combined with an application for a directive) </w:t>
      </w:r>
    </w:p>
    <w:p w14:paraId="5795684D" w14:textId="77777777" w:rsidR="00DA7D53" w:rsidRPr="00BE66B2" w:rsidRDefault="00DA7D53" w:rsidP="00BE66B2">
      <w:pPr>
        <w:jc w:val="both"/>
        <w:rPr>
          <w:rFonts w:asciiTheme="minorHAnsi" w:hAnsiTheme="minorHAnsi" w:cstheme="minorHAnsi"/>
        </w:rPr>
      </w:pPr>
    </w:p>
    <w:p w14:paraId="19CF2538" w14:textId="77777777" w:rsidR="00DA7D53" w:rsidRPr="00BE66B2" w:rsidRDefault="00DA7D53" w:rsidP="00BE66B2">
      <w:pPr>
        <w:pStyle w:val="ListParagraph"/>
        <w:numPr>
          <w:ilvl w:val="0"/>
          <w:numId w:val="3"/>
        </w:numPr>
        <w:jc w:val="both"/>
        <w:rPr>
          <w:rFonts w:asciiTheme="minorHAnsi" w:hAnsiTheme="minorHAnsi" w:cstheme="minorHAnsi"/>
        </w:rPr>
      </w:pPr>
      <w:r w:rsidRPr="00BE66B2">
        <w:rPr>
          <w:rFonts w:asciiTheme="minorHAnsi" w:hAnsiTheme="minorHAnsi" w:cstheme="minorHAnsi"/>
        </w:rPr>
        <w:t xml:space="preserve">a full becoming aware of the case if authorization has been conceded. </w:t>
      </w:r>
    </w:p>
    <w:p w14:paraId="3AD3A79E" w14:textId="77777777" w:rsidR="00DA7D53" w:rsidRPr="00BE66B2" w:rsidRDefault="00DA7D53" w:rsidP="00BE66B2">
      <w:pPr>
        <w:jc w:val="both"/>
        <w:rPr>
          <w:rFonts w:asciiTheme="minorHAnsi" w:hAnsiTheme="minorHAnsi" w:cstheme="minorHAnsi"/>
        </w:rPr>
      </w:pPr>
    </w:p>
    <w:p w14:paraId="64D21CCE" w14:textId="7B1A657C" w:rsidR="00DA7D53" w:rsidRPr="00BE66B2" w:rsidRDefault="00DA7D53" w:rsidP="00BE66B2">
      <w:pPr>
        <w:jc w:val="both"/>
        <w:rPr>
          <w:rFonts w:asciiTheme="minorHAnsi" w:hAnsiTheme="minorHAnsi" w:cstheme="minorHAnsi"/>
        </w:rPr>
      </w:pPr>
      <w:r w:rsidRPr="00BE66B2">
        <w:rPr>
          <w:rFonts w:asciiTheme="minorHAnsi" w:hAnsiTheme="minorHAnsi" w:cstheme="minorHAnsi"/>
        </w:rPr>
        <w:t>Prior to initiating the legal audit system, a 'letter before guarantee' ought to be shipped off the neighbo</w:t>
      </w:r>
      <w:r w:rsidR="003740C3" w:rsidRPr="00BE66B2">
        <w:rPr>
          <w:rFonts w:asciiTheme="minorHAnsi" w:hAnsiTheme="minorHAnsi" w:cstheme="minorHAnsi"/>
        </w:rPr>
        <w:t>u</w:t>
      </w:r>
      <w:r w:rsidRPr="00BE66B2">
        <w:rPr>
          <w:rFonts w:asciiTheme="minorHAnsi" w:hAnsiTheme="minorHAnsi" w:cstheme="minorHAnsi"/>
        </w:rPr>
        <w:t xml:space="preserve">rhood expert trying to settle the issue. The legal audit pre-activity convention contains a prerequisite for a letter before case to be sent, giving in any event 14 days for the nearby position to give an acceptable answer. The letter before guarantee could be sent by a counsel who knows about the methodology, however for the most part, if the case will be managed by a specialist, the conventional letter before guarantee ought to be sent by the specialist. </w:t>
      </w:r>
    </w:p>
    <w:p w14:paraId="6BA804D1" w14:textId="77777777" w:rsidR="00DA7D53" w:rsidRPr="00BE66B2" w:rsidRDefault="00DA7D53" w:rsidP="00BE66B2">
      <w:pPr>
        <w:jc w:val="both"/>
        <w:rPr>
          <w:rFonts w:asciiTheme="minorHAnsi" w:hAnsiTheme="minorHAnsi" w:cstheme="minorHAnsi"/>
        </w:rPr>
      </w:pPr>
    </w:p>
    <w:p w14:paraId="3D0C5F88" w14:textId="1A8D44E1" w:rsidR="005508AE" w:rsidRPr="00BE66B2" w:rsidRDefault="00DA7D53" w:rsidP="00BE66B2">
      <w:pPr>
        <w:jc w:val="both"/>
        <w:rPr>
          <w:rFonts w:asciiTheme="minorHAnsi" w:hAnsiTheme="minorHAnsi" w:cstheme="minorHAnsi"/>
        </w:rPr>
      </w:pPr>
      <w:r w:rsidRPr="00BE66B2">
        <w:rPr>
          <w:rFonts w:asciiTheme="minorHAnsi" w:hAnsiTheme="minorHAnsi" w:cstheme="minorHAnsi"/>
        </w:rPr>
        <w:t>The Administrative Court legal survey control arranged under the course of the lead Judge of the Administrative Court gives an overall clarification of the work and practice of the Court with specific respect to legal audit. It doesn't have the power of law, yet parties utilizing the Administrative Court will be required to act as per it.</w:t>
      </w:r>
    </w:p>
    <w:p w14:paraId="389821D6" w14:textId="3F56EE20" w:rsidR="00DA7D53" w:rsidRPr="00BE66B2" w:rsidRDefault="00DA7D53" w:rsidP="00BE66B2">
      <w:pPr>
        <w:jc w:val="both"/>
        <w:rPr>
          <w:rFonts w:asciiTheme="minorHAnsi" w:hAnsiTheme="minorHAnsi" w:cstheme="minorHAnsi"/>
        </w:rPr>
      </w:pPr>
    </w:p>
    <w:p w14:paraId="04FA243C" w14:textId="77777777" w:rsidR="00DA7D53" w:rsidRPr="00BE66B2" w:rsidRDefault="00DA7D53" w:rsidP="00BE66B2">
      <w:pPr>
        <w:jc w:val="both"/>
        <w:rPr>
          <w:rFonts w:asciiTheme="minorHAnsi" w:hAnsiTheme="minorHAnsi" w:cstheme="minorHAnsi"/>
        </w:rPr>
      </w:pPr>
    </w:p>
    <w:p w14:paraId="549C6163" w14:textId="0E510456" w:rsidR="005508AE" w:rsidRPr="00BE66B2" w:rsidRDefault="005508AE" w:rsidP="00BE66B2">
      <w:pPr>
        <w:jc w:val="both"/>
        <w:rPr>
          <w:rFonts w:asciiTheme="minorHAnsi" w:hAnsiTheme="minorHAnsi" w:cstheme="minorHAnsi"/>
        </w:rPr>
      </w:pPr>
    </w:p>
    <w:p w14:paraId="552003E6" w14:textId="48427249" w:rsidR="005508AE" w:rsidRPr="00BE66B2" w:rsidRDefault="005508AE" w:rsidP="00BE66B2">
      <w:pPr>
        <w:jc w:val="both"/>
        <w:rPr>
          <w:rFonts w:asciiTheme="minorHAnsi" w:hAnsiTheme="minorHAnsi" w:cstheme="minorHAnsi"/>
        </w:rPr>
      </w:pPr>
    </w:p>
    <w:p w14:paraId="38272B4B" w14:textId="51B4AEBE" w:rsidR="005508AE" w:rsidRPr="00BE66B2" w:rsidRDefault="005508AE" w:rsidP="00BE66B2">
      <w:pPr>
        <w:jc w:val="both"/>
        <w:rPr>
          <w:rFonts w:asciiTheme="minorHAnsi" w:hAnsiTheme="minorHAnsi" w:cstheme="minorHAnsi"/>
        </w:rPr>
      </w:pPr>
    </w:p>
    <w:p w14:paraId="1BA08857" w14:textId="789B38DC" w:rsidR="005508AE" w:rsidRPr="00BE66B2" w:rsidRDefault="005508AE" w:rsidP="00BE66B2">
      <w:pPr>
        <w:jc w:val="both"/>
        <w:rPr>
          <w:rFonts w:asciiTheme="minorHAnsi" w:hAnsiTheme="minorHAnsi" w:cstheme="minorHAnsi"/>
        </w:rPr>
      </w:pPr>
    </w:p>
    <w:p w14:paraId="75E14628" w14:textId="5E4D5EA5" w:rsidR="005508AE" w:rsidRPr="00BE66B2" w:rsidRDefault="005508AE" w:rsidP="00BE66B2">
      <w:pPr>
        <w:jc w:val="both"/>
        <w:rPr>
          <w:rFonts w:asciiTheme="minorHAnsi" w:hAnsiTheme="minorHAnsi" w:cstheme="minorHAnsi"/>
        </w:rPr>
      </w:pPr>
    </w:p>
    <w:p w14:paraId="5934D25B" w14:textId="5A76D4E8" w:rsidR="005508AE" w:rsidRPr="00BE66B2" w:rsidRDefault="005508AE" w:rsidP="00BE66B2">
      <w:pPr>
        <w:jc w:val="both"/>
        <w:rPr>
          <w:rFonts w:asciiTheme="minorHAnsi" w:hAnsiTheme="minorHAnsi" w:cstheme="minorHAnsi"/>
        </w:rPr>
      </w:pPr>
    </w:p>
    <w:p w14:paraId="1BD2BF0C" w14:textId="7EF7DF03" w:rsidR="005508AE" w:rsidRPr="00BE66B2" w:rsidRDefault="005508AE" w:rsidP="00BE66B2">
      <w:pPr>
        <w:jc w:val="both"/>
        <w:rPr>
          <w:rFonts w:asciiTheme="minorHAnsi" w:hAnsiTheme="minorHAnsi" w:cstheme="minorHAnsi"/>
        </w:rPr>
      </w:pPr>
    </w:p>
    <w:p w14:paraId="06336403" w14:textId="7C908C8C" w:rsidR="005508AE" w:rsidRPr="00BE66B2" w:rsidRDefault="005508AE" w:rsidP="00BE66B2">
      <w:pPr>
        <w:jc w:val="both"/>
        <w:rPr>
          <w:rFonts w:asciiTheme="minorHAnsi" w:hAnsiTheme="minorHAnsi" w:cstheme="minorHAnsi"/>
        </w:rPr>
      </w:pPr>
    </w:p>
    <w:p w14:paraId="506CBF4F" w14:textId="76F41BA1" w:rsidR="005508AE" w:rsidRPr="00BE66B2" w:rsidRDefault="005508AE" w:rsidP="00BE66B2">
      <w:pPr>
        <w:jc w:val="both"/>
        <w:rPr>
          <w:rFonts w:asciiTheme="minorHAnsi" w:hAnsiTheme="minorHAnsi" w:cstheme="minorHAnsi"/>
        </w:rPr>
      </w:pPr>
    </w:p>
    <w:p w14:paraId="0DD4D8D7" w14:textId="398F7291" w:rsidR="005508AE" w:rsidRPr="00BE66B2" w:rsidRDefault="005508AE" w:rsidP="00BE66B2">
      <w:pPr>
        <w:jc w:val="both"/>
        <w:rPr>
          <w:rFonts w:asciiTheme="minorHAnsi" w:hAnsiTheme="minorHAnsi" w:cstheme="minorHAnsi"/>
        </w:rPr>
      </w:pPr>
    </w:p>
    <w:p w14:paraId="4F2B02EF" w14:textId="401C77FF" w:rsidR="005508AE" w:rsidRPr="00BE66B2" w:rsidRDefault="005508AE" w:rsidP="00BE66B2">
      <w:pPr>
        <w:jc w:val="both"/>
        <w:rPr>
          <w:rFonts w:asciiTheme="minorHAnsi" w:hAnsiTheme="minorHAnsi" w:cstheme="minorHAnsi"/>
        </w:rPr>
      </w:pPr>
    </w:p>
    <w:p w14:paraId="1F343E11" w14:textId="323DD025" w:rsidR="005508AE" w:rsidRPr="00BE66B2" w:rsidRDefault="005508AE" w:rsidP="00BE66B2">
      <w:pPr>
        <w:jc w:val="both"/>
        <w:rPr>
          <w:rFonts w:asciiTheme="minorHAnsi" w:hAnsiTheme="minorHAnsi" w:cstheme="minorHAnsi"/>
        </w:rPr>
      </w:pPr>
    </w:p>
    <w:p w14:paraId="0866D73D" w14:textId="6C5BF0AF" w:rsidR="005508AE" w:rsidRPr="00BE66B2" w:rsidRDefault="005508AE" w:rsidP="00BE66B2">
      <w:pPr>
        <w:jc w:val="both"/>
        <w:rPr>
          <w:rFonts w:asciiTheme="minorHAnsi" w:hAnsiTheme="minorHAnsi" w:cstheme="minorHAnsi"/>
        </w:rPr>
      </w:pPr>
    </w:p>
    <w:p w14:paraId="1E2D6C40" w14:textId="4F9EA4B2" w:rsidR="005508AE" w:rsidRPr="00BE66B2" w:rsidRDefault="005508AE" w:rsidP="00BE66B2">
      <w:pPr>
        <w:jc w:val="both"/>
        <w:rPr>
          <w:rFonts w:asciiTheme="minorHAnsi" w:hAnsiTheme="minorHAnsi" w:cstheme="minorHAnsi"/>
        </w:rPr>
      </w:pPr>
    </w:p>
    <w:p w14:paraId="14212B84" w14:textId="578F1B2D" w:rsidR="005508AE" w:rsidRPr="00BE66B2" w:rsidRDefault="005508AE" w:rsidP="00BE66B2">
      <w:pPr>
        <w:jc w:val="both"/>
        <w:rPr>
          <w:rFonts w:asciiTheme="minorHAnsi" w:hAnsiTheme="minorHAnsi" w:cstheme="minorHAnsi"/>
        </w:rPr>
      </w:pPr>
    </w:p>
    <w:p w14:paraId="28127E57" w14:textId="6885A625" w:rsidR="005508AE" w:rsidRPr="00BE66B2" w:rsidRDefault="005508AE" w:rsidP="00BE66B2">
      <w:pPr>
        <w:jc w:val="both"/>
        <w:rPr>
          <w:rFonts w:asciiTheme="minorHAnsi" w:hAnsiTheme="minorHAnsi" w:cstheme="minorHAnsi"/>
        </w:rPr>
      </w:pPr>
    </w:p>
    <w:p w14:paraId="6A43D1C6" w14:textId="46D38E31" w:rsidR="005508AE" w:rsidRPr="00BE66B2" w:rsidRDefault="005508AE" w:rsidP="00BE66B2">
      <w:pPr>
        <w:jc w:val="both"/>
        <w:rPr>
          <w:rFonts w:asciiTheme="minorHAnsi" w:hAnsiTheme="minorHAnsi" w:cstheme="minorHAnsi"/>
        </w:rPr>
      </w:pPr>
    </w:p>
    <w:p w14:paraId="3D02D1E8" w14:textId="303B7E89" w:rsidR="005508AE" w:rsidRPr="00BE66B2" w:rsidRDefault="005508AE" w:rsidP="00BE66B2">
      <w:pPr>
        <w:jc w:val="both"/>
        <w:rPr>
          <w:rFonts w:asciiTheme="minorHAnsi" w:hAnsiTheme="minorHAnsi" w:cstheme="minorHAnsi"/>
        </w:rPr>
      </w:pPr>
    </w:p>
    <w:p w14:paraId="75720BA8" w14:textId="33362D95" w:rsidR="005508AE" w:rsidRPr="00BE66B2" w:rsidRDefault="005508AE" w:rsidP="00BE66B2">
      <w:pPr>
        <w:jc w:val="both"/>
        <w:rPr>
          <w:rFonts w:asciiTheme="minorHAnsi" w:hAnsiTheme="minorHAnsi" w:cstheme="minorHAnsi"/>
        </w:rPr>
      </w:pPr>
    </w:p>
    <w:p w14:paraId="407F8937" w14:textId="77BFE5E2" w:rsidR="005508AE" w:rsidRPr="00BE66B2" w:rsidRDefault="005508AE" w:rsidP="00BE66B2">
      <w:pPr>
        <w:jc w:val="both"/>
        <w:rPr>
          <w:rFonts w:asciiTheme="minorHAnsi" w:hAnsiTheme="minorHAnsi" w:cstheme="minorHAnsi"/>
        </w:rPr>
      </w:pPr>
    </w:p>
    <w:p w14:paraId="17E30651" w14:textId="7B760499" w:rsidR="005508AE" w:rsidRPr="00BE66B2" w:rsidRDefault="005508AE" w:rsidP="00BE66B2">
      <w:pPr>
        <w:jc w:val="both"/>
        <w:rPr>
          <w:rFonts w:asciiTheme="minorHAnsi" w:hAnsiTheme="minorHAnsi" w:cstheme="minorHAnsi"/>
        </w:rPr>
      </w:pPr>
    </w:p>
    <w:p w14:paraId="799B641B" w14:textId="595C49D5" w:rsidR="005508AE" w:rsidRPr="00BE66B2" w:rsidRDefault="005508AE" w:rsidP="00BE66B2">
      <w:pPr>
        <w:jc w:val="both"/>
        <w:rPr>
          <w:rFonts w:asciiTheme="minorHAnsi" w:hAnsiTheme="minorHAnsi" w:cstheme="minorHAnsi"/>
        </w:rPr>
      </w:pPr>
    </w:p>
    <w:p w14:paraId="44894B1E" w14:textId="62139676" w:rsidR="005508AE" w:rsidRPr="00BE66B2" w:rsidRDefault="005508AE" w:rsidP="00BE66B2">
      <w:pPr>
        <w:jc w:val="both"/>
        <w:rPr>
          <w:rFonts w:asciiTheme="minorHAnsi" w:hAnsiTheme="minorHAnsi" w:cstheme="minorHAnsi"/>
        </w:rPr>
      </w:pPr>
    </w:p>
    <w:p w14:paraId="24802188" w14:textId="62933120" w:rsidR="005508AE" w:rsidRPr="00BE66B2" w:rsidRDefault="005508AE" w:rsidP="00BE66B2">
      <w:pPr>
        <w:jc w:val="both"/>
        <w:rPr>
          <w:rFonts w:asciiTheme="minorHAnsi" w:hAnsiTheme="minorHAnsi" w:cstheme="minorHAnsi"/>
        </w:rPr>
      </w:pPr>
    </w:p>
    <w:p w14:paraId="43D086D8" w14:textId="31D1EDBA" w:rsidR="005508AE" w:rsidRPr="00BE66B2" w:rsidRDefault="005508AE" w:rsidP="00BE66B2">
      <w:pPr>
        <w:jc w:val="both"/>
        <w:rPr>
          <w:rFonts w:asciiTheme="minorHAnsi" w:hAnsiTheme="minorHAnsi" w:cstheme="minorHAnsi"/>
        </w:rPr>
      </w:pPr>
    </w:p>
    <w:p w14:paraId="5D99C991" w14:textId="6FD6A713" w:rsidR="005508AE" w:rsidRPr="00BE66B2" w:rsidRDefault="005508AE" w:rsidP="00BE66B2">
      <w:pPr>
        <w:jc w:val="both"/>
        <w:rPr>
          <w:rFonts w:asciiTheme="minorHAnsi" w:hAnsiTheme="minorHAnsi" w:cstheme="minorHAnsi"/>
        </w:rPr>
      </w:pPr>
    </w:p>
    <w:p w14:paraId="18D47738" w14:textId="29EE67CD" w:rsidR="005508AE" w:rsidRPr="00BE66B2" w:rsidRDefault="005508AE" w:rsidP="00BE66B2">
      <w:pPr>
        <w:jc w:val="both"/>
        <w:rPr>
          <w:rFonts w:asciiTheme="minorHAnsi" w:hAnsiTheme="minorHAnsi" w:cstheme="minorHAnsi"/>
        </w:rPr>
      </w:pPr>
    </w:p>
    <w:p w14:paraId="3A10EFC0" w14:textId="36CA6F25" w:rsidR="005508AE" w:rsidRPr="00BE66B2" w:rsidRDefault="005508AE" w:rsidP="00BE66B2">
      <w:pPr>
        <w:jc w:val="both"/>
        <w:rPr>
          <w:rFonts w:asciiTheme="minorHAnsi" w:hAnsiTheme="minorHAnsi" w:cstheme="minorHAnsi"/>
        </w:rPr>
      </w:pPr>
    </w:p>
    <w:p w14:paraId="0F16A27B" w14:textId="7263F976" w:rsidR="005508AE" w:rsidRPr="00BE66B2" w:rsidRDefault="005508AE" w:rsidP="00BE66B2">
      <w:pPr>
        <w:jc w:val="both"/>
        <w:rPr>
          <w:rFonts w:asciiTheme="minorHAnsi" w:hAnsiTheme="minorHAnsi" w:cstheme="minorHAnsi"/>
        </w:rPr>
      </w:pPr>
    </w:p>
    <w:p w14:paraId="0066073A" w14:textId="652FEA26" w:rsidR="005508AE" w:rsidRPr="00BE66B2" w:rsidRDefault="005508AE" w:rsidP="00BE66B2">
      <w:pPr>
        <w:jc w:val="both"/>
        <w:rPr>
          <w:rFonts w:asciiTheme="minorHAnsi" w:hAnsiTheme="minorHAnsi" w:cstheme="minorHAnsi"/>
        </w:rPr>
      </w:pPr>
    </w:p>
    <w:p w14:paraId="7A36A8D7" w14:textId="1DF8440E" w:rsidR="005508AE" w:rsidRPr="00BE66B2" w:rsidRDefault="005508AE" w:rsidP="00BE66B2">
      <w:pPr>
        <w:jc w:val="both"/>
        <w:rPr>
          <w:rFonts w:asciiTheme="minorHAnsi" w:hAnsiTheme="minorHAnsi" w:cstheme="minorHAnsi"/>
        </w:rPr>
      </w:pPr>
    </w:p>
    <w:p w14:paraId="455F5BC7" w14:textId="77777777" w:rsidR="003740C3" w:rsidRPr="00BE66B2" w:rsidRDefault="003740C3" w:rsidP="00BE66B2">
      <w:pPr>
        <w:jc w:val="both"/>
        <w:rPr>
          <w:rFonts w:asciiTheme="minorHAnsi" w:hAnsiTheme="minorHAnsi" w:cstheme="minorHAnsi"/>
        </w:rPr>
      </w:pPr>
    </w:p>
    <w:p w14:paraId="10B229D7" w14:textId="77777777" w:rsidR="003740C3" w:rsidRPr="00BE66B2" w:rsidRDefault="003740C3" w:rsidP="00BE66B2">
      <w:pPr>
        <w:jc w:val="both"/>
        <w:rPr>
          <w:rFonts w:asciiTheme="minorHAnsi" w:hAnsiTheme="minorHAnsi" w:cstheme="minorHAnsi"/>
        </w:rPr>
      </w:pPr>
    </w:p>
    <w:p w14:paraId="6038B8E7" w14:textId="77777777" w:rsidR="003740C3" w:rsidRPr="00BE66B2" w:rsidRDefault="003740C3" w:rsidP="00BE66B2">
      <w:pPr>
        <w:jc w:val="both"/>
        <w:rPr>
          <w:rFonts w:asciiTheme="minorHAnsi" w:hAnsiTheme="minorHAnsi" w:cstheme="minorHAnsi"/>
        </w:rPr>
      </w:pPr>
    </w:p>
    <w:p w14:paraId="02AB7038" w14:textId="1DFBCEC9" w:rsidR="005508AE" w:rsidRPr="00BE66B2" w:rsidRDefault="005508AE" w:rsidP="00BE66B2">
      <w:pPr>
        <w:jc w:val="both"/>
        <w:rPr>
          <w:rFonts w:asciiTheme="minorHAnsi" w:hAnsiTheme="minorHAnsi" w:cstheme="minorHAnsi"/>
        </w:rPr>
      </w:pPr>
      <w:r w:rsidRPr="00BE66B2">
        <w:rPr>
          <w:rFonts w:asciiTheme="minorHAnsi" w:hAnsiTheme="minorHAnsi" w:cstheme="minorHAnsi"/>
        </w:rPr>
        <w:t xml:space="preserve">REFERENCES: </w:t>
      </w:r>
    </w:p>
    <w:p w14:paraId="4C69402E" w14:textId="7CCFFB53" w:rsidR="005508AE" w:rsidRPr="00BE66B2" w:rsidRDefault="005508AE" w:rsidP="00BE66B2">
      <w:pPr>
        <w:jc w:val="both"/>
        <w:rPr>
          <w:rFonts w:asciiTheme="minorHAnsi" w:hAnsiTheme="minorHAnsi" w:cstheme="minorHAnsi"/>
        </w:rPr>
      </w:pPr>
    </w:p>
    <w:p w14:paraId="51E99E74" w14:textId="63EF5948" w:rsidR="005508AE" w:rsidRPr="00BE66B2" w:rsidRDefault="005508AE" w:rsidP="00BE66B2">
      <w:pPr>
        <w:jc w:val="both"/>
        <w:rPr>
          <w:rFonts w:asciiTheme="minorHAnsi" w:hAnsiTheme="minorHAnsi" w:cstheme="minorHAnsi"/>
        </w:rPr>
      </w:pPr>
    </w:p>
    <w:p w14:paraId="6EB18293" w14:textId="48127ADA" w:rsidR="003740C3" w:rsidRPr="00BE66B2" w:rsidRDefault="003740C3" w:rsidP="00BE66B2">
      <w:pPr>
        <w:jc w:val="both"/>
        <w:rPr>
          <w:rFonts w:asciiTheme="minorHAnsi" w:hAnsiTheme="minorHAnsi" w:cstheme="minorHAnsi"/>
        </w:rPr>
      </w:pPr>
      <w:hyperlink r:id="rId5" w:history="1">
        <w:r w:rsidRPr="00BE66B2">
          <w:rPr>
            <w:rStyle w:val="Hyperlink"/>
            <w:rFonts w:asciiTheme="minorHAnsi" w:hAnsiTheme="minorHAnsi" w:cstheme="minorHAnsi"/>
          </w:rPr>
          <w:t>https://ukdiss.com/examples/irish-freedom-media.php</w:t>
        </w:r>
      </w:hyperlink>
    </w:p>
    <w:p w14:paraId="07FFE294" w14:textId="7EA3F206" w:rsidR="003740C3" w:rsidRPr="00BE66B2" w:rsidRDefault="003740C3" w:rsidP="00BE66B2">
      <w:pPr>
        <w:jc w:val="both"/>
        <w:rPr>
          <w:rFonts w:asciiTheme="minorHAnsi" w:hAnsiTheme="minorHAnsi" w:cstheme="minorHAnsi"/>
        </w:rPr>
      </w:pPr>
    </w:p>
    <w:p w14:paraId="7288BB19" w14:textId="6CC3A20B" w:rsidR="003740C3" w:rsidRPr="00BE66B2" w:rsidRDefault="00BE66B2" w:rsidP="00BE66B2">
      <w:pPr>
        <w:jc w:val="both"/>
        <w:rPr>
          <w:rFonts w:asciiTheme="minorHAnsi" w:hAnsiTheme="minorHAnsi" w:cstheme="minorHAnsi"/>
        </w:rPr>
      </w:pPr>
      <w:hyperlink r:id="rId6" w:history="1">
        <w:r w:rsidR="003740C3" w:rsidRPr="00BE66B2">
          <w:rPr>
            <w:rStyle w:val="Hyperlink"/>
            <w:rFonts w:asciiTheme="minorHAnsi" w:hAnsiTheme="minorHAnsi" w:cstheme="minorHAnsi"/>
          </w:rPr>
          <w:t>https://www.legislation.gov.uk/ukpga/1981/49</w:t>
        </w:r>
      </w:hyperlink>
    </w:p>
    <w:p w14:paraId="1F963E2C" w14:textId="77777777" w:rsidR="003740C3" w:rsidRPr="00BE66B2" w:rsidRDefault="003740C3" w:rsidP="00BE66B2">
      <w:pPr>
        <w:jc w:val="both"/>
        <w:rPr>
          <w:rFonts w:asciiTheme="minorHAnsi" w:hAnsiTheme="minorHAnsi" w:cstheme="minorHAnsi"/>
        </w:rPr>
      </w:pPr>
    </w:p>
    <w:p w14:paraId="7E4919CB" w14:textId="1DA796AC" w:rsidR="003740C3" w:rsidRPr="00BE66B2" w:rsidRDefault="003740C3" w:rsidP="00BE66B2">
      <w:pPr>
        <w:jc w:val="both"/>
        <w:rPr>
          <w:rFonts w:asciiTheme="minorHAnsi" w:hAnsiTheme="minorHAnsi" w:cstheme="minorHAnsi"/>
        </w:rPr>
      </w:pPr>
    </w:p>
    <w:p w14:paraId="414BF75C" w14:textId="282C7170" w:rsidR="003740C3" w:rsidRPr="00BE66B2" w:rsidRDefault="00BE66B2" w:rsidP="00BE66B2">
      <w:pPr>
        <w:jc w:val="both"/>
        <w:rPr>
          <w:rFonts w:asciiTheme="minorHAnsi" w:hAnsiTheme="minorHAnsi" w:cstheme="minorHAnsi"/>
        </w:rPr>
      </w:pPr>
      <w:hyperlink r:id="rId7" w:history="1">
        <w:r w:rsidR="003740C3" w:rsidRPr="00BE66B2">
          <w:rPr>
            <w:rStyle w:val="Hyperlink"/>
            <w:rFonts w:asciiTheme="minorHAnsi" w:hAnsiTheme="minorHAnsi" w:cstheme="minorHAnsi"/>
          </w:rPr>
          <w:t>https://publiclawproject.org.uk/wp-content/uploads/data/resources/114/PLP_2006_Guide_To_JR_Procedure.pdf</w:t>
        </w:r>
      </w:hyperlink>
    </w:p>
    <w:p w14:paraId="4C08AFD3" w14:textId="044E1F34" w:rsidR="003740C3" w:rsidRPr="00BE66B2" w:rsidRDefault="003740C3" w:rsidP="00BE66B2">
      <w:pPr>
        <w:jc w:val="both"/>
        <w:rPr>
          <w:rFonts w:asciiTheme="minorHAnsi" w:hAnsiTheme="minorHAnsi" w:cstheme="minorHAnsi"/>
        </w:rPr>
      </w:pPr>
    </w:p>
    <w:p w14:paraId="440FB06F" w14:textId="77777777" w:rsidR="003740C3" w:rsidRPr="00BE66B2" w:rsidRDefault="003740C3" w:rsidP="00BE66B2">
      <w:pPr>
        <w:jc w:val="both"/>
        <w:rPr>
          <w:rFonts w:asciiTheme="minorHAnsi" w:hAnsiTheme="minorHAnsi" w:cstheme="minorHAnsi"/>
        </w:rPr>
      </w:pPr>
    </w:p>
    <w:p w14:paraId="56CB147F" w14:textId="25878FBB" w:rsidR="003740C3" w:rsidRPr="00BE66B2" w:rsidRDefault="00BE66B2" w:rsidP="00BE66B2">
      <w:pPr>
        <w:jc w:val="both"/>
        <w:rPr>
          <w:rFonts w:asciiTheme="minorHAnsi" w:hAnsiTheme="minorHAnsi" w:cstheme="minorHAnsi"/>
        </w:rPr>
      </w:pPr>
      <w:hyperlink r:id="rId8" w:history="1">
        <w:r w:rsidR="003740C3" w:rsidRPr="00BE66B2">
          <w:rPr>
            <w:rStyle w:val="Hyperlink"/>
            <w:rFonts w:asciiTheme="minorHAnsi" w:hAnsiTheme="minorHAnsi" w:cstheme="minorHAnsi"/>
          </w:rPr>
          <w:t>https://www.legislation.gov.uk/ukpga/2013/26</w:t>
        </w:r>
      </w:hyperlink>
    </w:p>
    <w:p w14:paraId="538FF02C" w14:textId="77777777" w:rsidR="003740C3" w:rsidRPr="00BE66B2" w:rsidRDefault="003740C3" w:rsidP="00BE66B2">
      <w:pPr>
        <w:jc w:val="both"/>
        <w:rPr>
          <w:rFonts w:asciiTheme="minorHAnsi" w:hAnsiTheme="minorHAnsi" w:cstheme="minorHAnsi"/>
        </w:rPr>
      </w:pPr>
    </w:p>
    <w:p w14:paraId="1DA29019" w14:textId="77777777" w:rsidR="003740C3" w:rsidRPr="00BE66B2" w:rsidRDefault="003740C3" w:rsidP="00BE66B2">
      <w:pPr>
        <w:jc w:val="both"/>
        <w:rPr>
          <w:rFonts w:asciiTheme="minorHAnsi" w:hAnsiTheme="minorHAnsi" w:cstheme="minorHAnsi"/>
        </w:rPr>
      </w:pPr>
    </w:p>
    <w:p w14:paraId="771F14EA" w14:textId="5F000C67" w:rsidR="005508AE" w:rsidRPr="00BE66B2" w:rsidRDefault="00BE66B2" w:rsidP="00BE66B2">
      <w:pPr>
        <w:jc w:val="both"/>
        <w:rPr>
          <w:rFonts w:asciiTheme="minorHAnsi" w:hAnsiTheme="minorHAnsi" w:cstheme="minorHAnsi"/>
        </w:rPr>
      </w:pPr>
      <w:hyperlink r:id="rId9" w:history="1">
        <w:r w:rsidR="003740C3" w:rsidRPr="00BE66B2">
          <w:rPr>
            <w:rStyle w:val="Hyperlink"/>
            <w:rFonts w:asciiTheme="minorHAnsi" w:hAnsiTheme="minorHAnsi" w:cstheme="minorHAnsi"/>
          </w:rPr>
          <w:t>https://www.gov.uk/government/news/government-introduces-ground-breaking-environment-bill</w:t>
        </w:r>
      </w:hyperlink>
    </w:p>
    <w:p w14:paraId="2476832A" w14:textId="4E13FF2A" w:rsidR="003740C3" w:rsidRPr="00BE66B2" w:rsidRDefault="003740C3" w:rsidP="00BE66B2">
      <w:pPr>
        <w:jc w:val="both"/>
        <w:rPr>
          <w:rFonts w:asciiTheme="minorHAnsi" w:hAnsiTheme="minorHAnsi" w:cstheme="minorHAnsi"/>
        </w:rPr>
      </w:pPr>
    </w:p>
    <w:p w14:paraId="7030D954" w14:textId="455486A3" w:rsidR="003740C3" w:rsidRPr="00BE66B2" w:rsidRDefault="00BE66B2" w:rsidP="00BE66B2">
      <w:pPr>
        <w:jc w:val="both"/>
        <w:rPr>
          <w:rFonts w:asciiTheme="minorHAnsi" w:hAnsiTheme="minorHAnsi" w:cstheme="minorHAnsi"/>
        </w:rPr>
      </w:pPr>
      <w:hyperlink r:id="rId10" w:history="1">
        <w:r w:rsidR="003740C3" w:rsidRPr="00BE66B2">
          <w:rPr>
            <w:rStyle w:val="Hyperlink"/>
            <w:rFonts w:asciiTheme="minorHAnsi" w:hAnsiTheme="minorHAnsi" w:cstheme="minorHAnsi"/>
          </w:rPr>
          <w:t>http://pioneerlaw.com/news/environment-protection-act-2076-2019</w:t>
        </w:r>
      </w:hyperlink>
      <w:r w:rsidR="003740C3" w:rsidRPr="00BE66B2">
        <w:rPr>
          <w:rFonts w:asciiTheme="minorHAnsi" w:hAnsiTheme="minorHAnsi" w:cstheme="minorHAnsi"/>
        </w:rPr>
        <w:br/>
      </w:r>
    </w:p>
    <w:p w14:paraId="56BDF98C" w14:textId="77777777" w:rsidR="003740C3" w:rsidRPr="00BE66B2" w:rsidRDefault="003740C3" w:rsidP="00BE66B2">
      <w:pPr>
        <w:jc w:val="both"/>
        <w:rPr>
          <w:rFonts w:asciiTheme="minorHAnsi" w:hAnsiTheme="minorHAnsi" w:cstheme="minorHAnsi"/>
        </w:rPr>
      </w:pPr>
    </w:p>
    <w:p w14:paraId="1945AAD9" w14:textId="40E40C43" w:rsidR="003740C3" w:rsidRPr="00BE66B2" w:rsidRDefault="00BE66B2" w:rsidP="00BE66B2">
      <w:pPr>
        <w:jc w:val="both"/>
        <w:rPr>
          <w:rFonts w:asciiTheme="minorHAnsi" w:hAnsiTheme="minorHAnsi" w:cstheme="minorHAnsi"/>
        </w:rPr>
      </w:pPr>
      <w:hyperlink r:id="rId11" w:history="1">
        <w:r w:rsidR="003740C3" w:rsidRPr="00BE66B2">
          <w:rPr>
            <w:rStyle w:val="Hyperlink"/>
            <w:rFonts w:asciiTheme="minorHAnsi" w:hAnsiTheme="minorHAnsi" w:cstheme="minorHAnsi"/>
          </w:rPr>
          <w:t>https://england.shelter.org.uk/legal/homelessness_applications/challenging_la_decisions/judicial_review_of_decisions_in_homelessness_cases</w:t>
        </w:r>
      </w:hyperlink>
    </w:p>
    <w:p w14:paraId="22D81C4F" w14:textId="77777777" w:rsidR="003740C3" w:rsidRPr="00BE66B2" w:rsidRDefault="003740C3" w:rsidP="00BE66B2">
      <w:pPr>
        <w:jc w:val="both"/>
        <w:rPr>
          <w:rFonts w:asciiTheme="minorHAnsi" w:hAnsiTheme="minorHAnsi" w:cstheme="minorHAnsi"/>
        </w:rPr>
      </w:pPr>
    </w:p>
    <w:p w14:paraId="7B76BEFC" w14:textId="77777777" w:rsidR="003740C3" w:rsidRPr="00BE66B2" w:rsidRDefault="003740C3" w:rsidP="00BE66B2">
      <w:pPr>
        <w:jc w:val="both"/>
        <w:rPr>
          <w:rFonts w:asciiTheme="minorHAnsi" w:hAnsiTheme="minorHAnsi" w:cstheme="minorHAnsi"/>
        </w:rPr>
      </w:pPr>
    </w:p>
    <w:p w14:paraId="1F1DFD6F" w14:textId="77777777" w:rsidR="005508AE" w:rsidRPr="00BE66B2" w:rsidRDefault="005508AE" w:rsidP="00BE66B2">
      <w:pPr>
        <w:jc w:val="both"/>
        <w:rPr>
          <w:rFonts w:asciiTheme="minorHAnsi" w:hAnsiTheme="minorHAnsi" w:cstheme="minorHAnsi"/>
        </w:rPr>
      </w:pPr>
    </w:p>
    <w:sectPr w:rsidR="005508AE" w:rsidRPr="00BE66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834C1E"/>
    <w:multiLevelType w:val="hybridMultilevel"/>
    <w:tmpl w:val="CD7A7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E0402B"/>
    <w:multiLevelType w:val="hybridMultilevel"/>
    <w:tmpl w:val="A2589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80328"/>
    <w:multiLevelType w:val="hybridMultilevel"/>
    <w:tmpl w:val="47341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8AE"/>
    <w:rsid w:val="003740C3"/>
    <w:rsid w:val="005508AE"/>
    <w:rsid w:val="005B2693"/>
    <w:rsid w:val="009F4E78"/>
    <w:rsid w:val="00BA2697"/>
    <w:rsid w:val="00BE66B2"/>
    <w:rsid w:val="00DA7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D4187B"/>
  <w15:chartTrackingRefBased/>
  <w15:docId w15:val="{F7AA0943-6170-2A49-AE6F-A6AC6D5EC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8A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7D53"/>
    <w:rPr>
      <w:color w:val="0563C1" w:themeColor="hyperlink"/>
      <w:u w:val="single"/>
    </w:rPr>
  </w:style>
  <w:style w:type="character" w:styleId="UnresolvedMention">
    <w:name w:val="Unresolved Mention"/>
    <w:basedOn w:val="DefaultParagraphFont"/>
    <w:uiPriority w:val="99"/>
    <w:semiHidden/>
    <w:unhideWhenUsed/>
    <w:rsid w:val="00DA7D53"/>
    <w:rPr>
      <w:color w:val="605E5C"/>
      <w:shd w:val="clear" w:color="auto" w:fill="E1DFDD"/>
    </w:rPr>
  </w:style>
  <w:style w:type="character" w:styleId="FollowedHyperlink">
    <w:name w:val="FollowedHyperlink"/>
    <w:basedOn w:val="DefaultParagraphFont"/>
    <w:uiPriority w:val="99"/>
    <w:semiHidden/>
    <w:unhideWhenUsed/>
    <w:rsid w:val="003740C3"/>
    <w:rPr>
      <w:color w:val="954F72" w:themeColor="followedHyperlink"/>
      <w:u w:val="single"/>
    </w:rPr>
  </w:style>
  <w:style w:type="paragraph" w:styleId="ListParagraph">
    <w:name w:val="List Paragraph"/>
    <w:basedOn w:val="Normal"/>
    <w:uiPriority w:val="34"/>
    <w:qFormat/>
    <w:rsid w:val="005B26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3/2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ubliclawproject.org.uk/wp-content/uploads/data/resources/114/PLP_2006_Guide_To_JR_Procedure.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81/49" TargetMode="External"/><Relationship Id="rId11" Type="http://schemas.openxmlformats.org/officeDocument/2006/relationships/hyperlink" Target="https://england.shelter.org.uk/legal/homelessness_applications/challenging_la_decisions/judicial_review_of_decisions_in_homelessness_cases" TargetMode="External"/><Relationship Id="rId5" Type="http://schemas.openxmlformats.org/officeDocument/2006/relationships/hyperlink" Target="https://ukdiss.com/examples/irish-freedom-media.php" TargetMode="External"/><Relationship Id="rId10" Type="http://schemas.openxmlformats.org/officeDocument/2006/relationships/hyperlink" Target="http://pioneerlaw.com/news/environment-protection-act-2076-2019" TargetMode="External"/><Relationship Id="rId4" Type="http://schemas.openxmlformats.org/officeDocument/2006/relationships/webSettings" Target="webSettings.xml"/><Relationship Id="rId9" Type="http://schemas.openxmlformats.org/officeDocument/2006/relationships/hyperlink" Target="https://www.gov.uk/government/news/government-introduces-ground-breaking-environment-bi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8</Pages>
  <Words>2088</Words>
  <Characters>11903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2021-01-08T13:08:00Z</dcterms:created>
  <dcterms:modified xsi:type="dcterms:W3CDTF">2021-01-08T14:13:00Z</dcterms:modified>
</cp:coreProperties>
</file>