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spacing w:line="360" w:lineRule="auto"/>
        <w:rPr>
          <w:rFonts w:ascii="Calibri" w:cs="Calibri" w:eastAsia="Calibri" w:hAnsi="Calibri"/>
          <w:b w:val="1"/>
        </w:rPr>
      </w:pPr>
      <w:r w:rsidDel="00000000" w:rsidR="00000000" w:rsidRPr="00000000">
        <w:rPr>
          <w:rFonts w:ascii="Calibri" w:cs="Calibri" w:eastAsia="Calibri" w:hAnsi="Calibri"/>
          <w:b w:val="1"/>
          <w:rtl w:val="0"/>
        </w:rPr>
        <w:t xml:space="preserve">Assessment Two: 2.2 Modern Bibliographic Exercise </w:t>
      </w:r>
    </w:p>
    <w:p w:rsidR="00000000" w:rsidDel="00000000" w:rsidP="00000000" w:rsidRDefault="00000000" w:rsidRPr="00000000" w14:paraId="00000002">
      <w:pPr>
        <w:spacing w:line="360"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03">
      <w:pPr>
        <w:spacing w:line="360" w:lineRule="auto"/>
        <w:ind w:firstLine="720"/>
        <w:rPr>
          <w:rFonts w:ascii="Calibri" w:cs="Calibri" w:eastAsia="Calibri" w:hAnsi="Calibri"/>
        </w:rPr>
      </w:pPr>
      <w:r w:rsidDel="00000000" w:rsidR="00000000" w:rsidRPr="00000000">
        <w:rPr>
          <w:rFonts w:ascii="Calibri" w:cs="Calibri" w:eastAsia="Calibri" w:hAnsi="Calibri"/>
          <w:rtl w:val="0"/>
        </w:rPr>
        <w:t xml:space="preserve">For this exercise I will be looking at the work of Ana Lucia Araujo, a social and cultural interdisciplinary historian trained in art history and anthropology who presents lectures internationally.  Her research includes written, visual and material culture, and fieldwork.  She is inspired by migrant experience and a quest for social justice, and is a fervant scholar of slavery and the Atlantic slave trade, memory and the demand for reparations for slavery and colonialsm.  Author of thirteen books, numerous articles and reviews, editor of multiple books and a member of various associations within this topic, Araujo is presently a Professor of History and the Associate Chair of the Department at Howard University and a member of the UNESCO  Slave Route Project.  Araujo was a founder of the Slave Trade Book club, still active and open to scholars and the public alike, and she is currently working on two new book projects having been awarded the Franklin Research Grant of the American Philosophical Society.</w:t>
      </w:r>
      <w:r w:rsidDel="00000000" w:rsidR="00000000" w:rsidRPr="00000000">
        <w:rPr>
          <w:rFonts w:ascii="Calibri" w:cs="Calibri" w:eastAsia="Calibri" w:hAnsi="Calibri"/>
          <w:vertAlign w:val="superscript"/>
        </w:rPr>
        <w:footnoteReference w:customMarkFollows="0" w:id="0"/>
      </w:r>
      <w:r w:rsidDel="00000000" w:rsidR="00000000" w:rsidRPr="00000000">
        <w:rPr>
          <w:rtl w:val="0"/>
        </w:rPr>
      </w:r>
    </w:p>
    <w:p w:rsidR="00000000" w:rsidDel="00000000" w:rsidP="00000000" w:rsidRDefault="00000000" w:rsidRPr="00000000" w14:paraId="00000004">
      <w:pPr>
        <w:spacing w:line="360" w:lineRule="auto"/>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05">
      <w:pPr>
        <w:spacing w:line="360" w:lineRule="auto"/>
        <w:ind w:left="0" w:firstLine="0"/>
        <w:rPr>
          <w:rFonts w:ascii="Calibri" w:cs="Calibri" w:eastAsia="Calibri" w:hAnsi="Calibri"/>
          <w:b w:val="1"/>
        </w:rPr>
      </w:pPr>
      <w:r w:rsidDel="00000000" w:rsidR="00000000" w:rsidRPr="00000000">
        <w:rPr>
          <w:rFonts w:ascii="Calibri" w:cs="Calibri" w:eastAsia="Calibri" w:hAnsi="Calibri"/>
          <w:b w:val="1"/>
          <w:rtl w:val="0"/>
        </w:rPr>
        <w:t xml:space="preserve">Annotated Bibliography</w:t>
      </w:r>
    </w:p>
    <w:p w:rsidR="00000000" w:rsidDel="00000000" w:rsidP="00000000" w:rsidRDefault="00000000" w:rsidRPr="00000000" w14:paraId="00000006">
      <w:pPr>
        <w:spacing w:line="360" w:lineRule="auto"/>
        <w:ind w:left="0" w:firstLine="0"/>
        <w:rPr>
          <w:rFonts w:ascii="Calibri" w:cs="Calibri" w:eastAsia="Calibri" w:hAnsi="Calibri"/>
          <w:b w:val="1"/>
        </w:rPr>
      </w:pPr>
      <w:r w:rsidDel="00000000" w:rsidR="00000000" w:rsidRPr="00000000">
        <w:rPr>
          <w:rtl w:val="0"/>
        </w:rPr>
      </w:r>
    </w:p>
    <w:p w:rsidR="00000000" w:rsidDel="00000000" w:rsidP="00000000" w:rsidRDefault="00000000" w:rsidRPr="00000000" w14:paraId="00000007">
      <w:pPr>
        <w:spacing w:after="180" w:line="360" w:lineRule="auto"/>
        <w:rPr>
          <w:rFonts w:ascii="Calibri" w:cs="Calibri" w:eastAsia="Calibri" w:hAnsi="Calibri"/>
          <w:b w:val="1"/>
        </w:rPr>
      </w:pPr>
      <w:r w:rsidDel="00000000" w:rsidR="00000000" w:rsidRPr="00000000">
        <w:rPr>
          <w:rFonts w:ascii="Calibri" w:cs="Calibri" w:eastAsia="Calibri" w:hAnsi="Calibri"/>
          <w:b w:val="1"/>
          <w:rtl w:val="0"/>
        </w:rPr>
        <w:t xml:space="preserve">Araujo, Ana Lucia, </w:t>
      </w:r>
      <w:r w:rsidDel="00000000" w:rsidR="00000000" w:rsidRPr="00000000">
        <w:rPr>
          <w:rFonts w:ascii="Calibri" w:cs="Calibri" w:eastAsia="Calibri" w:hAnsi="Calibri"/>
          <w:b w:val="1"/>
          <w:i w:val="1"/>
          <w:rtl w:val="0"/>
        </w:rPr>
        <w:t xml:space="preserve">A Historian's Views; Digital arts and humanities in the age of presentism </w:t>
      </w:r>
      <w:r w:rsidDel="00000000" w:rsidR="00000000" w:rsidRPr="00000000">
        <w:rPr>
          <w:rFonts w:ascii="Calibri" w:cs="Calibri" w:eastAsia="Calibri" w:hAnsi="Calibri"/>
          <w:b w:val="1"/>
          <w:rtl w:val="0"/>
        </w:rPr>
        <w:t xml:space="preserve">from </w:t>
      </w:r>
      <w:hyperlink r:id="rId7">
        <w:r w:rsidDel="00000000" w:rsidR="00000000" w:rsidRPr="00000000">
          <w:rPr>
            <w:rFonts w:ascii="Calibri" w:cs="Calibri" w:eastAsia="Calibri" w:hAnsi="Calibri"/>
            <w:b w:val="1"/>
            <w:color w:val="1155cc"/>
            <w:u w:val="single"/>
            <w:rtl w:val="0"/>
          </w:rPr>
          <w:t xml:space="preserve">https://www.historianviews.com/?page_id=15</w:t>
        </w:r>
      </w:hyperlink>
      <w:r w:rsidDel="00000000" w:rsidR="00000000" w:rsidRPr="00000000">
        <w:rPr>
          <w:rFonts w:ascii="Calibri" w:cs="Calibri" w:eastAsia="Calibri" w:hAnsi="Calibri"/>
          <w:b w:val="1"/>
          <w:rtl w:val="0"/>
        </w:rPr>
        <w:t xml:space="preserve"> [accessed 12 November 2021]</w:t>
      </w:r>
    </w:p>
    <w:p w:rsidR="00000000" w:rsidDel="00000000" w:rsidP="00000000" w:rsidRDefault="00000000" w:rsidRPr="00000000" w14:paraId="00000008">
      <w:pPr>
        <w:spacing w:after="180" w:line="360" w:lineRule="auto"/>
        <w:rPr>
          <w:rFonts w:ascii="Calibri" w:cs="Calibri" w:eastAsia="Calibri" w:hAnsi="Calibri"/>
          <w:b w:val="1"/>
        </w:rPr>
      </w:pPr>
      <w:r w:rsidDel="00000000" w:rsidR="00000000" w:rsidRPr="00000000">
        <w:rPr>
          <w:rFonts w:ascii="Calibri" w:cs="Calibri" w:eastAsia="Calibri" w:hAnsi="Calibri"/>
          <w:b w:val="1"/>
          <w:rtl w:val="0"/>
        </w:rPr>
        <w:tab/>
      </w:r>
      <w:r w:rsidDel="00000000" w:rsidR="00000000" w:rsidRPr="00000000">
        <w:rPr>
          <w:rFonts w:ascii="Calibri" w:cs="Calibri" w:eastAsia="Calibri" w:hAnsi="Calibri"/>
          <w:rtl w:val="0"/>
        </w:rPr>
        <w:t xml:space="preserve">An accessible site dedicated to the study of slavery curated by Araujo and suitable for the general public and scholars alike, the website is a tool to study memory and heritage through digital media. Topics includes atricles, book and film reviews, news, heritage site of slavery, each tagged for relevance.  It is full of additional pieces, i.e a short exploration on whether one uses enslaved or slaves to identify people.  There is a page of  digital resources listing numerous projects. The overall approach is to engage interest and share resources. A work in constant progress that has not been updated for over two years -  last entry January 2019, so missing relevant recent material.  </w:t>
      </w:r>
      <w:r w:rsidDel="00000000" w:rsidR="00000000" w:rsidRPr="00000000">
        <w:rPr>
          <w:rtl w:val="0"/>
        </w:rPr>
      </w:r>
    </w:p>
    <w:p w:rsidR="00000000" w:rsidDel="00000000" w:rsidP="00000000" w:rsidRDefault="00000000" w:rsidRPr="00000000" w14:paraId="00000009">
      <w:pPr>
        <w:spacing w:after="180" w:line="360" w:lineRule="auto"/>
        <w:rPr>
          <w:rFonts w:ascii="Calibri" w:cs="Calibri" w:eastAsia="Calibri" w:hAnsi="Calibri"/>
          <w:b w:val="1"/>
        </w:rPr>
      </w:pPr>
      <w:r w:rsidDel="00000000" w:rsidR="00000000" w:rsidRPr="00000000">
        <w:rPr>
          <w:rFonts w:ascii="Calibri" w:cs="Calibri" w:eastAsia="Calibri" w:hAnsi="Calibri"/>
          <w:b w:val="1"/>
          <w:rtl w:val="0"/>
        </w:rPr>
        <w:t xml:space="preserve">Araujo, Ana Lucia, ‘Afterword: Ghosts of Slavery’, </w:t>
      </w:r>
      <w:r w:rsidDel="00000000" w:rsidR="00000000" w:rsidRPr="00000000">
        <w:rPr>
          <w:rFonts w:ascii="Calibri" w:cs="Calibri" w:eastAsia="Calibri" w:hAnsi="Calibri"/>
          <w:b w:val="1"/>
          <w:i w:val="1"/>
          <w:rtl w:val="0"/>
        </w:rPr>
        <w:t xml:space="preserve">International Review of Social History,</w:t>
      </w:r>
      <w:r w:rsidDel="00000000" w:rsidR="00000000" w:rsidRPr="00000000">
        <w:rPr>
          <w:rFonts w:ascii="Calibri" w:cs="Calibri" w:eastAsia="Calibri" w:hAnsi="Calibri"/>
          <w:b w:val="1"/>
          <w:rtl w:val="0"/>
        </w:rPr>
        <w:t xml:space="preserve"> 65 (2020), 225–36 &lt;https://doi.org/10.1017/S0020859020000164&gt;</w:t>
      </w:r>
    </w:p>
    <w:p w:rsidR="00000000" w:rsidDel="00000000" w:rsidP="00000000" w:rsidRDefault="00000000" w:rsidRPr="00000000" w14:paraId="0000000A">
      <w:pPr>
        <w:spacing w:after="180" w:line="360" w:lineRule="auto"/>
        <w:rPr>
          <w:rFonts w:ascii="Calibri" w:cs="Calibri" w:eastAsia="Calibri" w:hAnsi="Calibri"/>
          <w:highlight w:val="white"/>
        </w:rPr>
      </w:pPr>
      <w:r w:rsidDel="00000000" w:rsidR="00000000" w:rsidRPr="00000000">
        <w:rPr>
          <w:rFonts w:ascii="Calibri" w:cs="Calibri" w:eastAsia="Calibri" w:hAnsi="Calibri"/>
          <w:b w:val="1"/>
          <w:highlight w:val="white"/>
          <w:rtl w:val="0"/>
        </w:rPr>
        <w:tab/>
      </w:r>
      <w:r w:rsidDel="00000000" w:rsidR="00000000" w:rsidRPr="00000000">
        <w:rPr>
          <w:rFonts w:ascii="Calibri" w:cs="Calibri" w:eastAsia="Calibri" w:hAnsi="Calibri"/>
          <w:highlight w:val="white"/>
          <w:rtl w:val="0"/>
        </w:rPr>
        <w:t xml:space="preserve">This scholarly article is part of a special issue on urban slavery in the Atlantic world during the global abolition period.  Araujo demonstrates the omipresence and complexity of slavery in cities across the globe, and argues that notwithstanding abolition, urban slavery remained in full view and city spaces defined by colour and status for some time.  As abolition rooted so were changes wrought in urban scapes where slavery and its remnents were superseeded by works intended to santitise and develop cities.  The legacy was a ghosting of slavery with the inherent undercurents and tensions of innequlities glossed over, however, as Araujo argues the remnants remain viscerally within the fabric of peoples everyday lives.  The article is well researched and benefits from images and ethnography and memoric stories that reveal the presence of the </w:t>
      </w:r>
      <w:r w:rsidDel="00000000" w:rsidR="00000000" w:rsidRPr="00000000">
        <w:rPr>
          <w:rFonts w:ascii="Calibri" w:cs="Calibri" w:eastAsia="Calibri" w:hAnsi="Calibri"/>
          <w:highlight w:val="white"/>
          <w:rtl w:val="0"/>
        </w:rPr>
        <w:t xml:space="preserve">ghosting</w:t>
      </w:r>
      <w:r w:rsidDel="00000000" w:rsidR="00000000" w:rsidRPr="00000000">
        <w:rPr>
          <w:rFonts w:ascii="Calibri" w:cs="Calibri" w:eastAsia="Calibri" w:hAnsi="Calibri"/>
          <w:highlight w:val="white"/>
          <w:rtl w:val="0"/>
        </w:rPr>
        <w:t xml:space="preserve">.  Araujo acknowledges scholarly interest and research of the last twenty years on how slavery shaped urban areas then and now, and argues for a greater engagement with ethnographic, visual, oral traditions, dance, music, material culture, and archaeological evidence as a route to better understand the present day legacies of the slave trade.</w:t>
      </w:r>
    </w:p>
    <w:p w:rsidR="00000000" w:rsidDel="00000000" w:rsidP="00000000" w:rsidRDefault="00000000" w:rsidRPr="00000000" w14:paraId="0000000B">
      <w:pPr>
        <w:spacing w:after="180" w:line="360" w:lineRule="auto"/>
        <w:ind w:left="0" w:firstLine="0"/>
        <w:rPr>
          <w:rFonts w:ascii="Calibri" w:cs="Calibri" w:eastAsia="Calibri" w:hAnsi="Calibri"/>
          <w:b w:val="1"/>
        </w:rPr>
      </w:pPr>
      <w:r w:rsidDel="00000000" w:rsidR="00000000" w:rsidRPr="00000000">
        <w:rPr>
          <w:rFonts w:ascii="Calibri" w:cs="Calibri" w:eastAsia="Calibri" w:hAnsi="Calibri"/>
          <w:b w:val="1"/>
          <w:rtl w:val="0"/>
        </w:rPr>
        <w:t xml:space="preserve">Araujo, Ana Lucia, </w:t>
      </w:r>
      <w:r w:rsidDel="00000000" w:rsidR="00000000" w:rsidRPr="00000000">
        <w:rPr>
          <w:rFonts w:ascii="Calibri" w:cs="Calibri" w:eastAsia="Calibri" w:hAnsi="Calibri"/>
          <w:b w:val="1"/>
          <w:i w:val="1"/>
          <w:rtl w:val="0"/>
        </w:rPr>
        <w:t xml:space="preserve">Museums and Atlantic Slavery</w:t>
      </w:r>
      <w:r w:rsidDel="00000000" w:rsidR="00000000" w:rsidRPr="00000000">
        <w:rPr>
          <w:rFonts w:ascii="Calibri" w:cs="Calibri" w:eastAsia="Calibri" w:hAnsi="Calibri"/>
          <w:b w:val="1"/>
          <w:rtl w:val="0"/>
        </w:rPr>
        <w:t xml:space="preserve">, Museums in Focus (London: Routledge, 2021)</w:t>
      </w:r>
    </w:p>
    <w:p w:rsidR="00000000" w:rsidDel="00000000" w:rsidP="00000000" w:rsidRDefault="00000000" w:rsidRPr="00000000" w14:paraId="0000000C">
      <w:pPr>
        <w:spacing w:after="180" w:line="360" w:lineRule="auto"/>
        <w:ind w:left="0" w:firstLine="0"/>
        <w:rPr>
          <w:rFonts w:ascii="Calibri" w:cs="Calibri" w:eastAsia="Calibri" w:hAnsi="Calibri"/>
          <w:b w:val="1"/>
        </w:rPr>
      </w:pPr>
      <w:r w:rsidDel="00000000" w:rsidR="00000000" w:rsidRPr="00000000">
        <w:rPr>
          <w:rFonts w:ascii="Calibri" w:cs="Calibri" w:eastAsia="Calibri" w:hAnsi="Calibri"/>
          <w:b w:val="1"/>
          <w:rtl w:val="0"/>
        </w:rPr>
        <w:tab/>
      </w:r>
      <w:r w:rsidDel="00000000" w:rsidR="00000000" w:rsidRPr="00000000">
        <w:rPr>
          <w:rFonts w:ascii="Calibri" w:cs="Calibri" w:eastAsia="Calibri" w:hAnsi="Calibri"/>
          <w:rtl w:val="0"/>
        </w:rPr>
        <w:t xml:space="preserve">A short book part of a book series called Museums in Focus, Araujo writes for scholars, students and museum professionals.  Tracing the nelgect in museums of black communits, the wake of atrocities as part of the slave trade, and in particular how slavery generated wealth for present inndependent nations, Araujo acknowledges the change over the last three decades, and highlights the development of new museums dedicated to the slave trade, and what she considers the impetus  underpinning this. Araju conceived museums as historical narratives, telling a story that acts as a cultural hub for education. Her book engages an interdisciplinary approach to consider how museums have depicted human bondage and  and the wake at the public history sphere in terms of racism and supremacy. It is a broad overview of a topic thus far under researched with the scope of material limited by the constraints to be a short book.</w:t>
      </w:r>
      <w:r w:rsidDel="00000000" w:rsidR="00000000" w:rsidRPr="00000000">
        <w:rPr>
          <w:rtl w:val="0"/>
        </w:rPr>
      </w:r>
    </w:p>
    <w:p w:rsidR="00000000" w:rsidDel="00000000" w:rsidP="00000000" w:rsidRDefault="00000000" w:rsidRPr="00000000" w14:paraId="0000000D">
      <w:pPr>
        <w:spacing w:after="180" w:line="360" w:lineRule="auto"/>
        <w:rPr>
          <w:rFonts w:ascii="Calibri" w:cs="Calibri" w:eastAsia="Calibri" w:hAnsi="Calibri"/>
          <w:b w:val="1"/>
        </w:rPr>
      </w:pPr>
      <w:r w:rsidDel="00000000" w:rsidR="00000000" w:rsidRPr="00000000">
        <w:rPr>
          <w:rFonts w:ascii="Calibri" w:cs="Calibri" w:eastAsia="Calibri" w:hAnsi="Calibri"/>
          <w:b w:val="1"/>
          <w:rtl w:val="0"/>
        </w:rPr>
        <w:t xml:space="preserve">Araujo, Ana Lucia, </w:t>
      </w:r>
      <w:r w:rsidDel="00000000" w:rsidR="00000000" w:rsidRPr="00000000">
        <w:rPr>
          <w:rFonts w:ascii="Calibri" w:cs="Calibri" w:eastAsia="Calibri" w:hAnsi="Calibri"/>
          <w:b w:val="1"/>
          <w:i w:val="1"/>
          <w:rtl w:val="0"/>
        </w:rPr>
        <w:t xml:space="preserve">Reparations for Slavery and the Slave Trade: A Transnational and Comparative History</w:t>
      </w:r>
      <w:r w:rsidDel="00000000" w:rsidR="00000000" w:rsidRPr="00000000">
        <w:rPr>
          <w:rFonts w:ascii="Calibri" w:cs="Calibri" w:eastAsia="Calibri" w:hAnsi="Calibri"/>
          <w:b w:val="1"/>
          <w:rtl w:val="0"/>
        </w:rPr>
        <w:t xml:space="preserve"> (London: Bloomsbury Academic, 2017)</w:t>
      </w:r>
    </w:p>
    <w:p w:rsidR="00000000" w:rsidDel="00000000" w:rsidP="00000000" w:rsidRDefault="00000000" w:rsidRPr="00000000" w14:paraId="0000000E">
      <w:pPr>
        <w:spacing w:after="180" w:line="360" w:lineRule="auto"/>
        <w:ind w:firstLine="720"/>
        <w:rPr>
          <w:rFonts w:ascii="Calibri" w:cs="Calibri" w:eastAsia="Calibri" w:hAnsi="Calibri"/>
        </w:rPr>
      </w:pPr>
      <w:r w:rsidDel="00000000" w:rsidR="00000000" w:rsidRPr="00000000">
        <w:rPr>
          <w:rFonts w:ascii="Calibri" w:cs="Calibri" w:eastAsia="Calibri" w:hAnsi="Calibri"/>
          <w:rtl w:val="0"/>
        </w:rPr>
        <w:t xml:space="preserve">Seeded through pioneering research on memorialising projects and reparations from her time in Benin, Araujo argues that the call for reparation is old, and makes a plea for  more in depth Historical research.  The book traces stories and structures  across time and place, highlighting cultural and spatial differences in reparation ideology and acceptability; symbolic reparation more readily adopted and the challenges of material redistribution, alongside the waves of controversy and change in relations to moments and acceptability.  A text relevant for students, teachers and interested public, Araujo highlights that whilst demands for land and financial reparations through legal institutions are repeatedly declined, change is often wrought by movements such as Black Lives Matter through for example sit-ins.  In particular Ataujo highlights the complexity arising from the transatlantic experiences: if we make changes here in this city, country, what happens to people 'over there’; that this is a global problem.</w:t>
      </w:r>
      <w:r w:rsidDel="00000000" w:rsidR="00000000" w:rsidRPr="00000000">
        <w:rPr>
          <w:rtl w:val="0"/>
        </w:rPr>
      </w:r>
    </w:p>
    <w:p w:rsidR="00000000" w:rsidDel="00000000" w:rsidP="00000000" w:rsidRDefault="00000000" w:rsidRPr="00000000" w14:paraId="0000000F">
      <w:pPr>
        <w:spacing w:after="180" w:line="360" w:lineRule="auto"/>
        <w:rPr>
          <w:rFonts w:ascii="Calibri" w:cs="Calibri" w:eastAsia="Calibri" w:hAnsi="Calibri"/>
          <w:b w:val="1"/>
        </w:rPr>
      </w:pPr>
      <w:r w:rsidDel="00000000" w:rsidR="00000000" w:rsidRPr="00000000">
        <w:rPr>
          <w:rFonts w:ascii="Calibri" w:cs="Calibri" w:eastAsia="Calibri" w:hAnsi="Calibri"/>
          <w:b w:val="1"/>
          <w:rtl w:val="0"/>
        </w:rPr>
        <w:t xml:space="preserve">Araujo, Ana Lucia, </w:t>
      </w:r>
      <w:r w:rsidDel="00000000" w:rsidR="00000000" w:rsidRPr="00000000">
        <w:rPr>
          <w:rFonts w:ascii="Calibri" w:cs="Calibri" w:eastAsia="Calibri" w:hAnsi="Calibri"/>
          <w:b w:val="1"/>
          <w:i w:val="1"/>
          <w:rtl w:val="0"/>
        </w:rPr>
        <w:t xml:space="preserve">Slavery in the Age of Memory: Engaging the Past</w:t>
      </w:r>
      <w:r w:rsidDel="00000000" w:rsidR="00000000" w:rsidRPr="00000000">
        <w:rPr>
          <w:rFonts w:ascii="Calibri" w:cs="Calibri" w:eastAsia="Calibri" w:hAnsi="Calibri"/>
          <w:b w:val="1"/>
          <w:rtl w:val="0"/>
        </w:rPr>
        <w:t xml:space="preserve"> (New York: Bloomsbury Academic, 2019)</w:t>
      </w:r>
    </w:p>
    <w:p w:rsidR="00000000" w:rsidDel="00000000" w:rsidP="00000000" w:rsidRDefault="00000000" w:rsidRPr="00000000" w14:paraId="00000010">
      <w:pPr>
        <w:spacing w:after="180" w:line="360" w:lineRule="auto"/>
        <w:rPr>
          <w:rFonts w:ascii="Calibri" w:cs="Calibri" w:eastAsia="Calibri" w:hAnsi="Calibri"/>
        </w:rPr>
      </w:pPr>
      <w:r w:rsidDel="00000000" w:rsidR="00000000" w:rsidRPr="00000000">
        <w:rPr>
          <w:rFonts w:ascii="Calibri" w:cs="Calibri" w:eastAsia="Calibri" w:hAnsi="Calibri"/>
          <w:b w:val="1"/>
          <w:rtl w:val="0"/>
        </w:rPr>
        <w:tab/>
      </w:r>
      <w:r w:rsidDel="00000000" w:rsidR="00000000" w:rsidRPr="00000000">
        <w:rPr>
          <w:rFonts w:ascii="Calibri" w:cs="Calibri" w:eastAsia="Calibri" w:hAnsi="Calibri"/>
          <w:rtl w:val="0"/>
        </w:rPr>
        <w:t xml:space="preserve">Building on Araujo’s years of comparative perspectives on memory, the slave trade and colonnial legacy, this book is structured with six chapters dedicated to aspects of memory;  collective, cultural, public, and official spheres and a chapter on public history.  It's a rich starting place for studies on Britain, France, and the United States with Araujo arguing for the inherent connectivity of the past with prevailing persistent present day racism and inequalities, revealing the complexity and hardships of memory in the wake of the colonial distortion of histories and the legacy of oppressive hegemonic structures. In particular Araujo is passionate about carving a place for the harrowing memories passed on through generations that expose the falsehood of official history to be brought into the histories.  This is a  highly significant contribution to deepen and change what we thought we ‘knew’, and a bold plea towards recovering memories, challenging distorted views at a time of present day unrest.</w:t>
      </w:r>
    </w:p>
    <w:p w:rsidR="00000000" w:rsidDel="00000000" w:rsidP="00000000" w:rsidRDefault="00000000" w:rsidRPr="00000000" w14:paraId="00000011">
      <w:pPr>
        <w:spacing w:after="180"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12">
      <w:pPr>
        <w:spacing w:line="360" w:lineRule="auto"/>
        <w:rPr>
          <w:rFonts w:ascii="Calibri" w:cs="Calibri" w:eastAsia="Calibri" w:hAnsi="Calibri"/>
          <w:b w:val="1"/>
          <w:highlight w:val="white"/>
        </w:rPr>
      </w:pPr>
      <w:r w:rsidDel="00000000" w:rsidR="00000000" w:rsidRPr="00000000">
        <w:rPr>
          <w:rFonts w:ascii="Calibri" w:cs="Calibri" w:eastAsia="Calibri" w:hAnsi="Calibri"/>
          <w:b w:val="1"/>
          <w:highlight w:val="white"/>
          <w:rtl w:val="0"/>
        </w:rPr>
        <w:t xml:space="preserve">Endnotes:</w:t>
      </w:r>
    </w:p>
    <w:p w:rsidR="00000000" w:rsidDel="00000000" w:rsidP="00000000" w:rsidRDefault="00000000" w:rsidRPr="00000000" w14:paraId="00000013">
      <w:pPr>
        <w:spacing w:line="360" w:lineRule="auto"/>
        <w:ind w:firstLine="720"/>
        <w:rPr>
          <w:rFonts w:ascii="Calibri" w:cs="Calibri" w:eastAsia="Calibri" w:hAnsi="Calibri"/>
          <w:highlight w:val="white"/>
        </w:rPr>
      </w:pPr>
      <w:r w:rsidDel="00000000" w:rsidR="00000000" w:rsidRPr="00000000">
        <w:rPr>
          <w:rFonts w:ascii="Calibri" w:cs="Calibri" w:eastAsia="Calibri" w:hAnsi="Calibri"/>
          <w:highlight w:val="white"/>
          <w:rtl w:val="0"/>
        </w:rPr>
        <w:t xml:space="preserve">This has been a rich learning exercise.  I can see the gaps; I am yet to feel confident about methodology and theoretical approaches, being able to ‘see’ them as I read, I am confident that discernment for annotations will be a needed skill to honne. I was unclear as to how to attend to the authors research etc.  If it was a general annotated bibliography I would annotate  qualifications,  research background et al in each text,  however as this was for one author I made a choice to attend to this as a general piece, which I might do again for other individual authors as I proceed to research.</w:t>
      </w:r>
    </w:p>
    <w:p w:rsidR="00000000" w:rsidDel="00000000" w:rsidP="00000000" w:rsidRDefault="00000000" w:rsidRPr="00000000" w14:paraId="00000014">
      <w:pPr>
        <w:spacing w:line="360" w:lineRule="auto"/>
        <w:ind w:firstLine="720"/>
        <w:rPr>
          <w:rFonts w:ascii="Calibri" w:cs="Calibri" w:eastAsia="Calibri" w:hAnsi="Calibri"/>
          <w:highlight w:val="white"/>
        </w:rPr>
      </w:pPr>
      <w:r w:rsidDel="00000000" w:rsidR="00000000" w:rsidRPr="00000000">
        <w:rPr>
          <w:rFonts w:ascii="Calibri" w:cs="Calibri" w:eastAsia="Calibri" w:hAnsi="Calibri"/>
          <w:highlight w:val="white"/>
          <w:rtl w:val="0"/>
        </w:rPr>
        <w:t xml:space="preserve"> In the doing of this exercise it is clear how significant and relevant it is for anyone undertaking research for a project, book, article to produce an annotated bibliography as a working document in hand for the author to readily engage with suitable material.</w:t>
      </w:r>
    </w:p>
    <w:p w:rsidR="00000000" w:rsidDel="00000000" w:rsidP="00000000" w:rsidRDefault="00000000" w:rsidRPr="00000000" w14:paraId="00000015">
      <w:pPr>
        <w:spacing w:line="360" w:lineRule="auto"/>
        <w:rPr>
          <w:rFonts w:ascii="Calibri" w:cs="Calibri" w:eastAsia="Calibri" w:hAnsi="Calibri"/>
          <w:b w:val="1"/>
          <w:highlight w:val="white"/>
        </w:rPr>
      </w:pPr>
      <w:r w:rsidDel="00000000" w:rsidR="00000000" w:rsidRPr="00000000">
        <w:rPr>
          <w:rtl w:val="0"/>
        </w:rPr>
      </w:r>
    </w:p>
    <w:p w:rsidR="00000000" w:rsidDel="00000000" w:rsidP="00000000" w:rsidRDefault="00000000" w:rsidRPr="00000000" w14:paraId="00000016">
      <w:pPr>
        <w:spacing w:after="180" w:line="360" w:lineRule="auto"/>
        <w:ind w:left="540" w:firstLine="0"/>
        <w:rPr>
          <w:rFonts w:ascii="Calibri" w:cs="Calibri" w:eastAsia="Calibri" w:hAnsi="Calibri"/>
          <w:b w:val="1"/>
          <w:shd w:fill="d0e0e3" w:val="clear"/>
        </w:rPr>
      </w:pPr>
      <w:r w:rsidDel="00000000" w:rsidR="00000000" w:rsidRPr="00000000">
        <w:rPr>
          <w:rtl w:val="0"/>
        </w:rPr>
      </w:r>
    </w:p>
    <w:p w:rsidR="00000000" w:rsidDel="00000000" w:rsidP="00000000" w:rsidRDefault="00000000" w:rsidRPr="00000000" w14:paraId="00000017">
      <w:pPr>
        <w:spacing w:after="180" w:line="360" w:lineRule="auto"/>
        <w:ind w:left="1080" w:hanging="540"/>
        <w:rPr>
          <w:rFonts w:ascii="Calibri" w:cs="Calibri" w:eastAsia="Calibri" w:hAnsi="Calibri"/>
          <w:b w:val="1"/>
          <w:color w:val="373737"/>
          <w:highlight w:val="white"/>
        </w:rPr>
      </w:pPr>
      <w:r w:rsidDel="00000000" w:rsidR="00000000" w:rsidRPr="00000000">
        <w:rPr>
          <w:rtl w:val="0"/>
        </w:rPr>
      </w:r>
    </w:p>
    <w:p w:rsidR="00000000" w:rsidDel="00000000" w:rsidP="00000000" w:rsidRDefault="00000000" w:rsidRPr="00000000" w14:paraId="00000018">
      <w:pPr>
        <w:spacing w:after="180" w:line="360" w:lineRule="auto"/>
        <w:ind w:left="1080" w:hanging="540"/>
        <w:rPr>
          <w:rFonts w:ascii="Calibri" w:cs="Calibri" w:eastAsia="Calibri" w:hAnsi="Calibri"/>
          <w:b w:val="1"/>
          <w:color w:val="373737"/>
          <w:highlight w:val="white"/>
        </w:rPr>
      </w:pPr>
      <w:r w:rsidDel="00000000" w:rsidR="00000000" w:rsidRPr="00000000">
        <w:rPr>
          <w:rtl w:val="0"/>
        </w:rPr>
      </w:r>
    </w:p>
    <w:p w:rsidR="00000000" w:rsidDel="00000000" w:rsidP="00000000" w:rsidRDefault="00000000" w:rsidRPr="00000000" w14:paraId="00000019">
      <w:pPr>
        <w:spacing w:after="180" w:line="360" w:lineRule="auto"/>
        <w:ind w:left="1080" w:hanging="540"/>
        <w:rPr>
          <w:rFonts w:ascii="Calibri" w:cs="Calibri" w:eastAsia="Calibri" w:hAnsi="Calibri"/>
          <w:b w:val="1"/>
        </w:rPr>
      </w:pPr>
      <w:r w:rsidDel="00000000" w:rsidR="00000000" w:rsidRPr="00000000">
        <w:rPr>
          <w:rtl w:val="0"/>
        </w:rPr>
      </w:r>
    </w:p>
    <w:p w:rsidR="00000000" w:rsidDel="00000000" w:rsidP="00000000" w:rsidRDefault="00000000" w:rsidRPr="00000000" w14:paraId="0000001A">
      <w:pPr>
        <w:spacing w:after="180" w:line="360" w:lineRule="auto"/>
        <w:ind w:left="1080" w:hanging="540"/>
        <w:rPr>
          <w:rFonts w:ascii="Calibri" w:cs="Calibri" w:eastAsia="Calibri" w:hAnsi="Calibri"/>
          <w:b w:val="1"/>
        </w:rPr>
      </w:pPr>
      <w:r w:rsidDel="00000000" w:rsidR="00000000" w:rsidRPr="00000000">
        <w:rPr>
          <w:rtl w:val="0"/>
        </w:rPr>
      </w:r>
    </w:p>
    <w:p w:rsidR="00000000" w:rsidDel="00000000" w:rsidP="00000000" w:rsidRDefault="00000000" w:rsidRPr="00000000" w14:paraId="0000001B">
      <w:pPr>
        <w:spacing w:after="180" w:line="360" w:lineRule="auto"/>
        <w:ind w:left="1080" w:hanging="540"/>
        <w:rPr>
          <w:rFonts w:ascii="Calibri" w:cs="Calibri" w:eastAsia="Calibri" w:hAnsi="Calibri"/>
          <w:b w:val="1"/>
        </w:rPr>
      </w:pPr>
      <w:r w:rsidDel="00000000" w:rsidR="00000000" w:rsidRPr="00000000">
        <w:rPr>
          <w:rtl w:val="0"/>
        </w:rPr>
      </w:r>
    </w:p>
    <w:p w:rsidR="00000000" w:rsidDel="00000000" w:rsidP="00000000" w:rsidRDefault="00000000" w:rsidRPr="00000000" w14:paraId="0000001C">
      <w:pPr>
        <w:spacing w:after="180" w:line="360" w:lineRule="auto"/>
        <w:ind w:left="540" w:firstLine="0"/>
        <w:rPr>
          <w:rFonts w:ascii="Calibri" w:cs="Calibri" w:eastAsia="Calibri" w:hAnsi="Calibri"/>
          <w:b w:val="1"/>
        </w:rPr>
      </w:pPr>
      <w:r w:rsidDel="00000000" w:rsidR="00000000" w:rsidRPr="00000000">
        <w:rPr>
          <w:rtl w:val="0"/>
        </w:rPr>
      </w:r>
    </w:p>
    <w:p w:rsidR="00000000" w:rsidDel="00000000" w:rsidP="00000000" w:rsidRDefault="00000000" w:rsidRPr="00000000" w14:paraId="0000001D">
      <w:pPr>
        <w:spacing w:after="180" w:line="360" w:lineRule="auto"/>
        <w:ind w:left="1080" w:hanging="540"/>
        <w:rPr>
          <w:rFonts w:ascii="Calibri" w:cs="Calibri" w:eastAsia="Calibri" w:hAnsi="Calibri"/>
          <w:b w:val="1"/>
        </w:rPr>
      </w:pPr>
      <w:r w:rsidDel="00000000" w:rsidR="00000000" w:rsidRPr="00000000">
        <w:rPr>
          <w:rtl w:val="0"/>
        </w:rPr>
      </w:r>
    </w:p>
    <w:p w:rsidR="00000000" w:rsidDel="00000000" w:rsidP="00000000" w:rsidRDefault="00000000" w:rsidRPr="00000000" w14:paraId="0000001E">
      <w:pPr>
        <w:spacing w:line="360" w:lineRule="auto"/>
        <w:rPr>
          <w:rFonts w:ascii="Calibri" w:cs="Calibri" w:eastAsia="Calibri" w:hAnsi="Calibri"/>
        </w:rPr>
      </w:pPr>
      <w:r w:rsidDel="00000000" w:rsidR="00000000" w:rsidRPr="00000000">
        <w:rPr>
          <w:rtl w:val="0"/>
        </w:rPr>
      </w:r>
    </w:p>
    <w:sectPr>
      <w:pgSz w:h="15840" w:w="12240" w:orient="portrait"/>
      <w:pgMar w:bottom="1440" w:top="720" w:left="720" w:right="72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1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
        <w:r w:rsidDel="00000000" w:rsidR="00000000" w:rsidRPr="00000000">
          <w:rPr>
            <w:sz w:val="20"/>
            <w:szCs w:val="20"/>
            <w:vertAlign w:val="baseline"/>
            <w:rtl w:val="0"/>
          </w:rPr>
          <w:t xml:space="preserve">‘Ana Lucia Araujo | Historian and Professor’.</w:t>
        </w:r>
      </w:hyperlink>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historianviews.com/?page_id=15"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zotero.org/google-docs/?aHzJM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