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883217980"/>
        <w:docPartObj>
          <w:docPartGallery w:val="Cover Pages"/>
          <w:docPartUnique/>
        </w:docPartObj>
      </w:sdtPr>
      <w:sdtContent>
        <w:p w14:paraId="58664B06" w14:textId="16A3E50B" w:rsidR="009D65F8" w:rsidRDefault="009D65F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5977CF4" wp14:editId="2896A7C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762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E66CC2" w14:textId="77777777" w:rsidR="008C791B" w:rsidRPr="008C791B" w:rsidRDefault="008C791B" w:rsidP="008C791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8C791B"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Name: Adriana Balica </w:t>
                                </w:r>
                              </w:p>
                              <w:p w14:paraId="17E73B5A" w14:textId="77777777" w:rsidR="008C791B" w:rsidRPr="00A748F4" w:rsidRDefault="008C791B" w:rsidP="008C791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8C791B"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Student Number: 2232252</w:t>
                                </w:r>
                              </w:p>
                              <w:p w14:paraId="1C6D0F77" w14:textId="5747B2F7" w:rsidR="00A34587" w:rsidRPr="008C791B" w:rsidRDefault="00A34587" w:rsidP="008C791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A748F4"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Lecturer Name: Chris Wilkin </w:t>
                                </w:r>
                              </w:p>
                              <w:p w14:paraId="1CDC9C54" w14:textId="77777777" w:rsidR="008C791B" w:rsidRPr="008C791B" w:rsidRDefault="008C791B" w:rsidP="008C791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8C791B"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The Module Title: International Meetings Management for the Hotel Industry BMIH 6007</w:t>
                                </w:r>
                              </w:p>
                              <w:p w14:paraId="5665F192" w14:textId="77777777" w:rsidR="008C791B" w:rsidRPr="008C791B" w:rsidRDefault="008C791B" w:rsidP="008C791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noProof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noProof/>
                                      <w:color w:val="595959" w:themeColor="text1" w:themeTint="A6"/>
                                      <w:sz w:val="36"/>
                                      <w:szCs w:val="36"/>
                                    </w:rPr>
                                    <w:alias w:val="Abstract"/>
                                    <w:tag w:val=""/>
                                    <w:id w:val="1375273687"/>
                                    <w:showingPlcHdr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 w:rsidRPr="008C791B">
                                      <w:rPr>
                                        <w:rFonts w:ascii="Arial" w:hAnsi="Arial" w:cs="Arial"/>
                                        <w:noProof/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383180C0" w14:textId="04F62F73" w:rsidR="009D65F8" w:rsidRPr="00A748F4" w:rsidRDefault="009D65F8" w:rsidP="009D65F8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25977CF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79E66CC2" w14:textId="77777777" w:rsidR="008C791B" w:rsidRPr="008C791B" w:rsidRDefault="008C791B" w:rsidP="008C791B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8C791B"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Name: Adriana Balica </w:t>
                          </w:r>
                        </w:p>
                        <w:p w14:paraId="17E73B5A" w14:textId="77777777" w:rsidR="008C791B" w:rsidRPr="00A748F4" w:rsidRDefault="008C791B" w:rsidP="008C791B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8C791B"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  <w:t>Student Number: 2232252</w:t>
                          </w:r>
                        </w:p>
                        <w:p w14:paraId="1C6D0F77" w14:textId="5747B2F7" w:rsidR="00A34587" w:rsidRPr="008C791B" w:rsidRDefault="00A34587" w:rsidP="008C791B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A748F4"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Lecturer Name: Chris Wilkin </w:t>
                          </w:r>
                        </w:p>
                        <w:p w14:paraId="1CDC9C54" w14:textId="77777777" w:rsidR="008C791B" w:rsidRPr="008C791B" w:rsidRDefault="008C791B" w:rsidP="008C791B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8C791B"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  <w:t>The Module Title: International Meetings Management for the Hotel Industry BMIH 6007</w:t>
                          </w:r>
                        </w:p>
                        <w:p w14:paraId="5665F192" w14:textId="77777777" w:rsidR="008C791B" w:rsidRPr="008C791B" w:rsidRDefault="008C791B" w:rsidP="008C791B">
                          <w:pPr>
                            <w:pStyle w:val="NoSpacing"/>
                            <w:rPr>
                              <w:rFonts w:ascii="Arial" w:hAnsi="Arial" w:cs="Arial"/>
                              <w:noProof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noProof/>
                                <w:color w:val="595959" w:themeColor="text1" w:themeTint="A6"/>
                                <w:sz w:val="36"/>
                                <w:szCs w:val="36"/>
                              </w:rPr>
                              <w:alias w:val="Abstract"/>
                              <w:tag w:val=""/>
                              <w:id w:val="1375273687"/>
                              <w:showingPlcHdr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 w:rsidRPr="008C791B">
                                <w:rPr>
                                  <w:rFonts w:ascii="Arial" w:hAnsi="Arial" w:cs="Arial"/>
                                  <w:noProof/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383180C0" w14:textId="04F62F73" w:rsidR="009D65F8" w:rsidRPr="00A748F4" w:rsidRDefault="009D65F8" w:rsidP="009D65F8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A0CF550" w14:textId="77777777" w:rsidR="001F582A" w:rsidRDefault="001F582A"/>
        <w:p w14:paraId="3FAEB8FB" w14:textId="1E2BC7B8" w:rsidR="007C370D" w:rsidRDefault="0063656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DF25963" wp14:editId="16A7FC7B">
                    <wp:simplePos x="0" y="0"/>
                    <wp:positionH relativeFrom="page">
                      <wp:posOffset>222250</wp:posOffset>
                    </wp:positionH>
                    <wp:positionV relativeFrom="paragraph">
                      <wp:posOffset>527050</wp:posOffset>
                    </wp:positionV>
                    <wp:extent cx="6986905" cy="4114800"/>
                    <wp:effectExtent l="0" t="0" r="0" b="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86905" cy="4114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178E19" w14:textId="5008C5F7" w:rsidR="009D65F8" w:rsidRDefault="00A748F4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smallCaps/>
                                    <w:noProof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drawing>
                                    <wp:inline distT="0" distB="0" distL="0" distR="0" wp14:anchorId="7B9F7D07" wp14:editId="50057825">
                                      <wp:extent cx="4618893" cy="3013598"/>
                                      <wp:effectExtent l="0" t="0" r="0" b="0"/>
                                      <wp:docPr id="1403299451" name="Picture 12" descr="A logo with a crown and text&#10;&#10;AI-generated content may be incorrect.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403299451" name="Picture 12" descr="A logo with a crown and text&#10;&#10;AI-generated content may be incorrect.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676011" cy="3050864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DF25963" id="Text Box 163" o:spid="_x0000_s1027" type="#_x0000_t202" style="position:absolute;margin-left:17.5pt;margin-top:41.5pt;width:550.15pt;height:324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" filled="f" stroked="f" strokeweight=".5pt">
                    <v:textbox inset="126pt,0,54pt,0">
                      <w:txbxContent>
                        <w:p w14:paraId="4F178E19" w14:textId="5008C5F7" w:rsidR="009D65F8" w:rsidRDefault="00A748F4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smallCaps/>
                              <w:noProof/>
                              <w:color w:val="404040" w:themeColor="text1" w:themeTint="BF"/>
                              <w:sz w:val="36"/>
                              <w:szCs w:val="36"/>
                            </w:rPr>
                            <w:drawing>
                              <wp:inline distT="0" distB="0" distL="0" distR="0" wp14:anchorId="7B9F7D07" wp14:editId="50057825">
                                <wp:extent cx="4618893" cy="3013598"/>
                                <wp:effectExtent l="0" t="0" r="0" b="0"/>
                                <wp:docPr id="1403299451" name="Picture 12" descr="A logo with a crown and text&#10;&#10;AI-generated content may be incorrect.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403299451" name="Picture 12" descr="A logo with a crown and text&#10;&#10;AI-generated content may be incorrect."/>
                                        <pic:cNvPicPr/>
                                      </pic:nvPicPr>
                                      <pic:blipFill>
                                        <a:blip r:embed="rId8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4676011" cy="3050864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7C370D">
            <w:t>(</w:t>
          </w:r>
          <w:r w:rsidR="001F582A">
            <w:t>Source: Canva.com</w:t>
          </w:r>
          <w:r w:rsidR="007C370D">
            <w:t>)</w:t>
          </w:r>
          <w:r w:rsidR="009D65F8">
            <w:br w:type="page"/>
          </w:r>
        </w:p>
        <w:p w14:paraId="19ADEF0B" w14:textId="67BFBA7A" w:rsidR="009D65F8" w:rsidRDefault="00000000"/>
      </w:sdtContent>
    </w:sdt>
    <w:p w14:paraId="414C9257" w14:textId="67BFBA7A" w:rsidR="00261DAF" w:rsidRPr="00A35D67" w:rsidRDefault="00261DAF" w:rsidP="00F04A6F">
      <w:pPr>
        <w:pStyle w:val="Heading1"/>
      </w:pPr>
      <w:bookmarkStart w:id="0" w:name="_Toc191536106"/>
      <w:r w:rsidRPr="00A35D67">
        <w:t>Table of contents</w:t>
      </w:r>
      <w:bookmarkEnd w:id="0"/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5169738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196E92D" w14:textId="3CCFEA9D" w:rsidR="00261DAF" w:rsidRPr="008D6A40" w:rsidRDefault="00261DAF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8D6A40">
            <w:rPr>
              <w:rFonts w:ascii="Arial" w:hAnsi="Arial" w:cs="Arial"/>
              <w:sz w:val="24"/>
              <w:szCs w:val="24"/>
            </w:rPr>
            <w:t>Contents</w:t>
          </w:r>
        </w:p>
        <w:p w14:paraId="72972CBB" w14:textId="047AA14D" w:rsidR="007C0AD5" w:rsidRDefault="00261D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8D6A40">
            <w:rPr>
              <w:rFonts w:ascii="Arial" w:hAnsi="Arial" w:cs="Arial"/>
            </w:rPr>
            <w:fldChar w:fldCharType="begin"/>
          </w:r>
          <w:r w:rsidRPr="008D6A40">
            <w:rPr>
              <w:rFonts w:ascii="Arial" w:hAnsi="Arial" w:cs="Arial"/>
            </w:rPr>
            <w:instrText xml:space="preserve"> TOC \o "1-3" \h \z \u </w:instrText>
          </w:r>
          <w:r w:rsidRPr="008D6A40">
            <w:rPr>
              <w:rFonts w:ascii="Arial" w:hAnsi="Arial" w:cs="Arial"/>
            </w:rPr>
            <w:fldChar w:fldCharType="separate"/>
          </w:r>
          <w:hyperlink w:anchor="_Toc191536106" w:history="1">
            <w:r w:rsidR="007C0AD5" w:rsidRPr="00E45857">
              <w:rPr>
                <w:rStyle w:val="Hyperlink"/>
                <w:noProof/>
              </w:rPr>
              <w:t>Table of contents</w:t>
            </w:r>
            <w:r w:rsidR="007C0AD5">
              <w:rPr>
                <w:noProof/>
                <w:webHidden/>
              </w:rPr>
              <w:tab/>
            </w:r>
            <w:r w:rsidR="007C0AD5">
              <w:rPr>
                <w:noProof/>
                <w:webHidden/>
              </w:rPr>
              <w:fldChar w:fldCharType="begin"/>
            </w:r>
            <w:r w:rsidR="007C0AD5">
              <w:rPr>
                <w:noProof/>
                <w:webHidden/>
              </w:rPr>
              <w:instrText xml:space="preserve"> PAGEREF _Toc191536106 \h </w:instrText>
            </w:r>
            <w:r w:rsidR="007C0AD5">
              <w:rPr>
                <w:noProof/>
                <w:webHidden/>
              </w:rPr>
            </w:r>
            <w:r w:rsidR="007C0AD5">
              <w:rPr>
                <w:noProof/>
                <w:webHidden/>
              </w:rPr>
              <w:fldChar w:fldCharType="separate"/>
            </w:r>
            <w:r w:rsidR="007C0AD5">
              <w:rPr>
                <w:noProof/>
                <w:webHidden/>
              </w:rPr>
              <w:t>1</w:t>
            </w:r>
            <w:r w:rsidR="007C0AD5">
              <w:rPr>
                <w:noProof/>
                <w:webHidden/>
              </w:rPr>
              <w:fldChar w:fldCharType="end"/>
            </w:r>
          </w:hyperlink>
        </w:p>
        <w:p w14:paraId="2C9BE3A4" w14:textId="5BC00911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07" w:history="1">
            <w:r w:rsidRPr="00E45857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8DF05" w14:textId="0FBE2E96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08" w:history="1">
            <w:r w:rsidRPr="00E4585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0B7DA" w14:textId="291072CF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09" w:history="1">
            <w:r w:rsidRPr="00E45857">
              <w:rPr>
                <w:rStyle w:val="Hyperlink"/>
                <w:noProof/>
              </w:rPr>
              <w:t>The Event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6A1BE8" w14:textId="61A0E3B0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0" w:history="1">
            <w:r w:rsidRPr="00E45857">
              <w:rPr>
                <w:rStyle w:val="Hyperlink"/>
                <w:noProof/>
              </w:rPr>
              <w:t>Definition of the Event Cycle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BD7AE8" w14:textId="1CC02CF7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1" w:history="1">
            <w:r w:rsidRPr="00E45857">
              <w:rPr>
                <w:rStyle w:val="Hyperlink"/>
                <w:noProof/>
              </w:rPr>
              <w:t>Application to Culinary Queens 2025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0F823" w14:textId="6A07F88A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2" w:history="1">
            <w:r w:rsidRPr="00E45857">
              <w:rPr>
                <w:rStyle w:val="Hyperlink"/>
                <w:noProof/>
              </w:rPr>
              <w:t>Event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DC3919" w14:textId="45F30595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3" w:history="1">
            <w:r w:rsidRPr="00E45857">
              <w:rPr>
                <w:rStyle w:val="Hyperlink"/>
                <w:noProof/>
              </w:rPr>
              <w:t>Delegate Experience and Full Itinerary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873A85" w14:textId="76BEC67A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4" w:history="1">
            <w:r w:rsidRPr="00E45857">
              <w:rPr>
                <w:rStyle w:val="Hyperlink"/>
                <w:noProof/>
              </w:rPr>
              <w:t>Aim and Objectives of the Meeting / Event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DCA9E6" w14:textId="19E3895E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5" w:history="1">
            <w:r w:rsidRPr="00E45857">
              <w:rPr>
                <w:rStyle w:val="Hyperlink"/>
                <w:noProof/>
              </w:rPr>
              <w:t>Overarching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ED57D" w14:textId="2291A880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6" w:history="1">
            <w:r w:rsidRPr="00E45857">
              <w:rPr>
                <w:rStyle w:val="Hyperlink"/>
                <w:noProof/>
              </w:rPr>
              <w:t>SMART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0FCD8" w14:textId="4DC8E905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7" w:history="1">
            <w:r w:rsidRPr="00E45857">
              <w:rPr>
                <w:rStyle w:val="Hyperlink"/>
                <w:noProof/>
              </w:rPr>
              <w:t>Event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F0BB8B" w14:textId="357AB9F5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8" w:history="1">
            <w:r w:rsidRPr="00E45857">
              <w:rPr>
                <w:rStyle w:val="Hyperlink"/>
                <w:noProof/>
              </w:rPr>
              <w:t>Operational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78B81" w14:textId="60753646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19" w:history="1">
            <w:r w:rsidRPr="00E45857">
              <w:rPr>
                <w:rStyle w:val="Hyperlink"/>
                <w:noProof/>
              </w:rPr>
              <w:t>Planning and Coordination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8F9CB2" w14:textId="114B33F6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0" w:history="1">
            <w:r w:rsidRPr="00E45857">
              <w:rPr>
                <w:rStyle w:val="Hyperlink"/>
                <w:noProof/>
              </w:rPr>
              <w:t>Marketing and Communications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B216C" w14:textId="638BB8D6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1" w:history="1">
            <w:r w:rsidRPr="00E45857">
              <w:rPr>
                <w:rStyle w:val="Hyperlink"/>
                <w:noProof/>
              </w:rPr>
              <w:t>Stakeholder and Risk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DEE05" w14:textId="08F0E39A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2" w:history="1">
            <w:r w:rsidRPr="00E45857">
              <w:rPr>
                <w:rStyle w:val="Hyperlink"/>
                <w:noProof/>
              </w:rPr>
              <w:t>Event Budget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12217" w14:textId="079EE7A3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3" w:history="1">
            <w:r w:rsidRPr="00E45857">
              <w:rPr>
                <w:rStyle w:val="Hyperlink"/>
                <w:noProof/>
              </w:rPr>
              <w:t>Income and Expenditure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591E4" w14:textId="664150B0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4" w:history="1">
            <w:r w:rsidRPr="00E45857">
              <w:rPr>
                <w:rStyle w:val="Hyperlink"/>
                <w:noProof/>
              </w:rPr>
              <w:t>Income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9AA0E3" w14:textId="67C4FB3F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5" w:history="1">
            <w:r w:rsidRPr="00E45857">
              <w:rPr>
                <w:rStyle w:val="Hyperlink"/>
                <w:rFonts w:ascii="Arial" w:hAnsi="Arial" w:cs="Arial"/>
                <w:noProof/>
              </w:rPr>
              <w:t>Expenditure Categories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ADBC3" w14:textId="19CB5CD7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6" w:history="1">
            <w:r w:rsidRPr="00E45857">
              <w:rPr>
                <w:rStyle w:val="Hyperlink"/>
                <w:noProof/>
              </w:rPr>
              <w:t>Funding Sources and Income Generation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6DA3A0" w14:textId="78431540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7" w:history="1">
            <w:r w:rsidRPr="00E45857">
              <w:rPr>
                <w:rStyle w:val="Hyperlink"/>
                <w:noProof/>
              </w:rPr>
              <w:t>Industry Trends, Issues and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B1E85" w14:textId="65D017C6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8" w:history="1">
            <w:r w:rsidRPr="00E45857">
              <w:rPr>
                <w:rStyle w:val="Hyperlink"/>
                <w:noProof/>
              </w:rPr>
              <w:t>Current Trends in the Culinary and Hospitality Industries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EB5A7" w14:textId="7CD7CEA4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29" w:history="1">
            <w:r w:rsidRPr="00E45857">
              <w:rPr>
                <w:rStyle w:val="Hyperlink"/>
                <w:noProof/>
              </w:rPr>
              <w:t>Issues and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B7945" w14:textId="6B769425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30" w:history="1">
            <w:r w:rsidRPr="00E45857">
              <w:rPr>
                <w:rStyle w:val="Hyperlink"/>
                <w:noProof/>
              </w:rPr>
              <w:t>Situational and Cultural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F82F5A" w14:textId="76939015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31" w:history="1">
            <w:r w:rsidRPr="00E45857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3D36A8" w14:textId="4FC8EE91" w:rsidR="007C0AD5" w:rsidRDefault="007C0AD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32" w:history="1">
            <w:r w:rsidRPr="00E45857">
              <w:rPr>
                <w:rStyle w:val="Hyperlink"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6B641" w14:textId="1BDD6C73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33" w:history="1">
            <w:r w:rsidRPr="00E4585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AB2AF" w14:textId="27A4C48E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34" w:history="1">
            <w:r w:rsidRPr="00E45857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559998" w14:textId="2AE68A99" w:rsidR="007C0AD5" w:rsidRDefault="007C0AD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536135" w:history="1">
            <w:r w:rsidRPr="00E45857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_Toc191536135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7F591" w14:textId="13F25B00" w:rsidR="008D6A40" w:rsidRDefault="00261DAF">
          <w:pPr>
            <w:rPr>
              <w:rFonts w:ascii="Arial" w:hAnsi="Arial" w:cs="Arial"/>
            </w:rPr>
          </w:pPr>
          <w:r w:rsidRPr="008D6A40">
            <w:rPr>
              <w:rFonts w:ascii="Arial" w:hAnsi="Arial" w:cs="Arial"/>
              <w:b/>
              <w:bCs/>
              <w:noProof/>
            </w:rPr>
            <w:fldChar w:fldCharType="end"/>
          </w:r>
          <w:r w:rsidR="008D6A40" w:rsidRPr="008D6A40">
            <w:rPr>
              <w:rFonts w:ascii="Arial" w:hAnsi="Arial" w:cs="Arial"/>
            </w:rPr>
            <w:t xml:space="preserve"> </w:t>
          </w:r>
        </w:p>
        <w:p w14:paraId="5E558F31" w14:textId="36D00B42" w:rsidR="00261DAF" w:rsidRPr="008D6A40" w:rsidRDefault="008D6A40">
          <w:pPr>
            <w:rPr>
              <w:rFonts w:ascii="Arial" w:hAnsi="Arial" w:cs="Arial"/>
            </w:rPr>
          </w:pPr>
          <w:r w:rsidRPr="008D6A40">
            <w:rPr>
              <w:rFonts w:ascii="Arial" w:hAnsi="Arial" w:cs="Arial"/>
            </w:rPr>
    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    </w:r>
        </w:p>
      </w:sdtContent>
    </w:sdt>
    <w:p w14:paraId="43910A5A" w14:textId="77777777" w:rsidR="008D6A40" w:rsidRDefault="008D6A40" w:rsidP="00F04A6F">
      <w:pPr>
        <w:pStyle w:val="Heading1"/>
      </w:pPr>
    </w:p>
    <w:p w14:paraId="586B49E1" w14:textId="77777777" w:rsidR="007C00FA" w:rsidRDefault="007C00FA" w:rsidP="00F04A6F">
      <w:pPr>
        <w:pStyle w:val="Heading1"/>
      </w:pPr>
    </w:p>
    <w:p w14:paraId="4F7C441D" w14:textId="77777777" w:rsidR="004074DD" w:rsidRDefault="004074DD" w:rsidP="00F04A6F">
      <w:pPr>
        <w:pStyle w:val="Heading1"/>
      </w:pPr>
    </w:p>
    <w:p w14:paraId="63A51EDA" w14:textId="77777777" w:rsidR="004074DD" w:rsidRDefault="004074DD" w:rsidP="00F04A6F">
      <w:pPr>
        <w:pStyle w:val="Heading1"/>
      </w:pPr>
    </w:p>
    <w:p w14:paraId="4419F32E" w14:textId="77777777" w:rsidR="004074DD" w:rsidRDefault="004074DD" w:rsidP="00F04A6F">
      <w:pPr>
        <w:pStyle w:val="Heading1"/>
      </w:pPr>
    </w:p>
    <w:p w14:paraId="4DC17E76" w14:textId="77777777" w:rsidR="004074DD" w:rsidRDefault="004074DD" w:rsidP="00F04A6F">
      <w:pPr>
        <w:pStyle w:val="Heading1"/>
      </w:pPr>
    </w:p>
    <w:p w14:paraId="691EA7DE" w14:textId="77777777" w:rsidR="004074DD" w:rsidRDefault="004074DD" w:rsidP="00F04A6F">
      <w:pPr>
        <w:pStyle w:val="Heading1"/>
      </w:pPr>
    </w:p>
    <w:p w14:paraId="1B289E9D" w14:textId="77777777" w:rsidR="004074DD" w:rsidRDefault="004074DD" w:rsidP="00F04A6F">
      <w:pPr>
        <w:pStyle w:val="Heading1"/>
      </w:pPr>
    </w:p>
    <w:p w14:paraId="0AC883BF" w14:textId="77777777" w:rsidR="004074DD" w:rsidRDefault="004074DD" w:rsidP="00F04A6F">
      <w:pPr>
        <w:pStyle w:val="Heading1"/>
      </w:pPr>
    </w:p>
    <w:p w14:paraId="59125CDE" w14:textId="77777777" w:rsidR="004074DD" w:rsidRDefault="004074DD" w:rsidP="00F04A6F">
      <w:pPr>
        <w:pStyle w:val="Heading1"/>
      </w:pPr>
    </w:p>
    <w:p w14:paraId="7DB554D5" w14:textId="77777777" w:rsidR="0056621E" w:rsidRDefault="0056621E" w:rsidP="00092858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br/>
      </w:r>
    </w:p>
    <w:p w14:paraId="65548674" w14:textId="77777777" w:rsidR="0056621E" w:rsidRDefault="0056621E" w:rsidP="00092858">
      <w:pPr>
        <w:rPr>
          <w:rFonts w:ascii="Arial" w:hAnsi="Arial" w:cs="Arial"/>
          <w:color w:val="222222"/>
        </w:rPr>
      </w:pPr>
    </w:p>
    <w:p w14:paraId="67EC7249" w14:textId="77777777" w:rsidR="0056621E" w:rsidRDefault="0056621E" w:rsidP="00092858">
      <w:pPr>
        <w:rPr>
          <w:rFonts w:ascii="Arial" w:hAnsi="Arial" w:cs="Arial"/>
          <w:color w:val="222222"/>
        </w:rPr>
      </w:pPr>
    </w:p>
    <w:p w14:paraId="777E4396" w14:textId="77777777" w:rsidR="0056621E" w:rsidRDefault="0056621E" w:rsidP="0056621E">
      <w:pPr>
        <w:pStyle w:val="Heading1"/>
      </w:pPr>
      <w:bookmarkStart w:id="1" w:name="_Toc191536107"/>
      <w:r w:rsidRPr="00A35D67">
        <w:t>Executive summary</w:t>
      </w:r>
      <w:bookmarkEnd w:id="1"/>
      <w:r w:rsidRPr="00A35D67">
        <w:t xml:space="preserve"> </w:t>
      </w:r>
    </w:p>
    <w:p w14:paraId="41F3B825" w14:textId="77777777" w:rsidR="0056621E" w:rsidRPr="00995346" w:rsidRDefault="0056621E" w:rsidP="0056621E">
      <w:pPr>
        <w:rPr>
          <w:rFonts w:ascii="Arial" w:hAnsi="Arial" w:cs="Arial"/>
          <w:color w:val="222222"/>
          <w:shd w:val="clear" w:color="auto" w:fill="FFFFFF"/>
        </w:rPr>
      </w:pPr>
      <w:r w:rsidRPr="00995346">
        <w:rPr>
          <w:rFonts w:ascii="Arial" w:hAnsi="Arial" w:cs="Arial"/>
          <w:color w:val="222222"/>
          <w:shd w:val="clear" w:color="auto" w:fill="FFFFFF"/>
        </w:rPr>
        <w:t>Culinary Queens 2025: Empowering Women Chefs in the UK</w:t>
      </w:r>
    </w:p>
    <w:p w14:paraId="34929C2D" w14:textId="77777777" w:rsidR="0056621E" w:rsidRDefault="0056621E" w:rsidP="00092858">
      <w:pPr>
        <w:rPr>
          <w:rFonts w:ascii="Arial" w:hAnsi="Arial" w:cs="Arial"/>
          <w:color w:val="222222"/>
        </w:rPr>
      </w:pPr>
    </w:p>
    <w:p w14:paraId="6D10FA85" w14:textId="74E94896" w:rsidR="00092858" w:rsidRPr="00995346" w:rsidRDefault="005A7CE0" w:rsidP="00092858">
      <w:pPr>
        <w:rPr>
          <w:rFonts w:ascii="Arial" w:hAnsi="Arial" w:cs="Arial"/>
        </w:rPr>
      </w:pPr>
      <w:r w:rsidRPr="00995346">
        <w:rPr>
          <w:rFonts w:ascii="Arial" w:hAnsi="Arial" w:cs="Arial"/>
          <w:color w:val="222222"/>
        </w:rPr>
        <w:br/>
      </w:r>
      <w:r w:rsidR="00092858" w:rsidRPr="00995346">
        <w:rPr>
          <w:rFonts w:ascii="Arial" w:hAnsi="Arial" w:cs="Arial"/>
        </w:rPr>
        <w:t>“Culinary Queens 2025: Empowering Women Chefs in the UK” is a groundbreaking</w:t>
      </w:r>
    </w:p>
    <w:p w14:paraId="3F67A6BE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event aimed at addressing the persistent underrepresentation of women in</w:t>
      </w:r>
    </w:p>
    <w:p w14:paraId="0674AC8E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leadership positions within the UK’s culinary sector. Despite women forming a</w:t>
      </w:r>
    </w:p>
    <w:p w14:paraId="450C7BC8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significant portion of the hospitality workforce, as of 2017 only 17% of chef positions</w:t>
      </w:r>
    </w:p>
    <w:p w14:paraId="0AF58A57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were held by women (National Statistics UK, 2019). This event seeks to transform</w:t>
      </w:r>
    </w:p>
    <w:p w14:paraId="08C8E78D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the culinary landscape by providing a platform for professional development,</w:t>
      </w:r>
    </w:p>
    <w:p w14:paraId="1E67CBB0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networking, and knowledge sharing, utilising established frameworks such as</w:t>
      </w:r>
    </w:p>
    <w:p w14:paraId="0EFDF303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EMBOOK and The Event Cycle Theory. This report details the event’s background,</w:t>
      </w:r>
    </w:p>
    <w:p w14:paraId="3F6065EC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conceptualisation, planning, execution, and evaluation phases. It outlines a detailed</w:t>
      </w:r>
    </w:p>
    <w:p w14:paraId="7032F289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itinerary, articulates a clear aim with SMART objectives, describes the required</w:t>
      </w:r>
    </w:p>
    <w:p w14:paraId="6D8F6FDF" w14:textId="6AF75A73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 xml:space="preserve">operational and marketing </w:t>
      </w:r>
      <w:r w:rsidR="00995346" w:rsidRPr="00995346">
        <w:rPr>
          <w:rFonts w:ascii="Arial" w:hAnsi="Arial" w:cs="Arial"/>
        </w:rPr>
        <w:t>strategies and</w:t>
      </w:r>
      <w:r w:rsidRPr="00995346">
        <w:rPr>
          <w:rFonts w:ascii="Arial" w:hAnsi="Arial" w:cs="Arial"/>
        </w:rPr>
        <w:t xml:space="preserve"> provides an in</w:t>
      </w:r>
      <w:r w:rsidRPr="00995346">
        <w:rPr>
          <w:rFonts w:ascii="Cambria Math" w:hAnsi="Cambria Math" w:cs="Cambria Math"/>
        </w:rPr>
        <w:t>‐</w:t>
      </w:r>
      <w:r w:rsidRPr="00995346">
        <w:rPr>
          <w:rFonts w:ascii="Arial" w:hAnsi="Arial" w:cs="Arial"/>
        </w:rPr>
        <w:t>depth budget analysis. In</w:t>
      </w:r>
    </w:p>
    <w:p w14:paraId="32C3B2D3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addition, the report examines current industry trends, situational and cultural</w:t>
      </w:r>
    </w:p>
    <w:p w14:paraId="18B02963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considerations through SWOT and PESTEL analyses, and concludes by outlining</w:t>
      </w:r>
    </w:p>
    <w:p w14:paraId="3930818C" w14:textId="77777777" w:rsidR="00092858" w:rsidRPr="00995346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how “Culinary Queens 2025” can pave the way for a more equitable culinary future in</w:t>
      </w:r>
    </w:p>
    <w:p w14:paraId="0C9D795F" w14:textId="14E6B5BF" w:rsidR="00261DAF" w:rsidRDefault="00092858" w:rsidP="00092858">
      <w:pPr>
        <w:rPr>
          <w:rFonts w:ascii="Arial" w:hAnsi="Arial" w:cs="Arial"/>
        </w:rPr>
      </w:pPr>
      <w:r w:rsidRPr="00995346">
        <w:rPr>
          <w:rFonts w:ascii="Arial" w:hAnsi="Arial" w:cs="Arial"/>
        </w:rPr>
        <w:t>the UK.</w:t>
      </w:r>
    </w:p>
    <w:p w14:paraId="3244582C" w14:textId="77777777" w:rsidR="00083607" w:rsidRDefault="00083607" w:rsidP="00092858">
      <w:pPr>
        <w:rPr>
          <w:rFonts w:ascii="Arial" w:hAnsi="Arial" w:cs="Arial"/>
        </w:rPr>
      </w:pPr>
    </w:p>
    <w:p w14:paraId="65A137FB" w14:textId="77777777" w:rsidR="00083607" w:rsidRDefault="00083607" w:rsidP="00092858">
      <w:pPr>
        <w:rPr>
          <w:rFonts w:ascii="Arial" w:hAnsi="Arial" w:cs="Arial"/>
        </w:rPr>
      </w:pPr>
    </w:p>
    <w:p w14:paraId="3DC18614" w14:textId="77777777" w:rsidR="0056621E" w:rsidRDefault="0056621E" w:rsidP="002F7022">
      <w:pPr>
        <w:pStyle w:val="Heading1"/>
      </w:pPr>
    </w:p>
    <w:p w14:paraId="1EF1DF1D" w14:textId="77777777" w:rsidR="0056621E" w:rsidRDefault="0056621E" w:rsidP="002F7022">
      <w:pPr>
        <w:pStyle w:val="Heading1"/>
      </w:pPr>
    </w:p>
    <w:p w14:paraId="3B1823A5" w14:textId="77777777" w:rsidR="0056621E" w:rsidRDefault="0056621E" w:rsidP="002F7022">
      <w:pPr>
        <w:pStyle w:val="Heading1"/>
      </w:pPr>
    </w:p>
    <w:p w14:paraId="3B216DC9" w14:textId="77777777" w:rsidR="0056621E" w:rsidRDefault="0056621E" w:rsidP="00C90182">
      <w:pPr>
        <w:rPr>
          <w:rFonts w:ascii="Arial" w:hAnsi="Arial" w:cs="Arial"/>
        </w:rPr>
      </w:pPr>
    </w:p>
    <w:p w14:paraId="47B07DD6" w14:textId="77777777" w:rsidR="0056621E" w:rsidRDefault="0056621E" w:rsidP="00C90182">
      <w:pPr>
        <w:rPr>
          <w:rFonts w:ascii="Arial" w:hAnsi="Arial" w:cs="Arial"/>
        </w:rPr>
      </w:pPr>
    </w:p>
    <w:p w14:paraId="2ED8CAA5" w14:textId="77777777" w:rsidR="0056621E" w:rsidRPr="00C90182" w:rsidRDefault="0056621E" w:rsidP="0056621E">
      <w:pPr>
        <w:pStyle w:val="Heading1"/>
      </w:pPr>
      <w:bookmarkStart w:id="2" w:name="_Toc191536108"/>
      <w:r w:rsidRPr="00C90182">
        <w:t>Introduction</w:t>
      </w:r>
      <w:bookmarkEnd w:id="2"/>
    </w:p>
    <w:p w14:paraId="7E37698A" w14:textId="77777777" w:rsidR="0056621E" w:rsidRDefault="0056621E" w:rsidP="00C90182">
      <w:pPr>
        <w:rPr>
          <w:rFonts w:ascii="Arial" w:hAnsi="Arial" w:cs="Arial"/>
        </w:rPr>
      </w:pPr>
    </w:p>
    <w:p w14:paraId="543C324C" w14:textId="58D854BB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Overview of the Event</w:t>
      </w:r>
    </w:p>
    <w:p w14:paraId="77EC3807" w14:textId="2F22D2FF" w:rsidR="00C90182" w:rsidRPr="00C90182" w:rsidRDefault="00C90182" w:rsidP="00F76BF0">
      <w:pPr>
        <w:spacing w:line="360" w:lineRule="auto"/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“Culinary Queens 2025: Empowering Women Chefs in t</w:t>
      </w:r>
      <w:r w:rsidR="00A06F4C">
        <w:rPr>
          <w:rFonts w:ascii="Arial" w:hAnsi="Arial" w:cs="Arial"/>
        </w:rPr>
        <w:t>h</w:t>
      </w:r>
      <w:r w:rsidRPr="00C90182">
        <w:rPr>
          <w:rFonts w:ascii="Arial" w:hAnsi="Arial" w:cs="Arial"/>
        </w:rPr>
        <w:t xml:space="preserve">e UK” is </w:t>
      </w:r>
      <w:r w:rsidRPr="00C90182">
        <w:rPr>
          <w:rFonts w:ascii="Arial" w:hAnsi="Arial" w:cs="Arial"/>
        </w:rPr>
        <w:t>innovative</w:t>
      </w:r>
      <w:r w:rsidR="006F60FC">
        <w:rPr>
          <w:rFonts w:ascii="Arial" w:hAnsi="Arial" w:cs="Arial"/>
        </w:rPr>
        <w:t xml:space="preserve"> </w:t>
      </w:r>
      <w:r w:rsidRPr="00C90182">
        <w:rPr>
          <w:rFonts w:ascii="Arial" w:hAnsi="Arial" w:cs="Arial"/>
        </w:rPr>
        <w:t xml:space="preserve">event designed to challenge the </w:t>
      </w:r>
      <w:r w:rsidR="00A06F4C">
        <w:rPr>
          <w:rFonts w:ascii="Arial" w:hAnsi="Arial" w:cs="Arial"/>
        </w:rPr>
        <w:t>current state of things</w:t>
      </w:r>
      <w:r w:rsidRPr="00C90182">
        <w:rPr>
          <w:rFonts w:ascii="Arial" w:hAnsi="Arial" w:cs="Arial"/>
        </w:rPr>
        <w:t xml:space="preserve"> in the UK’s culinary industry. Focusing on</w:t>
      </w:r>
      <w:r w:rsidR="006F60FC">
        <w:rPr>
          <w:rFonts w:ascii="Arial" w:hAnsi="Arial" w:cs="Arial"/>
        </w:rPr>
        <w:t xml:space="preserve"> </w:t>
      </w:r>
      <w:r w:rsidRPr="00C90182">
        <w:rPr>
          <w:rFonts w:ascii="Arial" w:hAnsi="Arial" w:cs="Arial"/>
        </w:rPr>
        <w:t>the representation of women in chef roles is both timely and essential, given that</w:t>
      </w:r>
      <w:r w:rsidR="006F60FC">
        <w:rPr>
          <w:rFonts w:ascii="Arial" w:hAnsi="Arial" w:cs="Arial"/>
        </w:rPr>
        <w:t xml:space="preserve"> </w:t>
      </w:r>
      <w:r w:rsidR="002F7022" w:rsidRPr="00C90182">
        <w:rPr>
          <w:rFonts w:ascii="Arial" w:hAnsi="Arial" w:cs="Arial"/>
        </w:rPr>
        <w:t>women</w:t>
      </w:r>
      <w:r w:rsidR="002F7022">
        <w:rPr>
          <w:rFonts w:ascii="Arial" w:hAnsi="Arial" w:cs="Arial"/>
        </w:rPr>
        <w:t>, despite</w:t>
      </w:r>
      <w:r w:rsidRPr="00C90182">
        <w:rPr>
          <w:rFonts w:ascii="Arial" w:hAnsi="Arial" w:cs="Arial"/>
        </w:rPr>
        <w:t xml:space="preserve"> comprising a large share of the hospitality </w:t>
      </w:r>
      <w:r w:rsidR="002F7022" w:rsidRPr="00C90182">
        <w:rPr>
          <w:rFonts w:ascii="Arial" w:hAnsi="Arial" w:cs="Arial"/>
        </w:rPr>
        <w:t>workforce</w:t>
      </w:r>
      <w:r w:rsidR="002F7022">
        <w:rPr>
          <w:rFonts w:ascii="Arial" w:hAnsi="Arial" w:cs="Arial"/>
        </w:rPr>
        <w:t>, remain</w:t>
      </w:r>
      <w:r w:rsidR="006F60FC">
        <w:rPr>
          <w:rFonts w:ascii="Arial" w:hAnsi="Arial" w:cs="Arial"/>
        </w:rPr>
        <w:t xml:space="preserve"> </w:t>
      </w:r>
      <w:r w:rsidRPr="00C90182">
        <w:rPr>
          <w:rFonts w:ascii="Arial" w:hAnsi="Arial" w:cs="Arial"/>
        </w:rPr>
        <w:t>underrepresented in leadership roles. As of 2017, only 17% of chef positions in the</w:t>
      </w:r>
      <w:r w:rsidR="006F60FC">
        <w:rPr>
          <w:rFonts w:ascii="Arial" w:hAnsi="Arial" w:cs="Arial"/>
        </w:rPr>
        <w:t xml:space="preserve"> </w:t>
      </w:r>
      <w:r w:rsidRPr="00C90182">
        <w:rPr>
          <w:rFonts w:ascii="Arial" w:hAnsi="Arial" w:cs="Arial"/>
        </w:rPr>
        <w:t>UK were held by women (National Statistics UK, 2019). This event aims to create a</w:t>
      </w:r>
      <w:r w:rsidR="006F60FC">
        <w:rPr>
          <w:rFonts w:ascii="Arial" w:hAnsi="Arial" w:cs="Arial"/>
        </w:rPr>
        <w:t xml:space="preserve"> </w:t>
      </w:r>
      <w:r w:rsidRPr="00C90182">
        <w:rPr>
          <w:rFonts w:ascii="Arial" w:hAnsi="Arial" w:cs="Arial"/>
        </w:rPr>
        <w:t>dynamic forum where female culinary professionals can share experiences,</w:t>
      </w:r>
      <w:r w:rsidR="006F60FC">
        <w:rPr>
          <w:rFonts w:ascii="Arial" w:hAnsi="Arial" w:cs="Arial"/>
        </w:rPr>
        <w:t xml:space="preserve"> </w:t>
      </w:r>
      <w:r w:rsidRPr="00C90182">
        <w:rPr>
          <w:rFonts w:ascii="Arial" w:hAnsi="Arial" w:cs="Arial"/>
        </w:rPr>
        <w:t xml:space="preserve">overcome </w:t>
      </w:r>
      <w:r w:rsidR="002F7022" w:rsidRPr="00C90182">
        <w:rPr>
          <w:rFonts w:ascii="Arial" w:hAnsi="Arial" w:cs="Arial"/>
        </w:rPr>
        <w:t>barriers and</w:t>
      </w:r>
      <w:r w:rsidRPr="00C90182">
        <w:rPr>
          <w:rFonts w:ascii="Arial" w:hAnsi="Arial" w:cs="Arial"/>
        </w:rPr>
        <w:t xml:space="preserve"> gain the tools necessary to advance their careers.</w:t>
      </w:r>
    </w:p>
    <w:p w14:paraId="3C2E620C" w14:textId="77777777" w:rsidR="00C90182" w:rsidRPr="002F7022" w:rsidRDefault="00C90182" w:rsidP="006F60FC">
      <w:pPr>
        <w:jc w:val="both"/>
        <w:rPr>
          <w:rFonts w:ascii="Arial" w:hAnsi="Arial" w:cs="Arial"/>
          <w:b/>
          <w:bCs/>
        </w:rPr>
      </w:pPr>
      <w:r w:rsidRPr="002F7022">
        <w:rPr>
          <w:rFonts w:ascii="Arial" w:hAnsi="Arial" w:cs="Arial"/>
          <w:b/>
          <w:bCs/>
        </w:rPr>
        <w:t>Rationale for the Event</w:t>
      </w:r>
    </w:p>
    <w:p w14:paraId="5A7449CA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The need for “Culinary Queens 2025” stems from documented gender disparities</w:t>
      </w:r>
    </w:p>
    <w:p w14:paraId="3A3FA5A5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 xml:space="preserve">within the culinary profession. Research by </w:t>
      </w:r>
      <w:proofErr w:type="spellStart"/>
      <w:r w:rsidRPr="00C90182">
        <w:rPr>
          <w:rFonts w:ascii="Arial" w:hAnsi="Arial" w:cs="Arial"/>
        </w:rPr>
        <w:t>Albors</w:t>
      </w:r>
      <w:proofErr w:type="spellEnd"/>
      <w:r w:rsidRPr="00C90182">
        <w:rPr>
          <w:rFonts w:ascii="Arial" w:hAnsi="Arial" w:cs="Arial"/>
        </w:rPr>
        <w:t>-Garrigos et al. (2019) and Farrell</w:t>
      </w:r>
    </w:p>
    <w:p w14:paraId="36C28DEC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(2021) reveals that female chefs often face significant challenges in career</w:t>
      </w:r>
    </w:p>
    <w:p w14:paraId="60CB6E8C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progression, including limited access to high-profile opportunities and recognition.</w:t>
      </w:r>
    </w:p>
    <w:p w14:paraId="775CEC90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 xml:space="preserve">Moreover, studies such as </w:t>
      </w:r>
      <w:proofErr w:type="spellStart"/>
      <w:r w:rsidRPr="00C90182">
        <w:rPr>
          <w:rFonts w:ascii="Arial" w:hAnsi="Arial" w:cs="Arial"/>
        </w:rPr>
        <w:t>Haddaji</w:t>
      </w:r>
      <w:proofErr w:type="spellEnd"/>
      <w:r w:rsidRPr="00C90182">
        <w:rPr>
          <w:rFonts w:ascii="Arial" w:hAnsi="Arial" w:cs="Arial"/>
        </w:rPr>
        <w:t xml:space="preserve"> et al. (2017) have highlighted the systemic</w:t>
      </w:r>
    </w:p>
    <w:p w14:paraId="42EC4C3E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barriers that prevent women from achieving accolades like Michelin-starred status. In</w:t>
      </w:r>
    </w:p>
    <w:p w14:paraId="7E35D125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response, this event will focus on celebrating the achievements of women chefs</w:t>
      </w:r>
    </w:p>
    <w:p w14:paraId="71A5647C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while also providing strategic insight and practical solutions to these longstanding</w:t>
      </w:r>
    </w:p>
    <w:p w14:paraId="710CE68D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issues.</w:t>
      </w:r>
    </w:p>
    <w:p w14:paraId="16F592A8" w14:textId="77777777" w:rsidR="00C90182" w:rsidRPr="00C90182" w:rsidRDefault="00C90182" w:rsidP="006F60FC">
      <w:pPr>
        <w:jc w:val="both"/>
        <w:rPr>
          <w:rFonts w:ascii="Arial" w:hAnsi="Arial" w:cs="Arial"/>
        </w:rPr>
      </w:pPr>
    </w:p>
    <w:p w14:paraId="6607EC01" w14:textId="77777777" w:rsidR="00C90182" w:rsidRPr="002F7022" w:rsidRDefault="00C90182" w:rsidP="006F60FC">
      <w:pPr>
        <w:jc w:val="both"/>
        <w:rPr>
          <w:rFonts w:ascii="Arial" w:hAnsi="Arial" w:cs="Arial"/>
          <w:b/>
          <w:bCs/>
        </w:rPr>
      </w:pPr>
      <w:r w:rsidRPr="002F7022">
        <w:rPr>
          <w:rFonts w:ascii="Arial" w:hAnsi="Arial" w:cs="Arial"/>
          <w:b/>
          <w:bCs/>
        </w:rPr>
        <w:t>Location and Background</w:t>
      </w:r>
    </w:p>
    <w:p w14:paraId="58F5CC50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London has been chosen as the host city due to its status as a global culinary capital</w:t>
      </w:r>
    </w:p>
    <w:p w14:paraId="68ABECC1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and its dynamic, multicultural environment. With robust transport links managed by</w:t>
      </w:r>
    </w:p>
    <w:p w14:paraId="26A6A432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Transport for London (2024) and a well-established culinary reputation, London</w:t>
      </w:r>
    </w:p>
    <w:p w14:paraId="61F5E435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provides the perfect backdrop for an event of this nature. The city’s diverse</w:t>
      </w:r>
    </w:p>
    <w:p w14:paraId="3140C17C" w14:textId="77777777" w:rsidR="00C90182" w:rsidRPr="00C90182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t>demographic and rich cultural history not only enhance the event experience but also</w:t>
      </w:r>
    </w:p>
    <w:p w14:paraId="38E078AF" w14:textId="1C4B9208" w:rsidR="00083607" w:rsidRPr="00995346" w:rsidRDefault="00C90182" w:rsidP="006F60FC">
      <w:pPr>
        <w:jc w:val="both"/>
        <w:rPr>
          <w:rFonts w:ascii="Arial" w:hAnsi="Arial" w:cs="Arial"/>
        </w:rPr>
      </w:pPr>
      <w:r w:rsidRPr="00C90182">
        <w:rPr>
          <w:rFonts w:ascii="Arial" w:hAnsi="Arial" w:cs="Arial"/>
        </w:rPr>
        <w:lastRenderedPageBreak/>
        <w:t>underscore the importance of inclusivity and innovation in the culinary arts.</w:t>
      </w:r>
    </w:p>
    <w:p w14:paraId="65998221" w14:textId="77777777" w:rsidR="00261DAF" w:rsidRPr="00995346" w:rsidRDefault="00261DAF" w:rsidP="006F60FC">
      <w:pPr>
        <w:jc w:val="both"/>
        <w:rPr>
          <w:rFonts w:ascii="Arial" w:hAnsi="Arial" w:cs="Arial"/>
        </w:rPr>
      </w:pPr>
    </w:p>
    <w:p w14:paraId="17B3C4C5" w14:textId="77777777" w:rsidR="00173480" w:rsidRPr="00173480" w:rsidRDefault="00173480" w:rsidP="00F74DA1">
      <w:pPr>
        <w:pStyle w:val="Heading1"/>
      </w:pPr>
      <w:bookmarkStart w:id="3" w:name="_Toc191536109"/>
      <w:r w:rsidRPr="00173480">
        <w:t>The Event Cycle</w:t>
      </w:r>
      <w:bookmarkEnd w:id="3"/>
    </w:p>
    <w:p w14:paraId="669088EA" w14:textId="77777777" w:rsidR="00173480" w:rsidRPr="00173480" w:rsidRDefault="00173480" w:rsidP="002D3CA5">
      <w:pPr>
        <w:pStyle w:val="Heading2"/>
      </w:pPr>
      <w:bookmarkStart w:id="4" w:name="_Toc191536110"/>
      <w:r w:rsidRPr="00173480">
        <w:t>Definition of the Event Cycle Theory</w:t>
      </w:r>
      <w:bookmarkEnd w:id="4"/>
    </w:p>
    <w:p w14:paraId="51E1608F" w14:textId="77777777" w:rsidR="00173480" w:rsidRPr="00173480" w:rsidRDefault="00173480" w:rsidP="00173480">
      <w:pPr>
        <w:rPr>
          <w:rFonts w:ascii="Arial" w:hAnsi="Arial" w:cs="Arial"/>
        </w:rPr>
      </w:pPr>
      <w:r w:rsidRPr="00173480">
        <w:rPr>
          <w:rFonts w:ascii="Arial" w:hAnsi="Arial" w:cs="Arial"/>
        </w:rPr>
        <w:t>The Event Cycle Theory provides a comprehensive framework for managing an</w:t>
      </w:r>
    </w:p>
    <w:p w14:paraId="4E4228D6" w14:textId="77777777" w:rsidR="00173480" w:rsidRPr="00173480" w:rsidRDefault="00173480" w:rsidP="00173480">
      <w:pPr>
        <w:rPr>
          <w:rFonts w:ascii="Arial" w:hAnsi="Arial" w:cs="Arial"/>
        </w:rPr>
      </w:pPr>
      <w:r w:rsidRPr="00173480">
        <w:rPr>
          <w:rFonts w:ascii="Arial" w:hAnsi="Arial" w:cs="Arial"/>
        </w:rPr>
        <w:t>event from its initial conception through to evaluation. As outlined by Miller (2022),</w:t>
      </w:r>
    </w:p>
    <w:p w14:paraId="485ACB97" w14:textId="77777777" w:rsidR="0018167C" w:rsidRDefault="00173480" w:rsidP="00173480">
      <w:pPr>
        <w:rPr>
          <w:rFonts w:ascii="Arial" w:hAnsi="Arial" w:cs="Arial"/>
        </w:rPr>
      </w:pPr>
      <w:r w:rsidRPr="00173480">
        <w:rPr>
          <w:rFonts w:ascii="Arial" w:hAnsi="Arial" w:cs="Arial"/>
        </w:rPr>
        <w:t>the cycle includes four key stages:</w:t>
      </w:r>
    </w:p>
    <w:p w14:paraId="48B5B6F2" w14:textId="69FA74AC" w:rsidR="00173480" w:rsidRPr="0018167C" w:rsidRDefault="00173480" w:rsidP="001816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8167C">
        <w:rPr>
          <w:rFonts w:ascii="Arial" w:hAnsi="Arial" w:cs="Arial"/>
        </w:rPr>
        <w:t>Conceptualisation: Defining the purpose, identifying the need, and setting</w:t>
      </w:r>
    </w:p>
    <w:p w14:paraId="69BE79F6" w14:textId="77777777" w:rsidR="00654694" w:rsidRDefault="00173480" w:rsidP="00173480">
      <w:pPr>
        <w:rPr>
          <w:rFonts w:ascii="Arial" w:hAnsi="Arial" w:cs="Arial"/>
        </w:rPr>
      </w:pPr>
      <w:r w:rsidRPr="00173480">
        <w:rPr>
          <w:rFonts w:ascii="Arial" w:hAnsi="Arial" w:cs="Arial"/>
        </w:rPr>
        <w:t>objectives.</w:t>
      </w:r>
    </w:p>
    <w:p w14:paraId="4D64D7C7" w14:textId="302E7450" w:rsidR="00173480" w:rsidRPr="00654694" w:rsidRDefault="00173480" w:rsidP="0065469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654694">
        <w:rPr>
          <w:rFonts w:ascii="Arial" w:hAnsi="Arial" w:cs="Arial"/>
        </w:rPr>
        <w:t>Planning: Detailed scheduling, resource allocation, risk assessment, and</w:t>
      </w:r>
    </w:p>
    <w:p w14:paraId="246C2C1E" w14:textId="77777777" w:rsidR="00F74DA1" w:rsidRDefault="00173480" w:rsidP="00F74DA1">
      <w:pPr>
        <w:rPr>
          <w:rFonts w:ascii="Arial" w:hAnsi="Arial" w:cs="Arial"/>
        </w:rPr>
      </w:pPr>
      <w:r w:rsidRPr="00173480">
        <w:rPr>
          <w:rFonts w:ascii="Arial" w:hAnsi="Arial" w:cs="Arial"/>
        </w:rPr>
        <w:t>stakeholder engagement.</w:t>
      </w:r>
    </w:p>
    <w:p w14:paraId="6FB46D01" w14:textId="2CFDECA4" w:rsidR="00173480" w:rsidRPr="00F74DA1" w:rsidRDefault="00173480" w:rsidP="00F74DA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74DA1">
        <w:rPr>
          <w:rFonts w:ascii="Arial" w:hAnsi="Arial" w:cs="Arial"/>
        </w:rPr>
        <w:t>Execution: The implementation of the plan, ensuring smooth logistics and</w:t>
      </w:r>
    </w:p>
    <w:p w14:paraId="77C6A5CA" w14:textId="77777777" w:rsidR="00173480" w:rsidRPr="00173480" w:rsidRDefault="00173480" w:rsidP="00173480">
      <w:pPr>
        <w:rPr>
          <w:rFonts w:ascii="Arial" w:hAnsi="Arial" w:cs="Arial"/>
        </w:rPr>
      </w:pPr>
      <w:r w:rsidRPr="00173480">
        <w:rPr>
          <w:rFonts w:ascii="Arial" w:hAnsi="Arial" w:cs="Arial"/>
        </w:rPr>
        <w:t>addressing issues in real time.</w:t>
      </w:r>
    </w:p>
    <w:p w14:paraId="1AD31BEA" w14:textId="0F061F86" w:rsidR="00173480" w:rsidRPr="00F74DA1" w:rsidRDefault="00173480" w:rsidP="00F74DA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74DA1">
        <w:rPr>
          <w:rFonts w:ascii="Arial" w:hAnsi="Arial" w:cs="Arial"/>
        </w:rPr>
        <w:t>Evaluation: Collecting and analysing feedback to gauge success and inform</w:t>
      </w:r>
    </w:p>
    <w:p w14:paraId="2FE29848" w14:textId="77777777" w:rsidR="00173480" w:rsidRPr="00173480" w:rsidRDefault="00173480" w:rsidP="00173480">
      <w:pPr>
        <w:rPr>
          <w:rFonts w:ascii="Arial" w:hAnsi="Arial" w:cs="Arial"/>
        </w:rPr>
      </w:pPr>
      <w:r w:rsidRPr="00173480">
        <w:rPr>
          <w:rFonts w:ascii="Arial" w:hAnsi="Arial" w:cs="Arial"/>
        </w:rPr>
        <w:t>future improvements.</w:t>
      </w:r>
    </w:p>
    <w:p w14:paraId="22F8C572" w14:textId="77777777" w:rsidR="00173480" w:rsidRPr="00173480" w:rsidRDefault="00173480" w:rsidP="00173480">
      <w:pPr>
        <w:rPr>
          <w:rFonts w:ascii="Arial" w:hAnsi="Arial" w:cs="Arial"/>
        </w:rPr>
      </w:pPr>
      <w:r w:rsidRPr="00173480">
        <w:rPr>
          <w:rFonts w:ascii="Arial" w:hAnsi="Arial" w:cs="Arial"/>
        </w:rPr>
        <w:t>EMBOOK (2023) reinforces this cyclical approach, emphasising that each stage</w:t>
      </w:r>
    </w:p>
    <w:p w14:paraId="3CBB5E3C" w14:textId="77777777" w:rsidR="00173480" w:rsidRPr="00173480" w:rsidRDefault="00173480" w:rsidP="00173480">
      <w:pPr>
        <w:rPr>
          <w:rFonts w:ascii="Arial" w:hAnsi="Arial" w:cs="Arial"/>
        </w:rPr>
      </w:pPr>
      <w:r w:rsidRPr="00173480">
        <w:rPr>
          <w:rFonts w:ascii="Arial" w:hAnsi="Arial" w:cs="Arial"/>
        </w:rPr>
        <w:t>must be interconnected for continuous improvement and long-term success.</w:t>
      </w:r>
    </w:p>
    <w:p w14:paraId="7B1B09FF" w14:textId="77777777" w:rsidR="00173480" w:rsidRPr="00F74DA1" w:rsidRDefault="00173480" w:rsidP="002D3CA5">
      <w:pPr>
        <w:pStyle w:val="Heading2"/>
      </w:pPr>
      <w:bookmarkStart w:id="5" w:name="_Toc191536111"/>
      <w:r w:rsidRPr="00F74DA1">
        <w:t>Application to Culinary Queens 2025</w:t>
      </w:r>
      <w:bookmarkEnd w:id="5"/>
    </w:p>
    <w:p w14:paraId="575B728C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In conceptualising “Culinary Queens 2025,” the organising team conducted a</w:t>
      </w:r>
    </w:p>
    <w:p w14:paraId="6A4648E3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comprehensive review of literature addressing gender disparities in the culinary</w:t>
      </w:r>
    </w:p>
    <w:p w14:paraId="2567191D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industry (</w:t>
      </w:r>
      <w:proofErr w:type="spellStart"/>
      <w:r w:rsidRPr="00F74DA1">
        <w:rPr>
          <w:rFonts w:ascii="Arial" w:hAnsi="Arial" w:cs="Arial"/>
        </w:rPr>
        <w:t>Albors</w:t>
      </w:r>
      <w:proofErr w:type="spellEnd"/>
      <w:r w:rsidRPr="00F74DA1">
        <w:rPr>
          <w:rFonts w:ascii="Arial" w:hAnsi="Arial" w:cs="Arial"/>
        </w:rPr>
        <w:t>-Garrigos et al., 2019; Farrell, 2021). The insights from these studies</w:t>
      </w:r>
    </w:p>
    <w:p w14:paraId="7F3B2F8B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formed the basis for the event’s purpose and objectives. During the planning stage,</w:t>
      </w:r>
    </w:p>
    <w:p w14:paraId="1C9BE8AD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the team developed a detailed timeline, secured a prestigious London venue, and</w:t>
      </w:r>
    </w:p>
    <w:p w14:paraId="2439EE05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engaged with potential sponsors and partners. The execution phase will be</w:t>
      </w:r>
    </w:p>
    <w:p w14:paraId="5D6CFFFE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characterised by state-of-the-art digital registration systems, on-site support teams,</w:t>
      </w:r>
    </w:p>
    <w:p w14:paraId="39A5ACBC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and real-time monitoring of event sessions. Finally, the evaluation phase will involve</w:t>
      </w:r>
    </w:p>
    <w:p w14:paraId="23E06CA2" w14:textId="77777777" w:rsidR="00173480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collecting delegate feedback through surveys and focus groups to assess outcomes</w:t>
      </w:r>
    </w:p>
    <w:p w14:paraId="31F7F1A1" w14:textId="73B44F80" w:rsidR="00261DAF" w:rsidRPr="00F74DA1" w:rsidRDefault="00173480" w:rsidP="00173480">
      <w:pPr>
        <w:rPr>
          <w:rFonts w:ascii="Arial" w:hAnsi="Arial" w:cs="Arial"/>
        </w:rPr>
      </w:pPr>
      <w:r w:rsidRPr="00F74DA1">
        <w:rPr>
          <w:rFonts w:ascii="Arial" w:hAnsi="Arial" w:cs="Arial"/>
        </w:rPr>
        <w:t>and refine future events (Miller, 2022; EMBOOK, 2023).</w:t>
      </w:r>
    </w:p>
    <w:p w14:paraId="0CBBED80" w14:textId="77777777" w:rsidR="00261DAF" w:rsidRDefault="00261DAF">
      <w:pPr>
        <w:rPr>
          <w:rFonts w:ascii="Arial" w:hAnsi="Arial" w:cs="Arial"/>
          <w:b/>
          <w:bCs/>
          <w:sz w:val="32"/>
          <w:szCs w:val="32"/>
        </w:rPr>
      </w:pPr>
    </w:p>
    <w:p w14:paraId="4334492A" w14:textId="7E659CD3" w:rsidR="00261DAF" w:rsidRDefault="00703C9C" w:rsidP="00703C9C">
      <w:pPr>
        <w:pStyle w:val="Heading1"/>
      </w:pPr>
      <w:bookmarkStart w:id="6" w:name="_Toc191536112"/>
      <w:r w:rsidRPr="00703C9C">
        <w:t>Event Concept</w:t>
      </w:r>
      <w:bookmarkEnd w:id="6"/>
    </w:p>
    <w:p w14:paraId="5C3C4BF2" w14:textId="77777777" w:rsidR="00703C9C" w:rsidRDefault="00703C9C" w:rsidP="00703C9C"/>
    <w:p w14:paraId="6076A8E1" w14:textId="77777777" w:rsidR="003402A7" w:rsidRDefault="003402A7" w:rsidP="003402A7">
      <w:pPr>
        <w:pStyle w:val="Heading2"/>
      </w:pPr>
      <w:bookmarkStart w:id="7" w:name="_Toc191536113"/>
      <w:r w:rsidRPr="003402A7">
        <w:t>Delegate Experience and Full Itinerary</w:t>
      </w:r>
      <w:bookmarkEnd w:id="7"/>
    </w:p>
    <w:p w14:paraId="239528EB" w14:textId="77777777" w:rsidR="008E46F8" w:rsidRPr="008E46F8" w:rsidRDefault="008E46F8" w:rsidP="008E46F8"/>
    <w:p w14:paraId="43399DB3" w14:textId="77777777" w:rsidR="003402A7" w:rsidRPr="007071B0" w:rsidRDefault="003402A7" w:rsidP="003402A7">
      <w:pPr>
        <w:rPr>
          <w:rFonts w:ascii="Arial" w:hAnsi="Arial" w:cs="Arial"/>
        </w:rPr>
      </w:pPr>
      <w:r w:rsidRPr="007071B0">
        <w:rPr>
          <w:rFonts w:ascii="Arial" w:hAnsi="Arial" w:cs="Arial"/>
        </w:rPr>
        <w:t>“Culinary Queens 2025” promises an immersive, engaging experience that caters to</w:t>
      </w:r>
    </w:p>
    <w:p w14:paraId="1463C455" w14:textId="77777777" w:rsidR="003402A7" w:rsidRPr="007071B0" w:rsidRDefault="003402A7" w:rsidP="003402A7">
      <w:pPr>
        <w:rPr>
          <w:rFonts w:ascii="Arial" w:hAnsi="Arial" w:cs="Arial"/>
        </w:rPr>
      </w:pPr>
      <w:r w:rsidRPr="007071B0">
        <w:rPr>
          <w:rFonts w:ascii="Arial" w:hAnsi="Arial" w:cs="Arial"/>
        </w:rPr>
        <w:t>both professional development and personal networking. The itinerary has been</w:t>
      </w:r>
    </w:p>
    <w:p w14:paraId="526F9E5C" w14:textId="77777777" w:rsidR="003402A7" w:rsidRPr="007071B0" w:rsidRDefault="003402A7" w:rsidP="003402A7">
      <w:pPr>
        <w:rPr>
          <w:rFonts w:ascii="Arial" w:hAnsi="Arial" w:cs="Arial"/>
        </w:rPr>
      </w:pPr>
      <w:r w:rsidRPr="007071B0">
        <w:rPr>
          <w:rFonts w:ascii="Arial" w:hAnsi="Arial" w:cs="Arial"/>
        </w:rPr>
        <w:t>carefully crafted to deliver a balanced mix of keynote presentations, panel</w:t>
      </w:r>
    </w:p>
    <w:p w14:paraId="1F1B1314" w14:textId="77777777" w:rsidR="003402A7" w:rsidRPr="007071B0" w:rsidRDefault="003402A7" w:rsidP="003402A7">
      <w:pPr>
        <w:rPr>
          <w:rFonts w:ascii="Arial" w:hAnsi="Arial" w:cs="Arial"/>
        </w:rPr>
      </w:pPr>
      <w:r w:rsidRPr="007071B0">
        <w:rPr>
          <w:rFonts w:ascii="Arial" w:hAnsi="Arial" w:cs="Arial"/>
        </w:rPr>
        <w:t>discussions, interactive workshops, and live culinary demonstrations.</w:t>
      </w:r>
    </w:p>
    <w:p w14:paraId="6CB7B011" w14:textId="77777777" w:rsidR="003402A7" w:rsidRPr="007071B0" w:rsidRDefault="003402A7" w:rsidP="003402A7">
      <w:pPr>
        <w:rPr>
          <w:rFonts w:ascii="Arial" w:hAnsi="Arial" w:cs="Arial"/>
          <w:b/>
          <w:bCs/>
        </w:rPr>
      </w:pPr>
      <w:r w:rsidRPr="007071B0">
        <w:rPr>
          <w:rFonts w:ascii="Arial" w:hAnsi="Arial" w:cs="Arial"/>
          <w:b/>
          <w:bCs/>
        </w:rPr>
        <w:t>Morning Session (08:30 – 12:30)</w:t>
      </w:r>
    </w:p>
    <w:p w14:paraId="5DEA7928" w14:textId="210D137B" w:rsidR="003402A7" w:rsidRPr="00A705D5" w:rsidRDefault="003402A7" w:rsidP="003402A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705D5">
        <w:rPr>
          <w:rFonts w:ascii="Arial" w:hAnsi="Arial" w:cs="Arial"/>
        </w:rPr>
        <w:t>Registration and Welcome Breakfast (08:30 – 09:15):</w:t>
      </w:r>
    </w:p>
    <w:p w14:paraId="0736CC7A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Delegates will be greeted at an elegant venue in central London with a light</w:t>
      </w:r>
    </w:p>
    <w:p w14:paraId="5C4F08BC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breakfast and an opportunity for initial networking. The environment will be</w:t>
      </w:r>
    </w:p>
    <w:p w14:paraId="5F0EF8C6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adorned with culinary art installations that set an inspirational tone for the day.</w:t>
      </w:r>
    </w:p>
    <w:p w14:paraId="5C6AB405" w14:textId="612DE4D3" w:rsidR="003402A7" w:rsidRPr="00A705D5" w:rsidRDefault="003402A7" w:rsidP="003402A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A705D5">
        <w:rPr>
          <w:rFonts w:ascii="Arial" w:hAnsi="Arial" w:cs="Arial"/>
        </w:rPr>
        <w:t>Opening Keynote (09:15 – 10:00):</w:t>
      </w:r>
    </w:p>
    <w:p w14:paraId="048919D5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A renowned female chef, known for breaking industry barriers, will deliver the</w:t>
      </w:r>
    </w:p>
    <w:p w14:paraId="1AB0B714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opening keynote. The address will cover the challenges faced by women in</w:t>
      </w:r>
    </w:p>
    <w:p w14:paraId="086C44AC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the culinary world and outline the event’s overarching vision (Garcia-</w:t>
      </w:r>
      <w:proofErr w:type="spellStart"/>
      <w:r w:rsidRPr="00A705D5">
        <w:rPr>
          <w:rFonts w:ascii="Arial" w:hAnsi="Arial" w:cs="Arial"/>
        </w:rPr>
        <w:t>Henche</w:t>
      </w:r>
      <w:proofErr w:type="spellEnd"/>
    </w:p>
    <w:p w14:paraId="3C933C1F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&amp;amp; Cuesta-Valino, 2022).</w:t>
      </w:r>
    </w:p>
    <w:p w14:paraId="77764F98" w14:textId="272AD589" w:rsidR="003402A7" w:rsidRPr="00A705D5" w:rsidRDefault="003402A7" w:rsidP="003402A7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A705D5">
        <w:rPr>
          <w:rFonts w:ascii="Arial" w:hAnsi="Arial" w:cs="Arial"/>
        </w:rPr>
        <w:t>Panel Discussion: Overcoming Barriers in the Culinary World (10:00 –</w:t>
      </w:r>
    </w:p>
    <w:p w14:paraId="10D86E5C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11:00):</w:t>
      </w:r>
    </w:p>
    <w:p w14:paraId="5A0E87E0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A moderated panel featuring leading women chefs, industry experts, and</w:t>
      </w:r>
    </w:p>
    <w:p w14:paraId="7A7F8F03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academic researchers will discuss topics such as access to leadership roles,</w:t>
      </w:r>
    </w:p>
    <w:p w14:paraId="0A9E62D9" w14:textId="77777777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overcoming career stagnation, and strategies for obtaining Michelin-star</w:t>
      </w:r>
    </w:p>
    <w:p w14:paraId="7942E2F0" w14:textId="77777777" w:rsidR="003402A7" w:rsidRPr="00A705D5" w:rsidRDefault="003402A7" w:rsidP="003402A7">
      <w:pPr>
        <w:rPr>
          <w:rFonts w:ascii="Arial" w:hAnsi="Arial" w:cs="Arial"/>
          <w:lang w:val="nl-NL"/>
        </w:rPr>
      </w:pPr>
      <w:r w:rsidRPr="00A705D5">
        <w:rPr>
          <w:rFonts w:ascii="Arial" w:hAnsi="Arial" w:cs="Arial"/>
          <w:lang w:val="nl-NL"/>
        </w:rPr>
        <w:t>recognition (Haddaji et al., 2017; Albors-Garrigos et al., 2019).</w:t>
      </w:r>
    </w:p>
    <w:p w14:paraId="160915AA" w14:textId="3FBBAEA1" w:rsidR="003402A7" w:rsidRPr="00A705D5" w:rsidRDefault="003402A7" w:rsidP="007071B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A705D5">
        <w:rPr>
          <w:rFonts w:ascii="Arial" w:hAnsi="Arial" w:cs="Arial"/>
        </w:rPr>
        <w:t>Interactive Q&amp;A and Live Polling (11:00 – 11:30):</w:t>
      </w:r>
    </w:p>
    <w:p w14:paraId="7590D3A0" w14:textId="1A1492D9" w:rsidR="003402A7" w:rsidRPr="00A705D5" w:rsidRDefault="003402A7" w:rsidP="003402A7">
      <w:pPr>
        <w:rPr>
          <w:rFonts w:ascii="Arial" w:hAnsi="Arial" w:cs="Arial"/>
        </w:rPr>
      </w:pPr>
      <w:r w:rsidRPr="00A705D5">
        <w:rPr>
          <w:rFonts w:ascii="Arial" w:hAnsi="Arial" w:cs="Arial"/>
        </w:rPr>
        <w:t>Delegates will engage in a dynamic Q&amp;A session with panellists, with live</w:t>
      </w:r>
    </w:p>
    <w:p w14:paraId="50139C28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polling to capture immediate feedback and opinions.</w:t>
      </w:r>
    </w:p>
    <w:p w14:paraId="1B5A8E43" w14:textId="22524502" w:rsidR="003402A7" w:rsidRPr="008E46F8" w:rsidRDefault="003402A7" w:rsidP="00A705D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8E46F8">
        <w:rPr>
          <w:rFonts w:ascii="Arial" w:hAnsi="Arial" w:cs="Arial"/>
        </w:rPr>
        <w:lastRenderedPageBreak/>
        <w:t>Networking Coffee Break (11:30 – 12:30):</w:t>
      </w:r>
    </w:p>
    <w:p w14:paraId="7C10711C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An informal session with themed refreshments, providing the perfect setting</w:t>
      </w:r>
    </w:p>
    <w:p w14:paraId="1DD03809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for delegates to exchange ideas and forge new professional connections.</w:t>
      </w:r>
    </w:p>
    <w:p w14:paraId="5802644B" w14:textId="77777777" w:rsidR="003402A7" w:rsidRPr="008E46F8" w:rsidRDefault="003402A7" w:rsidP="003402A7">
      <w:pPr>
        <w:rPr>
          <w:rFonts w:ascii="Arial" w:hAnsi="Arial" w:cs="Arial"/>
          <w:b/>
          <w:bCs/>
        </w:rPr>
      </w:pPr>
      <w:r w:rsidRPr="008E46F8">
        <w:rPr>
          <w:rFonts w:ascii="Arial" w:hAnsi="Arial" w:cs="Arial"/>
          <w:b/>
          <w:bCs/>
        </w:rPr>
        <w:t>Afternoon Session (12:30 – 17:00)</w:t>
      </w:r>
    </w:p>
    <w:p w14:paraId="6ECE85D5" w14:textId="0BCFBD9A" w:rsidR="003402A7" w:rsidRPr="008E46F8" w:rsidRDefault="003402A7" w:rsidP="00A705D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8E46F8">
        <w:rPr>
          <w:rFonts w:ascii="Arial" w:hAnsi="Arial" w:cs="Arial"/>
        </w:rPr>
        <w:t>Lunch and Live Culinary Demonstrations (12:30 – 13:30):</w:t>
      </w:r>
    </w:p>
    <w:p w14:paraId="03F12E80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Delegates will enjoy a catered lunch featuring dishes prepared by prominent</w:t>
      </w:r>
    </w:p>
    <w:p w14:paraId="56918A30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women chefs. Concurrently, live demonstrations will offer insights into</w:t>
      </w:r>
    </w:p>
    <w:p w14:paraId="286F3B4A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innovative cooking techniques and sustainable practices.</w:t>
      </w:r>
    </w:p>
    <w:p w14:paraId="4E425648" w14:textId="0359ACA2" w:rsidR="003402A7" w:rsidRPr="008E46F8" w:rsidRDefault="003402A7" w:rsidP="00A705D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8E46F8">
        <w:rPr>
          <w:rFonts w:ascii="Arial" w:hAnsi="Arial" w:cs="Arial"/>
        </w:rPr>
        <w:t>Breakout Sessions and Interactive Workshops (13:30 – 15:30):</w:t>
      </w:r>
    </w:p>
    <w:p w14:paraId="61F4DE2C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Multiple concurrent sessions will allow delegates to choose topics of interest:</w:t>
      </w:r>
    </w:p>
    <w:p w14:paraId="09FC2BE8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o Innovation in Sustainable Gastronomy: Exploring eco-friendly</w:t>
      </w:r>
    </w:p>
    <w:p w14:paraId="2A2D28AB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practices and sustainable sourcing.</w:t>
      </w:r>
    </w:p>
    <w:p w14:paraId="7583810F" w14:textId="0D8918A9" w:rsidR="003402A7" w:rsidRPr="008E46F8" w:rsidRDefault="003402A7" w:rsidP="00B91B6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8E46F8">
        <w:rPr>
          <w:rFonts w:ascii="Arial" w:hAnsi="Arial" w:cs="Arial"/>
        </w:rPr>
        <w:t>Digital Transformation in the Culinary Industry: Examining how</w:t>
      </w:r>
    </w:p>
    <w:p w14:paraId="50FB1DDA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technology is revolutionising culinary techniques and customer</w:t>
      </w:r>
    </w:p>
    <w:p w14:paraId="4CB50258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engagement.</w:t>
      </w:r>
    </w:p>
    <w:p w14:paraId="5727D51D" w14:textId="7A3D7886" w:rsidR="003402A7" w:rsidRPr="008E46F8" w:rsidRDefault="003402A7" w:rsidP="00B91B65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8E46F8">
        <w:rPr>
          <w:rFonts w:ascii="Arial" w:hAnsi="Arial" w:cs="Arial"/>
        </w:rPr>
        <w:t>Mentorship and Leadership Development: Strategies for career</w:t>
      </w:r>
    </w:p>
    <w:p w14:paraId="2E27B000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advancement and overcoming gender-based barriers.</w:t>
      </w:r>
    </w:p>
    <w:p w14:paraId="4397AA25" w14:textId="77777777" w:rsidR="003402A7" w:rsidRPr="008E46F8" w:rsidRDefault="003402A7" w:rsidP="003402A7">
      <w:pPr>
        <w:rPr>
          <w:rFonts w:ascii="Arial" w:hAnsi="Arial" w:cs="Arial"/>
        </w:rPr>
      </w:pPr>
    </w:p>
    <w:p w14:paraId="2C67257C" w14:textId="0610ACF4" w:rsidR="003402A7" w:rsidRPr="008E46F8" w:rsidRDefault="003402A7" w:rsidP="003402A7">
      <w:pPr>
        <w:rPr>
          <w:rFonts w:ascii="Arial" w:hAnsi="Arial" w:cs="Arial"/>
          <w:b/>
          <w:bCs/>
        </w:rPr>
      </w:pPr>
      <w:r w:rsidRPr="008E46F8">
        <w:rPr>
          <w:rFonts w:ascii="Arial" w:hAnsi="Arial" w:cs="Arial"/>
          <w:b/>
          <w:bCs/>
        </w:rPr>
        <w:t>Case Study Presentations (15:30 – 16:15):</w:t>
      </w:r>
    </w:p>
    <w:p w14:paraId="0C15C9EF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Selected speakers will present case studies demonstrating successful</w:t>
      </w:r>
    </w:p>
    <w:p w14:paraId="3AF09F08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strategies for overcoming gender-related challenges in high-profile culinary</w:t>
      </w:r>
    </w:p>
    <w:p w14:paraId="3C11BB24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environments (Farrell, 2021).</w:t>
      </w:r>
    </w:p>
    <w:p w14:paraId="0F4527A0" w14:textId="30562544" w:rsidR="003402A7" w:rsidRPr="008E46F8" w:rsidRDefault="003402A7" w:rsidP="003402A7">
      <w:pPr>
        <w:rPr>
          <w:rFonts w:ascii="Arial" w:hAnsi="Arial" w:cs="Arial"/>
          <w:b/>
          <w:bCs/>
        </w:rPr>
      </w:pPr>
      <w:r w:rsidRPr="008E46F8">
        <w:rPr>
          <w:rFonts w:ascii="Arial" w:hAnsi="Arial" w:cs="Arial"/>
          <w:b/>
          <w:bCs/>
        </w:rPr>
        <w:t>Closing Panel and Open Forum (16:15 – 17:00):</w:t>
      </w:r>
    </w:p>
    <w:p w14:paraId="6B0DECE7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A final panel discussion will summarise key insights from the day, with an</w:t>
      </w:r>
    </w:p>
    <w:p w14:paraId="10465A93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open forum providing delegates the opportunity to share reflections and</w:t>
      </w:r>
    </w:p>
    <w:p w14:paraId="760D683B" w14:textId="77777777" w:rsidR="003402A7" w:rsidRPr="008E46F8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suggestions for future events. This session will emphasise the iterative nature</w:t>
      </w:r>
    </w:p>
    <w:p w14:paraId="7B648D6D" w14:textId="77777777" w:rsidR="003402A7" w:rsidRDefault="003402A7" w:rsidP="003402A7">
      <w:pPr>
        <w:rPr>
          <w:rFonts w:ascii="Arial" w:hAnsi="Arial" w:cs="Arial"/>
        </w:rPr>
      </w:pPr>
      <w:r w:rsidRPr="008E46F8">
        <w:rPr>
          <w:rFonts w:ascii="Arial" w:hAnsi="Arial" w:cs="Arial"/>
        </w:rPr>
        <w:t>of the event cycle by integrating real-time feedback (Miller, 2022).</w:t>
      </w:r>
    </w:p>
    <w:p w14:paraId="02489A3A" w14:textId="3072DDF3" w:rsidR="008E46F8" w:rsidRPr="002A6CE1" w:rsidRDefault="002A6CE1" w:rsidP="003402A7">
      <w:pPr>
        <w:rPr>
          <w:rFonts w:ascii="Arial" w:hAnsi="Arial" w:cs="Arial"/>
          <w:b/>
          <w:bCs/>
        </w:rPr>
      </w:pPr>
      <w:r w:rsidRPr="002A6CE1">
        <w:rPr>
          <w:rFonts w:ascii="Arial" w:hAnsi="Arial" w:cs="Arial"/>
          <w:b/>
          <w:bCs/>
        </w:rPr>
        <w:t>Thematic Experience</w:t>
      </w:r>
    </w:p>
    <w:p w14:paraId="1E77B780" w14:textId="77777777" w:rsidR="003402A7" w:rsidRPr="002A6CE1" w:rsidRDefault="003402A7" w:rsidP="003402A7">
      <w:pPr>
        <w:rPr>
          <w:rFonts w:ascii="Arial" w:hAnsi="Arial" w:cs="Arial"/>
        </w:rPr>
      </w:pPr>
      <w:r w:rsidRPr="002A6CE1">
        <w:rPr>
          <w:rFonts w:ascii="Arial" w:hAnsi="Arial" w:cs="Arial"/>
        </w:rPr>
        <w:t>Throughout the day, delegates will be immersed in a curated experience that</w:t>
      </w:r>
    </w:p>
    <w:p w14:paraId="71C77061" w14:textId="77777777" w:rsidR="003402A7" w:rsidRPr="002A6CE1" w:rsidRDefault="003402A7" w:rsidP="003402A7">
      <w:pPr>
        <w:rPr>
          <w:rFonts w:ascii="Arial" w:hAnsi="Arial" w:cs="Arial"/>
        </w:rPr>
      </w:pPr>
      <w:r w:rsidRPr="002A6CE1">
        <w:rPr>
          <w:rFonts w:ascii="Arial" w:hAnsi="Arial" w:cs="Arial"/>
        </w:rPr>
        <w:lastRenderedPageBreak/>
        <w:t>celebrates culinary excellence and gender diversity. Digital displays will trace the</w:t>
      </w:r>
    </w:p>
    <w:p w14:paraId="0B2F3300" w14:textId="77777777" w:rsidR="003402A7" w:rsidRPr="002A6CE1" w:rsidRDefault="003402A7" w:rsidP="003402A7">
      <w:pPr>
        <w:rPr>
          <w:rFonts w:ascii="Arial" w:hAnsi="Arial" w:cs="Arial"/>
        </w:rPr>
      </w:pPr>
      <w:r w:rsidRPr="002A6CE1">
        <w:rPr>
          <w:rFonts w:ascii="Arial" w:hAnsi="Arial" w:cs="Arial"/>
        </w:rPr>
        <w:t>career journeys of pioneering women chefs, while interactive exhibits will highlight</w:t>
      </w:r>
    </w:p>
    <w:p w14:paraId="2CC440EC" w14:textId="77777777" w:rsidR="003402A7" w:rsidRPr="002A6CE1" w:rsidRDefault="003402A7" w:rsidP="003402A7">
      <w:pPr>
        <w:rPr>
          <w:rFonts w:ascii="Arial" w:hAnsi="Arial" w:cs="Arial"/>
        </w:rPr>
      </w:pPr>
      <w:r w:rsidRPr="002A6CE1">
        <w:rPr>
          <w:rFonts w:ascii="Arial" w:hAnsi="Arial" w:cs="Arial"/>
        </w:rPr>
        <w:t>innovations in sustainable gastronomy. These thematic elements are designed in</w:t>
      </w:r>
    </w:p>
    <w:p w14:paraId="2C806D35" w14:textId="7FFB60DE" w:rsidR="00703C9C" w:rsidRDefault="003402A7" w:rsidP="003402A7">
      <w:pPr>
        <w:rPr>
          <w:rFonts w:ascii="Arial" w:hAnsi="Arial" w:cs="Arial"/>
        </w:rPr>
      </w:pPr>
      <w:r w:rsidRPr="002A6CE1">
        <w:rPr>
          <w:rFonts w:ascii="Arial" w:hAnsi="Arial" w:cs="Arial"/>
        </w:rPr>
        <w:t>accordance with EMBOOK (2023) to reinforce learning and engagement.</w:t>
      </w:r>
    </w:p>
    <w:p w14:paraId="504D22A5" w14:textId="77777777" w:rsidR="002A6CE1" w:rsidRDefault="002A6CE1" w:rsidP="00950994">
      <w:pPr>
        <w:pStyle w:val="Heading1"/>
      </w:pPr>
    </w:p>
    <w:p w14:paraId="297EE72D" w14:textId="77777777" w:rsidR="00950994" w:rsidRDefault="00950994" w:rsidP="00950994">
      <w:pPr>
        <w:pStyle w:val="Heading1"/>
      </w:pPr>
      <w:bookmarkStart w:id="8" w:name="_Toc191536114"/>
      <w:r w:rsidRPr="00950994">
        <w:t>Aim and Objectives of the Meeting / Event</w:t>
      </w:r>
      <w:bookmarkEnd w:id="8"/>
    </w:p>
    <w:p w14:paraId="1087AAE6" w14:textId="77777777" w:rsidR="00950994" w:rsidRPr="00950994" w:rsidRDefault="00950994" w:rsidP="00950994"/>
    <w:p w14:paraId="047760A6" w14:textId="77777777" w:rsidR="00950994" w:rsidRPr="00950994" w:rsidRDefault="00950994" w:rsidP="00950994">
      <w:pPr>
        <w:pStyle w:val="Heading2"/>
      </w:pPr>
      <w:bookmarkStart w:id="9" w:name="_Toc191536115"/>
      <w:r w:rsidRPr="00950994">
        <w:t>Overarching Aim</w:t>
      </w:r>
      <w:bookmarkEnd w:id="9"/>
    </w:p>
    <w:p w14:paraId="72C375BA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The overarching aim of “Culinary Queens 2025” is to empower women chefs in the</w:t>
      </w:r>
    </w:p>
    <w:p w14:paraId="4F884DF7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UK by providing a transformative platform for professional development, networking,</w:t>
      </w:r>
    </w:p>
    <w:p w14:paraId="3B23DE10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and industry recognition. This initiative seeks to dismantle long-standing barriers and</w:t>
      </w:r>
    </w:p>
    <w:p w14:paraId="6A0AE3C7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drive gender equity within the culinary sector (Garcia-</w:t>
      </w:r>
      <w:proofErr w:type="spellStart"/>
      <w:r w:rsidRPr="00950994">
        <w:rPr>
          <w:rFonts w:ascii="Arial" w:hAnsi="Arial" w:cs="Arial"/>
        </w:rPr>
        <w:t>Henche</w:t>
      </w:r>
      <w:proofErr w:type="spellEnd"/>
      <w:r w:rsidRPr="00950994">
        <w:rPr>
          <w:rFonts w:ascii="Arial" w:hAnsi="Arial" w:cs="Arial"/>
        </w:rPr>
        <w:t xml:space="preserve"> &amp;amp; Cuesta-Valino,</w:t>
      </w:r>
    </w:p>
    <w:p w14:paraId="3ED12C93" w14:textId="77777777" w:rsid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2022).</w:t>
      </w:r>
    </w:p>
    <w:p w14:paraId="0A3ECBCB" w14:textId="77777777" w:rsidR="003446A9" w:rsidRPr="00950994" w:rsidRDefault="003446A9" w:rsidP="00950994">
      <w:pPr>
        <w:rPr>
          <w:rFonts w:ascii="Arial" w:hAnsi="Arial" w:cs="Arial"/>
        </w:rPr>
      </w:pPr>
    </w:p>
    <w:p w14:paraId="79A7D0BA" w14:textId="77777777" w:rsidR="00950994" w:rsidRPr="00950994" w:rsidRDefault="00950994" w:rsidP="003446A9">
      <w:pPr>
        <w:pStyle w:val="Heading2"/>
      </w:pPr>
      <w:bookmarkStart w:id="10" w:name="_Toc191536116"/>
      <w:r w:rsidRPr="00950994">
        <w:t>SMART Objectives</w:t>
      </w:r>
      <w:bookmarkEnd w:id="10"/>
    </w:p>
    <w:p w14:paraId="35FF5ACB" w14:textId="7DDDE395" w:rsidR="00950994" w:rsidRPr="003446A9" w:rsidRDefault="00950994" w:rsidP="00950994">
      <w:pPr>
        <w:rPr>
          <w:rFonts w:ascii="Arial" w:hAnsi="Arial" w:cs="Arial"/>
          <w:b/>
          <w:bCs/>
        </w:rPr>
      </w:pPr>
      <w:r w:rsidRPr="00950994">
        <w:rPr>
          <w:rFonts w:ascii="Arial" w:hAnsi="Arial" w:cs="Arial"/>
        </w:rPr>
        <w:t xml:space="preserve"> </w:t>
      </w:r>
      <w:r w:rsidRPr="003446A9">
        <w:rPr>
          <w:rFonts w:ascii="Arial" w:hAnsi="Arial" w:cs="Arial"/>
          <w:b/>
          <w:bCs/>
        </w:rPr>
        <w:t>Enhance Professional Development</w:t>
      </w:r>
    </w:p>
    <w:p w14:paraId="204AF4E4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Specific: Facilitate the sharing of best practices and career strategies among</w:t>
      </w:r>
    </w:p>
    <w:p w14:paraId="76A18BD1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female culinary professionals.</w:t>
      </w:r>
    </w:p>
    <w:p w14:paraId="2E7DCB96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Measurable: Attain a delegate satisfaction rate of at least 90% for professional</w:t>
      </w:r>
    </w:p>
    <w:p w14:paraId="2AF7FA4F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development sessions, as measured by post-event surveys.</w:t>
      </w:r>
    </w:p>
    <w:p w14:paraId="064A60C0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Achievable: Utilise a blend of keynote presentations, panel discussions, and</w:t>
      </w:r>
    </w:p>
    <w:p w14:paraId="6E6E5421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interactive workshops.</w:t>
      </w:r>
    </w:p>
    <w:p w14:paraId="199E608A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Relevant: Directly addresses identified gaps in career progression for women</w:t>
      </w:r>
    </w:p>
    <w:p w14:paraId="6BEA4CFF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chefs (Farrell, 2021).</w:t>
      </w:r>
    </w:p>
    <w:p w14:paraId="7C651BE3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Time-bound: Evaluation to be completed within one week after the event.</w:t>
      </w:r>
    </w:p>
    <w:p w14:paraId="71BBFEE5" w14:textId="77777777" w:rsidR="00066CBA" w:rsidRDefault="00066CBA" w:rsidP="00950994">
      <w:pPr>
        <w:rPr>
          <w:rFonts w:ascii="Arial" w:hAnsi="Arial" w:cs="Arial"/>
        </w:rPr>
      </w:pPr>
    </w:p>
    <w:p w14:paraId="4DEBC235" w14:textId="6954B54B" w:rsidR="00950994" w:rsidRPr="003446A9" w:rsidRDefault="00950994" w:rsidP="00950994">
      <w:pPr>
        <w:rPr>
          <w:rFonts w:ascii="Arial" w:hAnsi="Arial" w:cs="Arial"/>
          <w:b/>
          <w:bCs/>
        </w:rPr>
      </w:pPr>
      <w:r w:rsidRPr="00950994">
        <w:rPr>
          <w:rFonts w:ascii="Arial" w:hAnsi="Arial" w:cs="Arial"/>
        </w:rPr>
        <w:t xml:space="preserve"> </w:t>
      </w:r>
      <w:r w:rsidRPr="003446A9">
        <w:rPr>
          <w:rFonts w:ascii="Arial" w:hAnsi="Arial" w:cs="Arial"/>
          <w:b/>
          <w:bCs/>
        </w:rPr>
        <w:t>Strengthen Industry Networks</w:t>
      </w:r>
    </w:p>
    <w:p w14:paraId="68865713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lastRenderedPageBreak/>
        <w:t>Specific: Establish structured networking opportunities that foster long-term</w:t>
      </w:r>
    </w:p>
    <w:p w14:paraId="04C75C5B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professional relationships.</w:t>
      </w:r>
    </w:p>
    <w:p w14:paraId="6F2ECA79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Measurable: Facilitate the creation of at least 150 new industry connections</w:t>
      </w:r>
    </w:p>
    <w:p w14:paraId="711A85BB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and document a minimum of 10 collaborative initiatives within three months</w:t>
      </w:r>
    </w:p>
    <w:p w14:paraId="218947DA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post-event.</w:t>
      </w:r>
    </w:p>
    <w:p w14:paraId="2A9645D9" w14:textId="4FCC7A21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Achievable: Incorporate dedicated networking sessions, interactive Q&amp;A</w:t>
      </w:r>
    </w:p>
    <w:p w14:paraId="62024C87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sessions, and themed coffee breaks.</w:t>
      </w:r>
    </w:p>
    <w:p w14:paraId="0D3EC7D0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Relevant: Critical for building the social support systems necessary for career</w:t>
      </w:r>
    </w:p>
    <w:p w14:paraId="3C843833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advancement (Hansford, 2011).</w:t>
      </w:r>
    </w:p>
    <w:p w14:paraId="376CDADD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Time-bound: Measured by follow-up surveys at three months post-event.</w:t>
      </w:r>
    </w:p>
    <w:p w14:paraId="66151E0F" w14:textId="32C00753" w:rsidR="00950994" w:rsidRPr="003446A9" w:rsidRDefault="00950994" w:rsidP="00950994">
      <w:pPr>
        <w:rPr>
          <w:rFonts w:ascii="Arial" w:hAnsi="Arial" w:cs="Arial"/>
          <w:b/>
          <w:bCs/>
        </w:rPr>
      </w:pPr>
      <w:r w:rsidRPr="003446A9">
        <w:rPr>
          <w:rFonts w:ascii="Arial" w:hAnsi="Arial" w:cs="Arial"/>
          <w:b/>
          <w:bCs/>
        </w:rPr>
        <w:t>Increase Visibility and Recognition</w:t>
      </w:r>
    </w:p>
    <w:p w14:paraId="532F141E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Specific: Amplify the achievements of female chefs and raise public</w:t>
      </w:r>
    </w:p>
    <w:p w14:paraId="5023A79A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awareness regarding gender disparities in the culinary sector.</w:t>
      </w:r>
    </w:p>
    <w:p w14:paraId="02E19D95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Measurable: Secure media coverage in at least five major culinary or lifestyle</w:t>
      </w:r>
    </w:p>
    <w:p w14:paraId="2467206B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publications and achieve a 40% increase in social media engagement during</w:t>
      </w:r>
    </w:p>
    <w:p w14:paraId="235360B2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the event week.</w:t>
      </w:r>
    </w:p>
    <w:p w14:paraId="50B16381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Achievable: Leverage pre-event publicity, live social media engagement, and</w:t>
      </w:r>
    </w:p>
    <w:p w14:paraId="404339B5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post-event press releases.</w:t>
      </w:r>
    </w:p>
    <w:p w14:paraId="6E09B988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 xml:space="preserve">Relevant: Addresses the visibility challenges highlighted by </w:t>
      </w:r>
      <w:proofErr w:type="spellStart"/>
      <w:r w:rsidRPr="00950994">
        <w:rPr>
          <w:rFonts w:ascii="Arial" w:hAnsi="Arial" w:cs="Arial"/>
        </w:rPr>
        <w:t>Haddaji</w:t>
      </w:r>
      <w:proofErr w:type="spellEnd"/>
      <w:r w:rsidRPr="00950994">
        <w:rPr>
          <w:rFonts w:ascii="Arial" w:hAnsi="Arial" w:cs="Arial"/>
        </w:rPr>
        <w:t xml:space="preserve"> et al.</w:t>
      </w:r>
    </w:p>
    <w:p w14:paraId="061F7C03" w14:textId="77777777" w:rsidR="00950994" w:rsidRPr="00950994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 xml:space="preserve">(2017) and </w:t>
      </w:r>
      <w:proofErr w:type="spellStart"/>
      <w:r w:rsidRPr="00950994">
        <w:rPr>
          <w:rFonts w:ascii="Arial" w:hAnsi="Arial" w:cs="Arial"/>
        </w:rPr>
        <w:t>Türkmendag</w:t>
      </w:r>
      <w:proofErr w:type="spellEnd"/>
      <w:r w:rsidRPr="00950994">
        <w:rPr>
          <w:rFonts w:ascii="Arial" w:hAnsi="Arial" w:cs="Arial"/>
        </w:rPr>
        <w:t xml:space="preserve"> and Karaman (2024).</w:t>
      </w:r>
    </w:p>
    <w:p w14:paraId="66FC9275" w14:textId="00E53E42" w:rsidR="002A6CE1" w:rsidRDefault="00950994" w:rsidP="00950994">
      <w:pPr>
        <w:rPr>
          <w:rFonts w:ascii="Arial" w:hAnsi="Arial" w:cs="Arial"/>
        </w:rPr>
      </w:pPr>
      <w:r w:rsidRPr="00950994">
        <w:rPr>
          <w:rFonts w:ascii="Arial" w:hAnsi="Arial" w:cs="Arial"/>
        </w:rPr>
        <w:t>Time-bound: Results to be reviewed within one month after the event.</w:t>
      </w:r>
    </w:p>
    <w:p w14:paraId="4FAF8634" w14:textId="77777777" w:rsidR="00884E8A" w:rsidRDefault="00884E8A" w:rsidP="00950994">
      <w:pPr>
        <w:rPr>
          <w:rFonts w:ascii="Arial" w:hAnsi="Arial" w:cs="Arial"/>
        </w:rPr>
      </w:pPr>
    </w:p>
    <w:p w14:paraId="72401F79" w14:textId="77777777" w:rsidR="00884E8A" w:rsidRDefault="00884E8A" w:rsidP="00AF35A8">
      <w:pPr>
        <w:pStyle w:val="Heading1"/>
      </w:pPr>
      <w:bookmarkStart w:id="11" w:name="_Toc191536117"/>
      <w:r w:rsidRPr="00884E8A">
        <w:t>Event Management</w:t>
      </w:r>
      <w:bookmarkEnd w:id="11"/>
    </w:p>
    <w:p w14:paraId="651649CF" w14:textId="77777777" w:rsidR="00AF35A8" w:rsidRPr="00AF35A8" w:rsidRDefault="00AF35A8" w:rsidP="00AF35A8"/>
    <w:p w14:paraId="210458E0" w14:textId="77777777" w:rsidR="00884E8A" w:rsidRDefault="00884E8A" w:rsidP="00AF35A8">
      <w:pPr>
        <w:pStyle w:val="Heading2"/>
      </w:pPr>
      <w:bookmarkStart w:id="12" w:name="_Toc191536118"/>
      <w:r w:rsidRPr="00884E8A">
        <w:t>Operational Management</w:t>
      </w:r>
      <w:bookmarkEnd w:id="12"/>
    </w:p>
    <w:p w14:paraId="54078746" w14:textId="77777777" w:rsidR="00AF35A8" w:rsidRPr="00AF35A8" w:rsidRDefault="00AF35A8" w:rsidP="00AF35A8"/>
    <w:p w14:paraId="3ED23CDA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Efficient operational management is paramount for “Culinary Queens 2025.” The</w:t>
      </w:r>
    </w:p>
    <w:p w14:paraId="227548DF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event will be held at a premium venue in central London, chosen for its accessibility</w:t>
      </w:r>
    </w:p>
    <w:p w14:paraId="0879460B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lastRenderedPageBreak/>
        <w:t>via Transport for London (2024) and its state-of-the-art facilities. A central command</w:t>
      </w:r>
    </w:p>
    <w:p w14:paraId="2F80BBDC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centre will coordinate real-time operations, ensuring smooth transitions between</w:t>
      </w:r>
    </w:p>
    <w:p w14:paraId="78B3B2AC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sessions and addressing any issues immediately. The use of digital registration</w:t>
      </w:r>
    </w:p>
    <w:p w14:paraId="20DA62D4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systems and an event-specific mobile application will streamline check-in processes</w:t>
      </w:r>
    </w:p>
    <w:p w14:paraId="750E19AE" w14:textId="77777777" w:rsid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and provide delegates with up-to-date information throughout the day.</w:t>
      </w:r>
    </w:p>
    <w:p w14:paraId="7AC64375" w14:textId="77777777" w:rsidR="001868E9" w:rsidRPr="00884E8A" w:rsidRDefault="001868E9" w:rsidP="00884E8A">
      <w:pPr>
        <w:rPr>
          <w:rFonts w:ascii="Arial" w:hAnsi="Arial" w:cs="Arial"/>
        </w:rPr>
      </w:pPr>
    </w:p>
    <w:p w14:paraId="38FC3108" w14:textId="77777777" w:rsidR="00884E8A" w:rsidRDefault="00884E8A" w:rsidP="00AF35A8">
      <w:pPr>
        <w:pStyle w:val="Heading2"/>
      </w:pPr>
      <w:bookmarkStart w:id="13" w:name="_Toc191536119"/>
      <w:r w:rsidRPr="00884E8A">
        <w:t>Planning and Coordination</w:t>
      </w:r>
      <w:bookmarkEnd w:id="13"/>
    </w:p>
    <w:p w14:paraId="3DF1CD75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The planning phase adheres to the EMBOOK methodology, ensuring detailed</w:t>
      </w:r>
    </w:p>
    <w:p w14:paraId="0063DB46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scheduling and effective stakeholder coordination. Key components include:</w:t>
      </w:r>
    </w:p>
    <w:p w14:paraId="11DFB0C6" w14:textId="7AB7ECFA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 xml:space="preserve"> </w:t>
      </w:r>
      <w:r w:rsidRPr="00AF35A8">
        <w:rPr>
          <w:rFonts w:ascii="Arial" w:hAnsi="Arial" w:cs="Arial"/>
          <w:b/>
          <w:bCs/>
        </w:rPr>
        <w:t>Programme Development:</w:t>
      </w:r>
      <w:r w:rsidRPr="00884E8A">
        <w:rPr>
          <w:rFonts w:ascii="Arial" w:hAnsi="Arial" w:cs="Arial"/>
        </w:rPr>
        <w:t xml:space="preserve"> Crafting an agenda that balances keynote</w:t>
      </w:r>
    </w:p>
    <w:p w14:paraId="4D8D5314" w14:textId="77777777" w:rsid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addresses, interactive sessions, and networking opportunities.</w:t>
      </w:r>
    </w:p>
    <w:p w14:paraId="71A12164" w14:textId="304CCEF7" w:rsidR="00884E8A" w:rsidRPr="00884E8A" w:rsidRDefault="00884E8A" w:rsidP="00884E8A">
      <w:pPr>
        <w:rPr>
          <w:rFonts w:ascii="Arial" w:hAnsi="Arial" w:cs="Arial"/>
        </w:rPr>
      </w:pPr>
      <w:r w:rsidRPr="00AF35A8">
        <w:rPr>
          <w:rFonts w:ascii="Arial" w:hAnsi="Arial" w:cs="Arial"/>
          <w:b/>
          <w:bCs/>
        </w:rPr>
        <w:t>Speaker and Panellist</w:t>
      </w:r>
      <w:r w:rsidRPr="00884E8A">
        <w:rPr>
          <w:rFonts w:ascii="Arial" w:hAnsi="Arial" w:cs="Arial"/>
        </w:rPr>
        <w:t xml:space="preserve"> Engagement: Inviting high-profile women chefs and</w:t>
      </w:r>
    </w:p>
    <w:p w14:paraId="4D8AEB12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industry experts whose experiences reflect current challenges and successes</w:t>
      </w:r>
    </w:p>
    <w:p w14:paraId="6568E130" w14:textId="77777777" w:rsid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(</w:t>
      </w:r>
      <w:proofErr w:type="spellStart"/>
      <w:r w:rsidRPr="00884E8A">
        <w:rPr>
          <w:rFonts w:ascii="Arial" w:hAnsi="Arial" w:cs="Arial"/>
        </w:rPr>
        <w:t>Albors</w:t>
      </w:r>
      <w:proofErr w:type="spellEnd"/>
      <w:r w:rsidRPr="00884E8A">
        <w:rPr>
          <w:rFonts w:ascii="Arial" w:hAnsi="Arial" w:cs="Arial"/>
        </w:rPr>
        <w:t>-Garrigos et al., 2019; Farrell, 2021).</w:t>
      </w:r>
    </w:p>
    <w:p w14:paraId="0393CB81" w14:textId="09F1C290" w:rsidR="00884E8A" w:rsidRPr="00884E8A" w:rsidRDefault="00884E8A" w:rsidP="00884E8A">
      <w:pPr>
        <w:rPr>
          <w:rFonts w:ascii="Arial" w:hAnsi="Arial" w:cs="Arial"/>
        </w:rPr>
      </w:pPr>
      <w:r w:rsidRPr="00AF35A8">
        <w:rPr>
          <w:rFonts w:ascii="Arial" w:hAnsi="Arial" w:cs="Arial"/>
          <w:b/>
          <w:bCs/>
        </w:rPr>
        <w:t>Sponsorship and Partnerships:</w:t>
      </w:r>
      <w:r w:rsidRPr="00884E8A">
        <w:rPr>
          <w:rFonts w:ascii="Arial" w:hAnsi="Arial" w:cs="Arial"/>
        </w:rPr>
        <w:t xml:space="preserve"> Securing financial and in-kind support from</w:t>
      </w:r>
    </w:p>
    <w:p w14:paraId="57F2B7E7" w14:textId="77777777" w:rsid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culinary brands, local businesses, and cultural organisations.</w:t>
      </w:r>
    </w:p>
    <w:p w14:paraId="158600EC" w14:textId="24D47C9A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 xml:space="preserve"> </w:t>
      </w:r>
      <w:r w:rsidRPr="001868E9">
        <w:rPr>
          <w:rFonts w:ascii="Arial" w:hAnsi="Arial" w:cs="Arial"/>
          <w:b/>
          <w:bCs/>
        </w:rPr>
        <w:t>Logistics and Risk Management</w:t>
      </w:r>
      <w:r w:rsidRPr="00884E8A">
        <w:rPr>
          <w:rFonts w:ascii="Arial" w:hAnsi="Arial" w:cs="Arial"/>
        </w:rPr>
        <w:t>: Developing comprehensive contingency</w:t>
      </w:r>
    </w:p>
    <w:p w14:paraId="50DE15B5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plans for potential technological or logistical disruptions, as recommended by</w:t>
      </w:r>
    </w:p>
    <w:p w14:paraId="72F38E87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EMBOOK (2023).</w:t>
      </w:r>
    </w:p>
    <w:p w14:paraId="04AFBFB7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Regular progress meetings and milestone tracking using Gantt charts ensure that</w:t>
      </w:r>
    </w:p>
    <w:p w14:paraId="655A8DE5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every aspect of the event is executed on schedule. A steering committee comprising</w:t>
      </w:r>
    </w:p>
    <w:p w14:paraId="5E026FCB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industry leaders and academic experts will provide strategic oversight throughout the</w:t>
      </w:r>
    </w:p>
    <w:p w14:paraId="1E87A447" w14:textId="77777777" w:rsid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planning and execution phases.</w:t>
      </w:r>
    </w:p>
    <w:p w14:paraId="3A4AB5FF" w14:textId="77777777" w:rsidR="001A0D67" w:rsidRPr="00884E8A" w:rsidRDefault="001A0D67" w:rsidP="00884E8A">
      <w:pPr>
        <w:rPr>
          <w:rFonts w:ascii="Arial" w:hAnsi="Arial" w:cs="Arial"/>
        </w:rPr>
      </w:pPr>
    </w:p>
    <w:p w14:paraId="54B5EFFD" w14:textId="77777777" w:rsidR="00884E8A" w:rsidRDefault="00884E8A" w:rsidP="001305C4">
      <w:pPr>
        <w:pStyle w:val="Heading2"/>
      </w:pPr>
      <w:bookmarkStart w:id="14" w:name="_Toc191536120"/>
      <w:r w:rsidRPr="00884E8A">
        <w:t>Marketing and Communications</w:t>
      </w:r>
      <w:bookmarkEnd w:id="14"/>
    </w:p>
    <w:p w14:paraId="62301258" w14:textId="77777777" w:rsidR="001305C4" w:rsidRPr="001305C4" w:rsidRDefault="001305C4" w:rsidP="001305C4"/>
    <w:p w14:paraId="62C49F97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A robust marketing strategy is essential for maximising delegate engagement and</w:t>
      </w:r>
    </w:p>
    <w:p w14:paraId="2C2B462A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ensuring widespread media coverage. The communications plan includes:</w:t>
      </w:r>
    </w:p>
    <w:p w14:paraId="132F78BA" w14:textId="571E59EB" w:rsidR="00884E8A" w:rsidRPr="00884E8A" w:rsidRDefault="00884E8A" w:rsidP="00884E8A">
      <w:pPr>
        <w:rPr>
          <w:rFonts w:ascii="Arial" w:hAnsi="Arial" w:cs="Arial"/>
        </w:rPr>
      </w:pPr>
      <w:r w:rsidRPr="001305C4">
        <w:rPr>
          <w:rFonts w:ascii="Arial" w:hAnsi="Arial" w:cs="Arial"/>
          <w:b/>
          <w:bCs/>
        </w:rPr>
        <w:t>Digital Marketing:</w:t>
      </w:r>
      <w:r w:rsidRPr="00884E8A">
        <w:rPr>
          <w:rFonts w:ascii="Arial" w:hAnsi="Arial" w:cs="Arial"/>
        </w:rPr>
        <w:t xml:space="preserve"> Engaging potential delegates through social media</w:t>
      </w:r>
    </w:p>
    <w:p w14:paraId="1F372547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lastRenderedPageBreak/>
        <w:t>campaigns, targeted email newsletters, and a dedicated event website.</w:t>
      </w:r>
    </w:p>
    <w:p w14:paraId="219DE6FE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Interactive hashtag campaigns and live social media feeds during the event</w:t>
      </w:r>
    </w:p>
    <w:p w14:paraId="3F0AF716" w14:textId="77777777" w:rsidR="001305C4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will further boost engagement.</w:t>
      </w:r>
    </w:p>
    <w:p w14:paraId="18D25339" w14:textId="11E95267" w:rsidR="00884E8A" w:rsidRPr="00884E8A" w:rsidRDefault="00884E8A" w:rsidP="00884E8A">
      <w:pPr>
        <w:rPr>
          <w:rFonts w:ascii="Arial" w:hAnsi="Arial" w:cs="Arial"/>
        </w:rPr>
      </w:pPr>
      <w:r w:rsidRPr="001305C4">
        <w:rPr>
          <w:rFonts w:ascii="Arial" w:hAnsi="Arial" w:cs="Arial"/>
          <w:b/>
          <w:bCs/>
        </w:rPr>
        <w:t xml:space="preserve"> Traditional Media</w:t>
      </w:r>
      <w:r w:rsidRPr="00884E8A">
        <w:rPr>
          <w:rFonts w:ascii="Arial" w:hAnsi="Arial" w:cs="Arial"/>
        </w:rPr>
        <w:t>: Disseminating press releases and print advertisements in</w:t>
      </w:r>
    </w:p>
    <w:p w14:paraId="57CF8015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prominent culinary and lifestyle publications.</w:t>
      </w:r>
    </w:p>
    <w:p w14:paraId="4E717F51" w14:textId="3390DECE" w:rsidR="00884E8A" w:rsidRPr="00884E8A" w:rsidRDefault="00884E8A" w:rsidP="00884E8A">
      <w:pPr>
        <w:rPr>
          <w:rFonts w:ascii="Arial" w:hAnsi="Arial" w:cs="Arial"/>
        </w:rPr>
      </w:pPr>
      <w:r w:rsidRPr="001305C4">
        <w:rPr>
          <w:rFonts w:ascii="Arial" w:hAnsi="Arial" w:cs="Arial"/>
          <w:b/>
          <w:bCs/>
        </w:rPr>
        <w:t>Engagement Strategies</w:t>
      </w:r>
      <w:r w:rsidRPr="00884E8A">
        <w:rPr>
          <w:rFonts w:ascii="Arial" w:hAnsi="Arial" w:cs="Arial"/>
        </w:rPr>
        <w:t>: Hosting pre-event webinars and virtual meetups to</w:t>
      </w:r>
    </w:p>
    <w:p w14:paraId="732E3085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introduce key themes and facilitate early interaction with speakers and</w:t>
      </w:r>
    </w:p>
    <w:p w14:paraId="4E086650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participants (Mordor Intelligence, 2022).</w:t>
      </w:r>
    </w:p>
    <w:p w14:paraId="3349D89D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Clear and consistent messaging will ensure that all stakeholders understand the</w:t>
      </w:r>
    </w:p>
    <w:p w14:paraId="3307D8CD" w14:textId="77777777" w:rsid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event’s purpose and benefits, further strengthening its impact.</w:t>
      </w:r>
    </w:p>
    <w:p w14:paraId="7B7E867B" w14:textId="77777777" w:rsidR="004F3782" w:rsidRPr="00884E8A" w:rsidRDefault="004F3782" w:rsidP="00884E8A">
      <w:pPr>
        <w:rPr>
          <w:rFonts w:ascii="Arial" w:hAnsi="Arial" w:cs="Arial"/>
        </w:rPr>
      </w:pPr>
    </w:p>
    <w:p w14:paraId="4F14FB2D" w14:textId="77777777" w:rsidR="00884E8A" w:rsidRDefault="00884E8A" w:rsidP="001305C4">
      <w:pPr>
        <w:pStyle w:val="Heading2"/>
      </w:pPr>
      <w:bookmarkStart w:id="15" w:name="_Toc191536121"/>
      <w:r w:rsidRPr="00884E8A">
        <w:t>Stakeholder and Risk Management</w:t>
      </w:r>
      <w:bookmarkEnd w:id="15"/>
    </w:p>
    <w:p w14:paraId="12AEB34E" w14:textId="77777777" w:rsidR="001305C4" w:rsidRPr="001305C4" w:rsidRDefault="001305C4" w:rsidP="001305C4"/>
    <w:p w14:paraId="72F4CADB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Effective stakeholder management is critical to align the interests of chefs, sponsors,</w:t>
      </w:r>
    </w:p>
    <w:p w14:paraId="341727C6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media, and policymakers. Regular updates, feedback loops, and targeted</w:t>
      </w:r>
    </w:p>
    <w:p w14:paraId="775DA647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communications will keep all parties engaged. Risk management</w:t>
      </w:r>
    </w:p>
    <w:p w14:paraId="5EC0D958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strategies—including contingency planning for technological failures, logistical</w:t>
      </w:r>
    </w:p>
    <w:p w14:paraId="275EE002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issues, or public health emergencies—will be rigorously implemented to ensure the</w:t>
      </w:r>
    </w:p>
    <w:p w14:paraId="7DC47ACC" w14:textId="77777777" w:rsidR="00884E8A" w:rsidRP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event’s success. These protocols, based on EMBOOK (2023) best practices, will</w:t>
      </w:r>
    </w:p>
    <w:p w14:paraId="24FAA7DF" w14:textId="75A7EEA6" w:rsidR="00884E8A" w:rsidRDefault="00884E8A" w:rsidP="00884E8A">
      <w:pPr>
        <w:rPr>
          <w:rFonts w:ascii="Arial" w:hAnsi="Arial" w:cs="Arial"/>
        </w:rPr>
      </w:pPr>
      <w:r w:rsidRPr="00884E8A">
        <w:rPr>
          <w:rFonts w:ascii="Arial" w:hAnsi="Arial" w:cs="Arial"/>
        </w:rPr>
        <w:t>help safeguard the event against unforeseen challenges.</w:t>
      </w:r>
    </w:p>
    <w:p w14:paraId="49353D2C" w14:textId="77777777" w:rsidR="00A37092" w:rsidRDefault="00A37092" w:rsidP="00A37092">
      <w:pPr>
        <w:pStyle w:val="Heading1"/>
      </w:pPr>
      <w:bookmarkStart w:id="16" w:name="_Toc191536122"/>
      <w:r w:rsidRPr="00A37092">
        <w:lastRenderedPageBreak/>
        <w:t>Event Budget</w:t>
      </w:r>
      <w:bookmarkEnd w:id="16"/>
    </w:p>
    <w:p w14:paraId="4752DB32" w14:textId="77777777" w:rsidR="0051236F" w:rsidRDefault="007205BE" w:rsidP="0051236F">
      <w:r>
        <w:rPr>
          <w:noProof/>
        </w:rPr>
        <w:drawing>
          <wp:inline distT="0" distB="0" distL="0" distR="0" wp14:anchorId="01C697FD" wp14:editId="648D38A0">
            <wp:extent cx="6447692" cy="3856355"/>
            <wp:effectExtent l="0" t="0" r="0" b="0"/>
            <wp:docPr id="1856865115" name="Picture 14" descr="A pie chart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6865115" name="Picture 14" descr="A pie chart with numbers and tex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9794" cy="3869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E5754D" w14:textId="40591D6A" w:rsidR="002D46C6" w:rsidRDefault="002D46C6" w:rsidP="0051236F">
      <w:r>
        <w:t>(Source: Adriana Balica)</w:t>
      </w:r>
    </w:p>
    <w:p w14:paraId="073DE30A" w14:textId="77777777" w:rsidR="0051236F" w:rsidRDefault="0051236F" w:rsidP="0051236F"/>
    <w:p w14:paraId="22762432" w14:textId="50AFE701" w:rsidR="00A37092" w:rsidRPr="00A37092" w:rsidRDefault="00A37092" w:rsidP="00325B50">
      <w:pPr>
        <w:pStyle w:val="Heading2"/>
      </w:pPr>
      <w:bookmarkStart w:id="17" w:name="_Toc191536123"/>
      <w:r w:rsidRPr="00A37092">
        <w:t>Income and Expenditure Breakdown</w:t>
      </w:r>
      <w:bookmarkEnd w:id="17"/>
    </w:p>
    <w:p w14:paraId="29574411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A comprehensive budget has been developed to ensure financial transparency and</w:t>
      </w:r>
    </w:p>
    <w:p w14:paraId="13DB18F8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efficient resource allocation. The budget includes multiple income streams and</w:t>
      </w:r>
    </w:p>
    <w:p w14:paraId="57599EEF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detailed expenditure planning.</w:t>
      </w:r>
    </w:p>
    <w:p w14:paraId="2433238C" w14:textId="77777777" w:rsidR="00A37092" w:rsidRPr="00604100" w:rsidRDefault="00A37092" w:rsidP="00F927A3">
      <w:pPr>
        <w:pStyle w:val="Heading2"/>
      </w:pPr>
      <w:bookmarkStart w:id="18" w:name="_Toc191536124"/>
      <w:r w:rsidRPr="00604100">
        <w:t>Income Sources</w:t>
      </w:r>
      <w:bookmarkEnd w:id="18"/>
    </w:p>
    <w:p w14:paraId="58E77AD7" w14:textId="3FB21CD1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  <w:b/>
          <w:bCs/>
        </w:rPr>
        <w:t xml:space="preserve"> Registration Fees</w:t>
      </w:r>
      <w:r w:rsidRPr="00F927A3">
        <w:rPr>
          <w:rFonts w:ascii="Arial" w:hAnsi="Arial" w:cs="Arial"/>
        </w:rPr>
        <w:t xml:space="preserve">: With an estimated </w:t>
      </w:r>
      <w:r w:rsidR="00293CBA">
        <w:rPr>
          <w:rFonts w:ascii="Arial" w:hAnsi="Arial" w:cs="Arial"/>
        </w:rPr>
        <w:t xml:space="preserve">500 </w:t>
      </w:r>
      <w:r w:rsidRPr="00F927A3">
        <w:rPr>
          <w:rFonts w:ascii="Arial" w:hAnsi="Arial" w:cs="Arial"/>
        </w:rPr>
        <w:t>delegates at an average fee of</w:t>
      </w:r>
    </w:p>
    <w:p w14:paraId="436060CC" w14:textId="124A7BF0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£50, registration fees are projected to generate approximately £</w:t>
      </w:r>
      <w:r w:rsidR="009845E1">
        <w:rPr>
          <w:rFonts w:ascii="Arial" w:hAnsi="Arial" w:cs="Arial"/>
        </w:rPr>
        <w:t>25</w:t>
      </w:r>
      <w:r w:rsidR="00E11F33">
        <w:rPr>
          <w:rFonts w:ascii="Arial" w:hAnsi="Arial" w:cs="Arial"/>
        </w:rPr>
        <w:t>,</w:t>
      </w:r>
      <w:r w:rsidR="009845E1">
        <w:rPr>
          <w:rFonts w:ascii="Arial" w:hAnsi="Arial" w:cs="Arial"/>
        </w:rPr>
        <w:t xml:space="preserve">000. </w:t>
      </w:r>
    </w:p>
    <w:p w14:paraId="636E5204" w14:textId="23735215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  <w:b/>
          <w:bCs/>
        </w:rPr>
        <w:t>Sponsorship</w:t>
      </w:r>
      <w:r w:rsidRPr="00F927A3">
        <w:rPr>
          <w:rFonts w:ascii="Arial" w:hAnsi="Arial" w:cs="Arial"/>
        </w:rPr>
        <w:t>: Strategic partnerships with culinary brands and local</w:t>
      </w:r>
    </w:p>
    <w:p w14:paraId="1A4D507A" w14:textId="45E1D9D8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businesses are expected to contribute around £</w:t>
      </w:r>
      <w:r w:rsidR="00C43CFA">
        <w:rPr>
          <w:rFonts w:ascii="Arial" w:hAnsi="Arial" w:cs="Arial"/>
        </w:rPr>
        <w:t>20,000.</w:t>
      </w:r>
    </w:p>
    <w:p w14:paraId="231516D0" w14:textId="1A20B4F1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  <w:b/>
          <w:bCs/>
        </w:rPr>
        <w:t xml:space="preserve"> Exhibition and Vendor Fees</w:t>
      </w:r>
      <w:r w:rsidRPr="00F927A3">
        <w:rPr>
          <w:rFonts w:ascii="Arial" w:hAnsi="Arial" w:cs="Arial"/>
        </w:rPr>
        <w:t>: Revenue from exhibition booths and vendor</w:t>
      </w:r>
    </w:p>
    <w:p w14:paraId="7B18EFC4" w14:textId="0BED0405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participation is anticipated to be about £5,000.</w:t>
      </w:r>
    </w:p>
    <w:p w14:paraId="06B339FA" w14:textId="73CA35B3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 xml:space="preserve"> </w:t>
      </w:r>
      <w:r w:rsidRPr="00F927A3">
        <w:rPr>
          <w:rFonts w:ascii="Arial" w:hAnsi="Arial" w:cs="Arial"/>
          <w:b/>
          <w:bCs/>
        </w:rPr>
        <w:t>Government Grants and Cultural Subsidies</w:t>
      </w:r>
      <w:r w:rsidRPr="00F927A3">
        <w:rPr>
          <w:rFonts w:ascii="Arial" w:hAnsi="Arial" w:cs="Arial"/>
        </w:rPr>
        <w:t>: Funding from local authorities</w:t>
      </w:r>
    </w:p>
    <w:p w14:paraId="24C3E465" w14:textId="77777777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lastRenderedPageBreak/>
        <w:t>promoting cultural diversity and gender equity is projected to add an additional</w:t>
      </w:r>
    </w:p>
    <w:p w14:paraId="0A1DAF7E" w14:textId="77777777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£10,000.</w:t>
      </w:r>
    </w:p>
    <w:p w14:paraId="2FE21C1D" w14:textId="77777777" w:rsidR="00A37092" w:rsidRPr="00F927A3" w:rsidRDefault="00A37092" w:rsidP="00F927A3">
      <w:pPr>
        <w:pStyle w:val="Heading2"/>
        <w:rPr>
          <w:rFonts w:ascii="Arial" w:hAnsi="Arial" w:cs="Arial"/>
        </w:rPr>
      </w:pPr>
      <w:bookmarkStart w:id="19" w:name="_Toc191536125"/>
      <w:r w:rsidRPr="00F927A3">
        <w:rPr>
          <w:rFonts w:ascii="Arial" w:hAnsi="Arial" w:cs="Arial"/>
        </w:rPr>
        <w:t>Expenditure Categories</w:t>
      </w:r>
      <w:bookmarkEnd w:id="19"/>
    </w:p>
    <w:p w14:paraId="105D45E0" w14:textId="2A06FD15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  <w:b/>
          <w:bCs/>
        </w:rPr>
        <w:t>Venue Hire and Logistics</w:t>
      </w:r>
      <w:r w:rsidRPr="00F927A3">
        <w:rPr>
          <w:rFonts w:ascii="Arial" w:hAnsi="Arial" w:cs="Arial"/>
        </w:rPr>
        <w:t>: Approximately £</w:t>
      </w:r>
      <w:r w:rsidR="00CB642A">
        <w:rPr>
          <w:rFonts w:ascii="Arial" w:hAnsi="Arial" w:cs="Arial"/>
        </w:rPr>
        <w:t>9</w:t>
      </w:r>
      <w:r w:rsidRPr="00F927A3">
        <w:rPr>
          <w:rFonts w:ascii="Arial" w:hAnsi="Arial" w:cs="Arial"/>
        </w:rPr>
        <w:t>,000 to cover the cost of</w:t>
      </w:r>
    </w:p>
    <w:p w14:paraId="654E64D6" w14:textId="77777777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renting a premium venue in central London, including technical support and</w:t>
      </w:r>
    </w:p>
    <w:p w14:paraId="0B7F4401" w14:textId="77777777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on-site management.</w:t>
      </w:r>
    </w:p>
    <w:p w14:paraId="2C60A12C" w14:textId="3F3356B2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 xml:space="preserve"> </w:t>
      </w:r>
      <w:r w:rsidRPr="00F927A3">
        <w:rPr>
          <w:rFonts w:ascii="Arial" w:hAnsi="Arial" w:cs="Arial"/>
          <w:b/>
          <w:bCs/>
        </w:rPr>
        <w:t>Speaker and Panellist Fees</w:t>
      </w:r>
      <w:r w:rsidRPr="00F927A3">
        <w:rPr>
          <w:rFonts w:ascii="Arial" w:hAnsi="Arial" w:cs="Arial"/>
        </w:rPr>
        <w:t>: An allocation of £</w:t>
      </w:r>
      <w:r w:rsidR="00C03546">
        <w:rPr>
          <w:rFonts w:ascii="Arial" w:hAnsi="Arial" w:cs="Arial"/>
        </w:rPr>
        <w:t>10</w:t>
      </w:r>
      <w:r w:rsidRPr="00F927A3">
        <w:rPr>
          <w:rFonts w:ascii="Arial" w:hAnsi="Arial" w:cs="Arial"/>
        </w:rPr>
        <w:t>,000 for keynote speakers,</w:t>
      </w:r>
    </w:p>
    <w:p w14:paraId="1213E16A" w14:textId="77777777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panellists, and workshop facilitators, inclusive of travel and accommodation</w:t>
      </w:r>
    </w:p>
    <w:p w14:paraId="1FBB5D7A" w14:textId="77777777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expenses.</w:t>
      </w:r>
    </w:p>
    <w:p w14:paraId="71FDCD1C" w14:textId="42E3D7CD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  <w:b/>
          <w:bCs/>
        </w:rPr>
        <w:t>Marketing and Communications</w:t>
      </w:r>
      <w:r w:rsidRPr="00F927A3">
        <w:rPr>
          <w:rFonts w:ascii="Arial" w:hAnsi="Arial" w:cs="Arial"/>
        </w:rPr>
        <w:t>: Approximately £5,000 for digital</w:t>
      </w:r>
    </w:p>
    <w:p w14:paraId="30B2A96D" w14:textId="77777777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campaigns, printed materials, and media outreach.</w:t>
      </w:r>
    </w:p>
    <w:p w14:paraId="511A96FC" w14:textId="3834DE13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  <w:b/>
          <w:bCs/>
        </w:rPr>
        <w:t>Technology and AV Equipment</w:t>
      </w:r>
      <w:r w:rsidRPr="00F927A3">
        <w:rPr>
          <w:rFonts w:ascii="Arial" w:hAnsi="Arial" w:cs="Arial"/>
        </w:rPr>
        <w:t>: Investment of £</w:t>
      </w:r>
      <w:r w:rsidR="003B0765">
        <w:rPr>
          <w:rFonts w:ascii="Arial" w:hAnsi="Arial" w:cs="Arial"/>
        </w:rPr>
        <w:t>8</w:t>
      </w:r>
      <w:r w:rsidRPr="00F927A3">
        <w:rPr>
          <w:rFonts w:ascii="Arial" w:hAnsi="Arial" w:cs="Arial"/>
        </w:rPr>
        <w:t>,000 for audiovisual</w:t>
      </w:r>
    </w:p>
    <w:p w14:paraId="649B3C98" w14:textId="77777777" w:rsidR="00F927A3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</w:rPr>
        <w:t>systems, live streaming facilities, and digital engagement tools.</w:t>
      </w:r>
    </w:p>
    <w:p w14:paraId="3833D918" w14:textId="5649D977" w:rsidR="00A37092" w:rsidRPr="00F927A3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  <w:b/>
          <w:bCs/>
        </w:rPr>
        <w:t xml:space="preserve"> Catering and Hospitality</w:t>
      </w:r>
      <w:r w:rsidRPr="00F927A3">
        <w:rPr>
          <w:rFonts w:ascii="Arial" w:hAnsi="Arial" w:cs="Arial"/>
        </w:rPr>
        <w:t>: Approximately £</w:t>
      </w:r>
      <w:r w:rsidR="003B0765">
        <w:rPr>
          <w:rFonts w:ascii="Arial" w:hAnsi="Arial" w:cs="Arial"/>
        </w:rPr>
        <w:t>12</w:t>
      </w:r>
      <w:r w:rsidRPr="00F927A3">
        <w:rPr>
          <w:rFonts w:ascii="Arial" w:hAnsi="Arial" w:cs="Arial"/>
        </w:rPr>
        <w:t>,000 to cover breakfast, lunch</w:t>
      </w:r>
    </w:p>
    <w:p w14:paraId="381C48AF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(with live demonstrations), coffee breaks, and networking receptions.</w:t>
      </w:r>
    </w:p>
    <w:p w14:paraId="301D28AF" w14:textId="2A7893D1" w:rsidR="00A37092" w:rsidRPr="00A37092" w:rsidRDefault="00A37092" w:rsidP="00A37092">
      <w:pPr>
        <w:rPr>
          <w:rFonts w:ascii="Arial" w:hAnsi="Arial" w:cs="Arial"/>
        </w:rPr>
      </w:pPr>
      <w:r w:rsidRPr="00F927A3">
        <w:rPr>
          <w:rFonts w:ascii="Arial" w:hAnsi="Arial" w:cs="Arial"/>
          <w:b/>
          <w:bCs/>
        </w:rPr>
        <w:t xml:space="preserve"> Contingency Fund</w:t>
      </w:r>
      <w:r w:rsidRPr="00A37092">
        <w:rPr>
          <w:rFonts w:ascii="Arial" w:hAnsi="Arial" w:cs="Arial"/>
        </w:rPr>
        <w:t>: A reserve of £</w:t>
      </w:r>
      <w:r w:rsidR="00C11910">
        <w:rPr>
          <w:rFonts w:ascii="Arial" w:hAnsi="Arial" w:cs="Arial"/>
        </w:rPr>
        <w:t>5</w:t>
      </w:r>
      <w:r w:rsidRPr="00A37092">
        <w:rPr>
          <w:rFonts w:ascii="Arial" w:hAnsi="Arial" w:cs="Arial"/>
        </w:rPr>
        <w:t>,000 to address unforeseen expenses</w:t>
      </w:r>
    </w:p>
    <w:p w14:paraId="69AE8382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or emergencies.</w:t>
      </w:r>
    </w:p>
    <w:p w14:paraId="66F80C6F" w14:textId="77777777" w:rsidR="00A37092" w:rsidRPr="00604100" w:rsidRDefault="00A37092" w:rsidP="00F927A3">
      <w:pPr>
        <w:pStyle w:val="Heading2"/>
      </w:pPr>
      <w:bookmarkStart w:id="20" w:name="_Toc191536126"/>
      <w:r w:rsidRPr="00604100">
        <w:t>Funding Sources and Income Generation Analysis</w:t>
      </w:r>
      <w:bookmarkEnd w:id="20"/>
    </w:p>
    <w:p w14:paraId="5501E1FA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The financial model for “Culinary Queens 2025” is designed to minimise risk through</w:t>
      </w:r>
    </w:p>
    <w:p w14:paraId="444723FD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diversified income streams. Sponsorships and government grants not only</w:t>
      </w:r>
    </w:p>
    <w:p w14:paraId="783C7786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supplement registration revenue but also lend credibility to the event. Detailed</w:t>
      </w:r>
    </w:p>
    <w:p w14:paraId="42C24EFC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cost–benefit analyses ensure that each expenditure category directly contributes to</w:t>
      </w:r>
    </w:p>
    <w:p w14:paraId="335CE467" w14:textId="77777777" w:rsidR="00A37092" w:rsidRPr="00A37092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achieving the event’s objectives, while real-time financial monitoring enables ongoing</w:t>
      </w:r>
    </w:p>
    <w:p w14:paraId="185CD919" w14:textId="0DB30881" w:rsidR="00660F6F" w:rsidRDefault="00A37092" w:rsidP="00A37092">
      <w:pPr>
        <w:rPr>
          <w:rFonts w:ascii="Arial" w:hAnsi="Arial" w:cs="Arial"/>
        </w:rPr>
      </w:pPr>
      <w:r w:rsidRPr="00A37092">
        <w:rPr>
          <w:rFonts w:ascii="Arial" w:hAnsi="Arial" w:cs="Arial"/>
        </w:rPr>
        <w:t>budget adjustments in line with EMBOOK (2023) best practices.</w:t>
      </w:r>
    </w:p>
    <w:p w14:paraId="4803FC27" w14:textId="77777777" w:rsidR="001A6A8A" w:rsidRDefault="001A6A8A" w:rsidP="00A37092">
      <w:pPr>
        <w:rPr>
          <w:rFonts w:ascii="Arial" w:hAnsi="Arial" w:cs="Arial"/>
        </w:rPr>
      </w:pPr>
    </w:p>
    <w:p w14:paraId="1B587EAC" w14:textId="77777777" w:rsidR="00F311E1" w:rsidRDefault="00F311E1" w:rsidP="00113BE1">
      <w:pPr>
        <w:pStyle w:val="Heading1"/>
      </w:pPr>
    </w:p>
    <w:p w14:paraId="20772F33" w14:textId="2611FE60" w:rsidR="00113BE1" w:rsidRDefault="00113BE1" w:rsidP="00113BE1">
      <w:pPr>
        <w:pStyle w:val="Heading1"/>
      </w:pPr>
      <w:bookmarkStart w:id="21" w:name="_Toc191536127"/>
      <w:r w:rsidRPr="00113BE1">
        <w:t>Industry Trends, Issues and Impacts</w:t>
      </w:r>
      <w:bookmarkEnd w:id="21"/>
    </w:p>
    <w:p w14:paraId="5B44D132" w14:textId="77777777" w:rsidR="00113BE1" w:rsidRPr="00113BE1" w:rsidRDefault="00113BE1" w:rsidP="00113BE1"/>
    <w:p w14:paraId="175A860E" w14:textId="77777777" w:rsidR="00113BE1" w:rsidRPr="00113BE1" w:rsidRDefault="00113BE1" w:rsidP="00113BE1">
      <w:pPr>
        <w:pStyle w:val="Heading2"/>
      </w:pPr>
      <w:bookmarkStart w:id="22" w:name="_Toc191536128"/>
      <w:r w:rsidRPr="00113BE1">
        <w:t>Current Trends in the Culinary and Hospitality Industries</w:t>
      </w:r>
      <w:bookmarkEnd w:id="22"/>
    </w:p>
    <w:p w14:paraId="06D5885A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Recent developments in the culinary and hospitality sectors highlight significant</w:t>
      </w:r>
    </w:p>
    <w:p w14:paraId="48DCA030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shifts towards sustainability, digital transformation, and greater gender diversity.</w:t>
      </w:r>
    </w:p>
    <w:p w14:paraId="52FA33D1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Studies by Garcia-</w:t>
      </w:r>
      <w:proofErr w:type="spellStart"/>
      <w:r w:rsidRPr="00113BE1">
        <w:rPr>
          <w:rFonts w:ascii="Arial" w:hAnsi="Arial" w:cs="Arial"/>
        </w:rPr>
        <w:t>Henche</w:t>
      </w:r>
      <w:proofErr w:type="spellEnd"/>
      <w:r w:rsidRPr="00113BE1">
        <w:rPr>
          <w:rFonts w:ascii="Arial" w:hAnsi="Arial" w:cs="Arial"/>
        </w:rPr>
        <w:t xml:space="preserve"> and Cuesta-Valino (2022) and </w:t>
      </w:r>
      <w:proofErr w:type="spellStart"/>
      <w:r w:rsidRPr="00113BE1">
        <w:rPr>
          <w:rFonts w:ascii="Arial" w:hAnsi="Arial" w:cs="Arial"/>
        </w:rPr>
        <w:t>Türkmendağ</w:t>
      </w:r>
      <w:proofErr w:type="spellEnd"/>
      <w:r w:rsidRPr="00113BE1">
        <w:rPr>
          <w:rFonts w:ascii="Arial" w:hAnsi="Arial" w:cs="Arial"/>
        </w:rPr>
        <w:t xml:space="preserve"> and Karaman</w:t>
      </w:r>
    </w:p>
    <w:p w14:paraId="63A2C5B8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(2024) underscore that while the visibility of women in gastronomy is increasing,</w:t>
      </w:r>
    </w:p>
    <w:p w14:paraId="76881A27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structural barriers remain. The UK hospitality industry continues to grow, with</w:t>
      </w:r>
    </w:p>
    <w:p w14:paraId="5E60431A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projections indicating robust expansion in the coming years (Mordor Intelligence,</w:t>
      </w:r>
    </w:p>
    <w:p w14:paraId="2DFB1CE1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2022). These trends not only provide context for the event but also offer a framework</w:t>
      </w:r>
    </w:p>
    <w:p w14:paraId="158FB4D0" w14:textId="77777777" w:rsid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for aligning its objectives with industry dynamics.</w:t>
      </w:r>
    </w:p>
    <w:p w14:paraId="34CF9916" w14:textId="77777777" w:rsidR="00113BE1" w:rsidRPr="00113BE1" w:rsidRDefault="00113BE1" w:rsidP="00113BE1">
      <w:pPr>
        <w:rPr>
          <w:rFonts w:ascii="Arial" w:hAnsi="Arial" w:cs="Arial"/>
        </w:rPr>
      </w:pPr>
    </w:p>
    <w:p w14:paraId="45185792" w14:textId="77777777" w:rsidR="00113BE1" w:rsidRPr="00113BE1" w:rsidRDefault="00113BE1" w:rsidP="00113BE1">
      <w:pPr>
        <w:pStyle w:val="Heading2"/>
      </w:pPr>
      <w:bookmarkStart w:id="23" w:name="_Toc191536129"/>
      <w:r w:rsidRPr="00113BE1">
        <w:t>Issues and Impacts</w:t>
      </w:r>
      <w:bookmarkEnd w:id="23"/>
    </w:p>
    <w:p w14:paraId="51E444DE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Women chefs face numerous challenges, including limited access to leadership</w:t>
      </w:r>
    </w:p>
    <w:p w14:paraId="3D32E7C5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opportunities and systemic barriers to career advancement (Farrell, 2021; Hansford,</w:t>
      </w:r>
    </w:p>
    <w:p w14:paraId="64F2325A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2011). These issues have significant implications for innovation and diversity within</w:t>
      </w:r>
    </w:p>
    <w:p w14:paraId="3A8292F8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the culinary sector. “Culinary Queens 2025” is strategically designed to address</w:t>
      </w:r>
    </w:p>
    <w:p w14:paraId="3E4CF9A1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these concerns by providing mentorship, networking opportunities, and platforms for</w:t>
      </w:r>
    </w:p>
    <w:p w14:paraId="2A115E8C" w14:textId="77777777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>visibility that directly counteract the trends documented in academic and industry</w:t>
      </w:r>
    </w:p>
    <w:p w14:paraId="7764D827" w14:textId="53E33A34" w:rsidR="00113BE1" w:rsidRPr="00113BE1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 xml:space="preserve">research. Additionally, broader market </w:t>
      </w:r>
      <w:r w:rsidRPr="00113BE1">
        <w:rPr>
          <w:rFonts w:ascii="Arial" w:hAnsi="Arial" w:cs="Arial"/>
        </w:rPr>
        <w:t>dynamics</w:t>
      </w:r>
      <w:r>
        <w:rPr>
          <w:rFonts w:ascii="Arial" w:hAnsi="Arial" w:cs="Arial"/>
        </w:rPr>
        <w:t>, such</w:t>
      </w:r>
      <w:r w:rsidRPr="00113BE1">
        <w:rPr>
          <w:rFonts w:ascii="Arial" w:hAnsi="Arial" w:cs="Arial"/>
        </w:rPr>
        <w:t xml:space="preserve"> as economic fluctuations</w:t>
      </w:r>
    </w:p>
    <w:p w14:paraId="39340719" w14:textId="29DBD447" w:rsidR="001A6A8A" w:rsidRDefault="00113BE1" w:rsidP="00113BE1">
      <w:pPr>
        <w:rPr>
          <w:rFonts w:ascii="Arial" w:hAnsi="Arial" w:cs="Arial"/>
        </w:rPr>
      </w:pPr>
      <w:r w:rsidRPr="00113BE1">
        <w:rPr>
          <w:rFonts w:ascii="Arial" w:hAnsi="Arial" w:cs="Arial"/>
        </w:rPr>
        <w:t xml:space="preserve">and digital </w:t>
      </w:r>
      <w:r w:rsidRPr="00113BE1">
        <w:rPr>
          <w:rFonts w:ascii="Arial" w:hAnsi="Arial" w:cs="Arial"/>
        </w:rPr>
        <w:t>disruption</w:t>
      </w:r>
      <w:r>
        <w:rPr>
          <w:rFonts w:ascii="Arial" w:hAnsi="Arial" w:cs="Arial"/>
        </w:rPr>
        <w:t>, also</w:t>
      </w:r>
      <w:r w:rsidRPr="00113BE1">
        <w:rPr>
          <w:rFonts w:ascii="Arial" w:hAnsi="Arial" w:cs="Arial"/>
        </w:rPr>
        <w:t xml:space="preserve"> influence the event’s planning and execution.</w:t>
      </w:r>
    </w:p>
    <w:p w14:paraId="353DE3FC" w14:textId="77777777" w:rsidR="00F5501A" w:rsidRDefault="00F5501A" w:rsidP="00113BE1">
      <w:pPr>
        <w:rPr>
          <w:rFonts w:ascii="Arial" w:hAnsi="Arial" w:cs="Arial"/>
        </w:rPr>
      </w:pPr>
    </w:p>
    <w:p w14:paraId="56A55D8E" w14:textId="77777777" w:rsidR="00F5501A" w:rsidRDefault="00F5501A" w:rsidP="00113BE1">
      <w:pPr>
        <w:rPr>
          <w:rFonts w:ascii="Arial" w:hAnsi="Arial" w:cs="Arial"/>
        </w:rPr>
      </w:pPr>
    </w:p>
    <w:p w14:paraId="0A830B45" w14:textId="77777777" w:rsidR="00F5501A" w:rsidRDefault="00F5501A" w:rsidP="00113BE1">
      <w:pPr>
        <w:rPr>
          <w:rFonts w:ascii="Arial" w:hAnsi="Arial" w:cs="Arial"/>
        </w:rPr>
      </w:pPr>
    </w:p>
    <w:p w14:paraId="1360A6C6" w14:textId="77777777" w:rsidR="00F5501A" w:rsidRDefault="00F5501A" w:rsidP="00113BE1">
      <w:pPr>
        <w:rPr>
          <w:rFonts w:ascii="Arial" w:hAnsi="Arial" w:cs="Arial"/>
        </w:rPr>
      </w:pPr>
    </w:p>
    <w:p w14:paraId="30F9AA36" w14:textId="77777777" w:rsidR="00F5501A" w:rsidRDefault="00F5501A" w:rsidP="00113BE1">
      <w:pPr>
        <w:rPr>
          <w:rFonts w:ascii="Arial" w:hAnsi="Arial" w:cs="Arial"/>
        </w:rPr>
      </w:pPr>
    </w:p>
    <w:p w14:paraId="39BD03C5" w14:textId="1B21247A" w:rsidR="00F5501A" w:rsidRPr="00F5501A" w:rsidRDefault="00F5501A" w:rsidP="00F5501A">
      <w:pPr>
        <w:pStyle w:val="Heading1"/>
      </w:pPr>
      <w:bookmarkStart w:id="24" w:name="_Toc191536130"/>
      <w:r w:rsidRPr="00F5501A">
        <w:lastRenderedPageBreak/>
        <w:t>Situational and Cultural Considerations</w:t>
      </w:r>
      <w:bookmarkEnd w:id="24"/>
    </w:p>
    <w:p w14:paraId="234674C2" w14:textId="77777777" w:rsidR="00F5501A" w:rsidRPr="00F5501A" w:rsidRDefault="00F5501A" w:rsidP="00F5501A">
      <w:pPr>
        <w:pStyle w:val="Heading2"/>
      </w:pPr>
      <w:bookmarkStart w:id="25" w:name="_Toc191536131"/>
      <w:r w:rsidRPr="00F5501A">
        <w:t>SWOT Analysis</w:t>
      </w:r>
      <w:bookmarkEnd w:id="25"/>
    </w:p>
    <w:p w14:paraId="60FA084C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Conducting a SWOT analysis enables a clear understanding of the internal strengths</w:t>
      </w:r>
    </w:p>
    <w:p w14:paraId="731D32EF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and weaknesses of “Culinary Queens 2025,” as well as the external opportunities</w:t>
      </w:r>
    </w:p>
    <w:p w14:paraId="4237E72C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and threats.</w:t>
      </w:r>
    </w:p>
    <w:p w14:paraId="7D9A0092" w14:textId="77777777" w:rsidR="00FA5870" w:rsidRDefault="00FA5870" w:rsidP="00F5501A">
      <w:pPr>
        <w:rPr>
          <w:rFonts w:ascii="Arial" w:hAnsi="Arial" w:cs="Arial"/>
          <w:b/>
          <w:bCs/>
        </w:rPr>
      </w:pPr>
    </w:p>
    <w:p w14:paraId="75AC4FA2" w14:textId="0769B6E4" w:rsidR="00F5501A" w:rsidRPr="00F5501A" w:rsidRDefault="00F5501A" w:rsidP="00F5501A">
      <w:pPr>
        <w:rPr>
          <w:rFonts w:ascii="Arial" w:hAnsi="Arial" w:cs="Arial"/>
          <w:b/>
          <w:bCs/>
        </w:rPr>
      </w:pPr>
      <w:r w:rsidRPr="00F5501A">
        <w:rPr>
          <w:rFonts w:ascii="Arial" w:hAnsi="Arial" w:cs="Arial"/>
          <w:b/>
          <w:bCs/>
        </w:rPr>
        <w:t>Strengths</w:t>
      </w:r>
    </w:p>
    <w:p w14:paraId="6E77F315" w14:textId="60120548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High-Profile Speakers and Industry Experts: Engagement of renowned</w:t>
      </w:r>
    </w:p>
    <w:p w14:paraId="0AB568F0" w14:textId="3378440F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women chefs and academics enhances event credibility (Garcia-</w:t>
      </w:r>
      <w:proofErr w:type="spellStart"/>
      <w:r w:rsidRPr="00F5501A">
        <w:rPr>
          <w:rFonts w:ascii="Arial" w:hAnsi="Arial" w:cs="Arial"/>
        </w:rPr>
        <w:t>Henche</w:t>
      </w:r>
      <w:proofErr w:type="spellEnd"/>
      <w:r w:rsidRPr="00F5501A">
        <w:rPr>
          <w:rFonts w:ascii="Arial" w:hAnsi="Arial" w:cs="Arial"/>
        </w:rPr>
        <w:t xml:space="preserve"> &amp;</w:t>
      </w:r>
    </w:p>
    <w:p w14:paraId="6C877FD9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Cuesta-Valino, 2022).</w:t>
      </w:r>
    </w:p>
    <w:p w14:paraId="25409EAC" w14:textId="5441EEC2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Innovative Programme Design: A balanced mix of presentations,</w:t>
      </w:r>
    </w:p>
    <w:p w14:paraId="3B13E342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workshops, and live demonstrations offers comprehensive professional</w:t>
      </w:r>
    </w:p>
    <w:p w14:paraId="05022C5A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development.</w:t>
      </w:r>
    </w:p>
    <w:p w14:paraId="3F6C3636" w14:textId="7FF1954A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Strategic Location: London’s cultural diversity, excellent transport links</w:t>
      </w:r>
    </w:p>
    <w:p w14:paraId="35689454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(Transport for London, 2024), and culinary heritage create an ideal setting.</w:t>
      </w:r>
    </w:p>
    <w:p w14:paraId="080F24C6" w14:textId="5D2B3033" w:rsidR="00F5501A" w:rsidRPr="00F5501A" w:rsidRDefault="00F5501A" w:rsidP="00F5501A">
      <w:pPr>
        <w:rPr>
          <w:rFonts w:ascii="Arial" w:hAnsi="Arial" w:cs="Arial"/>
          <w:b/>
          <w:bCs/>
        </w:rPr>
      </w:pPr>
      <w:r w:rsidRPr="00F5501A">
        <w:rPr>
          <w:rFonts w:ascii="Arial" w:hAnsi="Arial" w:cs="Arial"/>
          <w:b/>
          <w:bCs/>
        </w:rPr>
        <w:t>Weaknesses</w:t>
      </w:r>
    </w:p>
    <w:p w14:paraId="211ACE11" w14:textId="51B132D8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High Operational Costs: Premium venues and logistical complexities in</w:t>
      </w:r>
    </w:p>
    <w:p w14:paraId="1C602F34" w14:textId="14A7E89A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 xml:space="preserve">London </w:t>
      </w:r>
      <w:r w:rsidRPr="00F5501A">
        <w:rPr>
          <w:rFonts w:ascii="Arial" w:hAnsi="Arial" w:cs="Arial"/>
        </w:rPr>
        <w:t>increases</w:t>
      </w:r>
      <w:r w:rsidRPr="00F5501A">
        <w:rPr>
          <w:rFonts w:ascii="Arial" w:hAnsi="Arial" w:cs="Arial"/>
        </w:rPr>
        <w:t xml:space="preserve"> expenses.</w:t>
      </w:r>
    </w:p>
    <w:p w14:paraId="30FFAD3E" w14:textId="1C2666D6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Logistical Challenges: Coordinating hybrid sessions and multiple concurrent</w:t>
      </w:r>
    </w:p>
    <w:p w14:paraId="5BA5E4B6" w14:textId="0F7554DF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 xml:space="preserve">activities </w:t>
      </w:r>
      <w:r w:rsidRPr="00F5501A">
        <w:rPr>
          <w:rFonts w:ascii="Arial" w:hAnsi="Arial" w:cs="Arial"/>
        </w:rPr>
        <w:t>demand</w:t>
      </w:r>
      <w:r w:rsidRPr="00F5501A">
        <w:rPr>
          <w:rFonts w:ascii="Arial" w:hAnsi="Arial" w:cs="Arial"/>
        </w:rPr>
        <w:t xml:space="preserve"> high levels of operational precision.</w:t>
      </w:r>
    </w:p>
    <w:p w14:paraId="0643F502" w14:textId="2551B316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Dependence on Sponsorship: Variability in sponsorship funds could impact</w:t>
      </w:r>
    </w:p>
    <w:p w14:paraId="781B0DDD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financial stability.</w:t>
      </w:r>
    </w:p>
    <w:p w14:paraId="40EFC3B5" w14:textId="746718DD" w:rsidR="00F5501A" w:rsidRPr="00F5501A" w:rsidRDefault="00F5501A" w:rsidP="00F5501A">
      <w:pPr>
        <w:rPr>
          <w:rFonts w:ascii="Arial" w:hAnsi="Arial" w:cs="Arial"/>
          <w:b/>
          <w:bCs/>
        </w:rPr>
      </w:pPr>
      <w:r w:rsidRPr="00F5501A">
        <w:rPr>
          <w:rFonts w:ascii="Arial" w:hAnsi="Arial" w:cs="Arial"/>
          <w:b/>
          <w:bCs/>
        </w:rPr>
        <w:t>Opportunities</w:t>
      </w:r>
    </w:p>
    <w:p w14:paraId="4933CA4C" w14:textId="396C3449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Growing Visibility of Women in Gastronomy: Rising public and media</w:t>
      </w:r>
    </w:p>
    <w:p w14:paraId="62E4B3C1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interest in the achievements of women chefs provides momentum (Garcia-</w:t>
      </w:r>
    </w:p>
    <w:p w14:paraId="7AD0CD66" w14:textId="77777777" w:rsidR="00F5501A" w:rsidRPr="00F5501A" w:rsidRDefault="00F5501A" w:rsidP="00F5501A">
      <w:pPr>
        <w:rPr>
          <w:rFonts w:ascii="Arial" w:hAnsi="Arial" w:cs="Arial"/>
        </w:rPr>
      </w:pPr>
      <w:proofErr w:type="spellStart"/>
      <w:r w:rsidRPr="00F5501A">
        <w:rPr>
          <w:rFonts w:ascii="Arial" w:hAnsi="Arial" w:cs="Arial"/>
        </w:rPr>
        <w:t>Henche</w:t>
      </w:r>
      <w:proofErr w:type="spellEnd"/>
      <w:r w:rsidRPr="00F5501A">
        <w:rPr>
          <w:rFonts w:ascii="Arial" w:hAnsi="Arial" w:cs="Arial"/>
        </w:rPr>
        <w:t xml:space="preserve"> &amp;amp; Cuesta-Valino, 2022).</w:t>
      </w:r>
    </w:p>
    <w:p w14:paraId="3764BD8A" w14:textId="3D532718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Expansion through Digital Platforms: Hybrid event formats can extend</w:t>
      </w:r>
    </w:p>
    <w:p w14:paraId="2EC817CC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reach and engagement.</w:t>
      </w:r>
    </w:p>
    <w:p w14:paraId="4D45BD95" w14:textId="4523E02E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lastRenderedPageBreak/>
        <w:t>Long-Term Partnerships: Opportunities exist for developing lasting industry</w:t>
      </w:r>
    </w:p>
    <w:p w14:paraId="0786DA1E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networks and mentorship programmes.</w:t>
      </w:r>
    </w:p>
    <w:p w14:paraId="5B6A7455" w14:textId="2345AA6F" w:rsidR="00F5501A" w:rsidRPr="00F5501A" w:rsidRDefault="00F5501A" w:rsidP="00F5501A">
      <w:pPr>
        <w:rPr>
          <w:rFonts w:ascii="Arial" w:hAnsi="Arial" w:cs="Arial"/>
          <w:b/>
          <w:bCs/>
        </w:rPr>
      </w:pPr>
      <w:r w:rsidRPr="00F5501A">
        <w:rPr>
          <w:rFonts w:ascii="Arial" w:hAnsi="Arial" w:cs="Arial"/>
          <w:b/>
          <w:bCs/>
        </w:rPr>
        <w:t>Threats</w:t>
      </w:r>
    </w:p>
    <w:p w14:paraId="1DFDCD01" w14:textId="45E2426E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Economic Uncertainty: Fluctuating market conditions may affect</w:t>
      </w:r>
    </w:p>
    <w:p w14:paraId="2CAE56F6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sponsorship and delegate spending.</w:t>
      </w:r>
    </w:p>
    <w:p w14:paraId="374AECAA" w14:textId="33521621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Competitive Landscape: Other high-profile culinary events may compete for</w:t>
      </w:r>
    </w:p>
    <w:p w14:paraId="506612AB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delegate attention.</w:t>
      </w:r>
    </w:p>
    <w:p w14:paraId="76E70CF3" w14:textId="012584B5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Unforeseen Disruptions: Technological issues or public health emergencies</w:t>
      </w:r>
    </w:p>
    <w:p w14:paraId="18E8B686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could impact event delivery.</w:t>
      </w:r>
    </w:p>
    <w:p w14:paraId="32AEEA0E" w14:textId="07938CE6" w:rsidR="00F5501A" w:rsidRDefault="00F5501A" w:rsidP="00F5501A">
      <w:pPr>
        <w:pStyle w:val="Heading2"/>
      </w:pPr>
      <w:bookmarkStart w:id="26" w:name="_Toc191536132"/>
      <w:r w:rsidRPr="00F5501A">
        <w:t>PEST</w:t>
      </w:r>
      <w:r w:rsidR="00BB10DE">
        <w:t>LE</w:t>
      </w:r>
      <w:r w:rsidRPr="00F5501A">
        <w:t xml:space="preserve"> Analysis</w:t>
      </w:r>
      <w:bookmarkEnd w:id="26"/>
    </w:p>
    <w:p w14:paraId="74E0CFF5" w14:textId="77777777" w:rsidR="00FA5870" w:rsidRDefault="00FA5870" w:rsidP="00FA5870"/>
    <w:p w14:paraId="05FA4C8B" w14:textId="20061964" w:rsidR="00982D88" w:rsidRDefault="00FA5870" w:rsidP="00F5501A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083C7A8" wp14:editId="3820FF38">
            <wp:extent cx="6506308" cy="3631263"/>
            <wp:effectExtent l="0" t="0" r="8890" b="7620"/>
            <wp:docPr id="1884489080" name="Picture 15" descr="A diagram of different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489080" name="Picture 15" descr="A diagram of different colored squares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5079" cy="364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82D88">
        <w:rPr>
          <w:rFonts w:ascii="Arial" w:hAnsi="Arial" w:cs="Arial"/>
        </w:rPr>
        <w:t xml:space="preserve">(Source: Adriana Balica) </w:t>
      </w:r>
    </w:p>
    <w:p w14:paraId="5D9DD70E" w14:textId="77777777" w:rsidR="00982D88" w:rsidRDefault="00982D88" w:rsidP="00F5501A">
      <w:pPr>
        <w:rPr>
          <w:rFonts w:ascii="Arial" w:hAnsi="Arial" w:cs="Arial"/>
        </w:rPr>
      </w:pPr>
    </w:p>
    <w:p w14:paraId="7B55D77A" w14:textId="20305F88" w:rsidR="00F5501A" w:rsidRPr="00F311E1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A PEST</w:t>
      </w:r>
      <w:r w:rsidR="00BB10DE">
        <w:rPr>
          <w:rFonts w:ascii="Arial" w:hAnsi="Arial" w:cs="Arial"/>
        </w:rPr>
        <w:t>LE</w:t>
      </w:r>
      <w:r w:rsidRPr="00F5501A">
        <w:rPr>
          <w:rFonts w:ascii="Arial" w:hAnsi="Arial" w:cs="Arial"/>
        </w:rPr>
        <w:t xml:space="preserve"> analysis further contextualises the event within the broader external</w:t>
      </w:r>
    </w:p>
    <w:p w14:paraId="27384C99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environment:</w:t>
      </w:r>
    </w:p>
    <w:p w14:paraId="35DF4500" w14:textId="479A7C91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Political: Supportive government policies on gender equality and cultural</w:t>
      </w:r>
    </w:p>
    <w:p w14:paraId="5166EC69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diversity enhance the event’s feasibility.</w:t>
      </w:r>
    </w:p>
    <w:p w14:paraId="7488690F" w14:textId="29464EBA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lastRenderedPageBreak/>
        <w:t>Economic: Despite potential headwinds, the robust UK hospitality sector and</w:t>
      </w:r>
    </w:p>
    <w:p w14:paraId="30335A63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favourable market forecasts (Mordor Intelligence, 2022) create opportunities.</w:t>
      </w:r>
    </w:p>
    <w:p w14:paraId="3D1F5E35" w14:textId="1D8693DB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Social: Growing societal awareness of gender disparities in the culinary field</w:t>
      </w:r>
    </w:p>
    <w:p w14:paraId="3B00C2A9" w14:textId="77777777" w:rsid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drives demand for such events.</w:t>
      </w:r>
    </w:p>
    <w:p w14:paraId="502B92DD" w14:textId="3CD1F6AD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Technological: Advances in digital engagement and hybrid event</w:t>
      </w:r>
    </w:p>
    <w:p w14:paraId="32AE0AF8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technologies facilitate broader accessibility.</w:t>
      </w:r>
    </w:p>
    <w:p w14:paraId="59E78809" w14:textId="3B9C520F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Environmental: Sustainable practices in food sourcing and waste</w:t>
      </w:r>
    </w:p>
    <w:p w14:paraId="225AA719" w14:textId="44E8E2D1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 xml:space="preserve">management </w:t>
      </w:r>
      <w:r w:rsidRPr="00F5501A">
        <w:rPr>
          <w:rFonts w:ascii="Arial" w:hAnsi="Arial" w:cs="Arial"/>
        </w:rPr>
        <w:t>is</w:t>
      </w:r>
      <w:r w:rsidRPr="00F5501A">
        <w:rPr>
          <w:rFonts w:ascii="Arial" w:hAnsi="Arial" w:cs="Arial"/>
        </w:rPr>
        <w:t xml:space="preserve"> increasingly prioritised in culinary events.</w:t>
      </w:r>
    </w:p>
    <w:p w14:paraId="6562305D" w14:textId="3233EBE4" w:rsidR="00F5501A" w:rsidRPr="00F5501A" w:rsidRDefault="00F5501A" w:rsidP="00F5501A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F5501A">
        <w:rPr>
          <w:rFonts w:ascii="Arial" w:hAnsi="Arial" w:cs="Arial"/>
        </w:rPr>
        <w:t>Legal: Compliance with health, safety, and data protection regulations is</w:t>
      </w:r>
    </w:p>
    <w:p w14:paraId="02E64398" w14:textId="77777777" w:rsid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ensured to mitigate risk.</w:t>
      </w:r>
    </w:p>
    <w:p w14:paraId="125F7165" w14:textId="77777777" w:rsidR="008E6041" w:rsidRPr="00F5501A" w:rsidRDefault="008E6041" w:rsidP="00F5501A">
      <w:pPr>
        <w:rPr>
          <w:rFonts w:ascii="Arial" w:hAnsi="Arial" w:cs="Arial"/>
        </w:rPr>
      </w:pPr>
    </w:p>
    <w:p w14:paraId="56BBCF98" w14:textId="77777777" w:rsidR="00F5501A" w:rsidRPr="008E6041" w:rsidRDefault="00F5501A" w:rsidP="00F5501A">
      <w:pPr>
        <w:rPr>
          <w:rFonts w:ascii="Arial" w:hAnsi="Arial" w:cs="Arial"/>
          <w:b/>
          <w:bCs/>
        </w:rPr>
      </w:pPr>
      <w:r w:rsidRPr="008E6041">
        <w:rPr>
          <w:rFonts w:ascii="Arial" w:hAnsi="Arial" w:cs="Arial"/>
          <w:b/>
          <w:bCs/>
        </w:rPr>
        <w:t>Cultural Considerations</w:t>
      </w:r>
    </w:p>
    <w:p w14:paraId="7E17EEF5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London’s multicultural fabric demands that the event is inclusive and culturally</w:t>
      </w:r>
    </w:p>
    <w:p w14:paraId="77371DB1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sensitive. Delegates from diverse backgrounds will be accommodated through</w:t>
      </w:r>
    </w:p>
    <w:p w14:paraId="187B16B3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measures such as varied dietary options, multilingual support, and accessible event</w:t>
      </w:r>
    </w:p>
    <w:p w14:paraId="45228D32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facilities. Furthermore, recognising the importance of social support systems</w:t>
      </w:r>
    </w:p>
    <w:p w14:paraId="598F8B88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(Hansford, 2011), specific sessions will be dedicated to discussing mentorship and</w:t>
      </w:r>
    </w:p>
    <w:p w14:paraId="72E8CE79" w14:textId="77777777" w:rsidR="00F5501A" w:rsidRP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networking strategies that address the unique challenges faced by women in the</w:t>
      </w:r>
    </w:p>
    <w:p w14:paraId="273F8140" w14:textId="6845F1A3" w:rsidR="00F5501A" w:rsidRDefault="00F5501A" w:rsidP="00F5501A">
      <w:pPr>
        <w:rPr>
          <w:rFonts w:ascii="Arial" w:hAnsi="Arial" w:cs="Arial"/>
        </w:rPr>
      </w:pPr>
      <w:r w:rsidRPr="00F5501A">
        <w:rPr>
          <w:rFonts w:ascii="Arial" w:hAnsi="Arial" w:cs="Arial"/>
        </w:rPr>
        <w:t>culinary industry.</w:t>
      </w:r>
    </w:p>
    <w:p w14:paraId="3E8F9E78" w14:textId="77777777" w:rsidR="002837A0" w:rsidRDefault="002837A0" w:rsidP="00F5501A">
      <w:pPr>
        <w:rPr>
          <w:rFonts w:ascii="Arial" w:hAnsi="Arial" w:cs="Arial"/>
        </w:rPr>
      </w:pPr>
    </w:p>
    <w:p w14:paraId="12E1B148" w14:textId="77777777" w:rsidR="002837A0" w:rsidRDefault="002837A0" w:rsidP="00F5501A">
      <w:pPr>
        <w:rPr>
          <w:rFonts w:ascii="Arial" w:hAnsi="Arial" w:cs="Arial"/>
        </w:rPr>
      </w:pPr>
    </w:p>
    <w:p w14:paraId="199FF875" w14:textId="77777777" w:rsidR="004C1D66" w:rsidRDefault="004C1D66" w:rsidP="007016F3">
      <w:pPr>
        <w:rPr>
          <w:rFonts w:ascii="Arial" w:hAnsi="Arial" w:cs="Arial"/>
        </w:rPr>
      </w:pPr>
    </w:p>
    <w:p w14:paraId="319EE17F" w14:textId="77777777" w:rsidR="004C1D66" w:rsidRDefault="004C1D66" w:rsidP="007016F3">
      <w:pPr>
        <w:rPr>
          <w:rFonts w:ascii="Arial" w:hAnsi="Arial" w:cs="Arial"/>
        </w:rPr>
      </w:pPr>
    </w:p>
    <w:p w14:paraId="500EC541" w14:textId="77777777" w:rsidR="004C1D66" w:rsidRDefault="004C1D66" w:rsidP="007016F3">
      <w:pPr>
        <w:rPr>
          <w:rFonts w:ascii="Arial" w:hAnsi="Arial" w:cs="Arial"/>
        </w:rPr>
      </w:pPr>
    </w:p>
    <w:p w14:paraId="0A2B82CD" w14:textId="77777777" w:rsidR="004C1D66" w:rsidRDefault="004C1D66" w:rsidP="007016F3">
      <w:pPr>
        <w:rPr>
          <w:rFonts w:ascii="Arial" w:hAnsi="Arial" w:cs="Arial"/>
        </w:rPr>
      </w:pPr>
    </w:p>
    <w:p w14:paraId="03C5BAEC" w14:textId="77777777" w:rsidR="004C1D66" w:rsidRDefault="004C1D66" w:rsidP="007016F3">
      <w:pPr>
        <w:rPr>
          <w:rFonts w:ascii="Arial" w:hAnsi="Arial" w:cs="Arial"/>
        </w:rPr>
      </w:pPr>
    </w:p>
    <w:p w14:paraId="52467B72" w14:textId="77777777" w:rsidR="004C1D66" w:rsidRDefault="004C1D66" w:rsidP="007016F3">
      <w:pPr>
        <w:rPr>
          <w:rFonts w:ascii="Arial" w:hAnsi="Arial" w:cs="Arial"/>
        </w:rPr>
      </w:pPr>
    </w:p>
    <w:p w14:paraId="50BAD113" w14:textId="77777777" w:rsidR="004C1D66" w:rsidRDefault="004C1D66" w:rsidP="007016F3">
      <w:pPr>
        <w:rPr>
          <w:rFonts w:ascii="Arial" w:hAnsi="Arial" w:cs="Arial"/>
        </w:rPr>
      </w:pPr>
    </w:p>
    <w:p w14:paraId="01C59364" w14:textId="77777777" w:rsidR="004C1D66" w:rsidRDefault="004C1D66" w:rsidP="007016F3">
      <w:pPr>
        <w:rPr>
          <w:rFonts w:ascii="Arial" w:hAnsi="Arial" w:cs="Arial"/>
        </w:rPr>
      </w:pPr>
    </w:p>
    <w:p w14:paraId="3303B72E" w14:textId="77777777" w:rsidR="004C1D66" w:rsidRPr="002837A0" w:rsidRDefault="004C1D66" w:rsidP="004C1D66">
      <w:pPr>
        <w:pStyle w:val="Heading1"/>
      </w:pPr>
      <w:bookmarkStart w:id="27" w:name="_Toc191536133"/>
      <w:r w:rsidRPr="002837A0">
        <w:lastRenderedPageBreak/>
        <w:t>Conclusio</w:t>
      </w:r>
      <w:r>
        <w:t>n</w:t>
      </w:r>
      <w:bookmarkEnd w:id="27"/>
      <w:r>
        <w:t xml:space="preserve"> </w:t>
      </w:r>
    </w:p>
    <w:p w14:paraId="7D380163" w14:textId="77777777" w:rsidR="004C1D66" w:rsidRDefault="004C1D66" w:rsidP="007016F3">
      <w:pPr>
        <w:rPr>
          <w:rFonts w:ascii="Arial" w:hAnsi="Arial" w:cs="Arial"/>
        </w:rPr>
      </w:pPr>
    </w:p>
    <w:p w14:paraId="00395879" w14:textId="77777777" w:rsidR="004C1D66" w:rsidRDefault="004C1D66" w:rsidP="007016F3">
      <w:pPr>
        <w:rPr>
          <w:rFonts w:ascii="Arial" w:hAnsi="Arial" w:cs="Arial"/>
        </w:rPr>
      </w:pPr>
    </w:p>
    <w:p w14:paraId="24DDB280" w14:textId="689A3D94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“Culinary Queens 2025: Empowering Women Chefs in the UK” stands as a pivotal</w:t>
      </w:r>
    </w:p>
    <w:p w14:paraId="68159CE8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initiative in the ongoing quest for gender equity within the culinary profession. By</w:t>
      </w:r>
    </w:p>
    <w:p w14:paraId="20316A44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leveraging the structured approaches of EMBOOK and The Event Cycle Theory, this</w:t>
      </w:r>
    </w:p>
    <w:p w14:paraId="22C68174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event has been meticulously planned—from conceptualisation to evaluation—to</w:t>
      </w:r>
    </w:p>
    <w:p w14:paraId="3461154F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ensure that it meets its ambitious aims. The event not only celebrates the</w:t>
      </w:r>
    </w:p>
    <w:p w14:paraId="0B7B4D32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achievements of women chefs but also provides actionable strategies to overcome</w:t>
      </w:r>
    </w:p>
    <w:p w14:paraId="144D344F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the systemic barriers that have long hindered their progress. Through</w:t>
      </w:r>
    </w:p>
    <w:p w14:paraId="70DC7690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comprehensive professional development sessions, targeted networking</w:t>
      </w:r>
    </w:p>
    <w:p w14:paraId="54BD7789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opportunities, and a robust support framework, “Culinary Queens 2025” promises to</w:t>
      </w:r>
    </w:p>
    <w:p w14:paraId="039F9B1D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transform the culinary landscape and set new benchmarks for industry excellence</w:t>
      </w:r>
    </w:p>
    <w:p w14:paraId="1D0E60EF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and inclusivity.</w:t>
      </w:r>
    </w:p>
    <w:p w14:paraId="4BA9698B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The integration of detailed operational management, innovative programme design,</w:t>
      </w:r>
    </w:p>
    <w:p w14:paraId="3D42E698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and rigorous budgetary controls ensures that the event is both feasible and</w:t>
      </w:r>
    </w:p>
    <w:p w14:paraId="4A951AAD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impactful. By aligning with current industry trends and addressing critical challenges</w:t>
      </w:r>
    </w:p>
    <w:p w14:paraId="552D474C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identified in academic literature, the event serves as a model for how strategic, well-</w:t>
      </w:r>
    </w:p>
    <w:p w14:paraId="45151064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managed initiatives can drive meaningful change in professional sectors. Ultimately,</w:t>
      </w:r>
    </w:p>
    <w:p w14:paraId="5422A7BD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“Culinary Queens 2025” is not only about empowering women chefs—it is about</w:t>
      </w:r>
    </w:p>
    <w:p w14:paraId="5089EE94" w14:textId="77777777" w:rsidR="007016F3" w:rsidRPr="002837A0" w:rsidRDefault="007016F3" w:rsidP="007016F3">
      <w:pPr>
        <w:rPr>
          <w:rFonts w:ascii="Arial" w:hAnsi="Arial" w:cs="Arial"/>
        </w:rPr>
      </w:pPr>
      <w:r w:rsidRPr="002837A0">
        <w:rPr>
          <w:rFonts w:ascii="Arial" w:hAnsi="Arial" w:cs="Arial"/>
        </w:rPr>
        <w:t>reshaping the future of the UK hospitality sector to be more diverse, innovative, and</w:t>
      </w:r>
    </w:p>
    <w:p w14:paraId="70A44AA9" w14:textId="2DA9380C" w:rsidR="004C1D66" w:rsidRPr="00534C4F" w:rsidRDefault="007016F3" w:rsidP="00534C4F">
      <w:pPr>
        <w:rPr>
          <w:rFonts w:ascii="Arial" w:hAnsi="Arial" w:cs="Arial"/>
        </w:rPr>
      </w:pPr>
      <w:r w:rsidRPr="002837A0">
        <w:rPr>
          <w:rFonts w:ascii="Arial" w:hAnsi="Arial" w:cs="Arial"/>
        </w:rPr>
        <w:t>equitable.</w:t>
      </w:r>
    </w:p>
    <w:p w14:paraId="1755EAA6" w14:textId="77777777" w:rsidR="004C1D66" w:rsidRDefault="004C1D66" w:rsidP="004C1D66"/>
    <w:p w14:paraId="6C4887E3" w14:textId="77777777" w:rsidR="00534C4F" w:rsidRDefault="00534C4F" w:rsidP="004C1D66"/>
    <w:p w14:paraId="3A653F03" w14:textId="77777777" w:rsidR="00534C4F" w:rsidRDefault="00534C4F" w:rsidP="004C1D66"/>
    <w:p w14:paraId="7FEA4AAD" w14:textId="77777777" w:rsidR="00534C4F" w:rsidRDefault="00534C4F" w:rsidP="004C1D66"/>
    <w:p w14:paraId="5C36600F" w14:textId="77777777" w:rsidR="00534C4F" w:rsidRDefault="00534C4F" w:rsidP="004C1D66"/>
    <w:p w14:paraId="59EC7144" w14:textId="77777777" w:rsidR="00534C4F" w:rsidRDefault="00534C4F" w:rsidP="004C1D66"/>
    <w:p w14:paraId="5B8EAD4F" w14:textId="77777777" w:rsidR="00534C4F" w:rsidRDefault="00534C4F" w:rsidP="00534C4F">
      <w:pPr>
        <w:pStyle w:val="Heading1"/>
      </w:pPr>
    </w:p>
    <w:p w14:paraId="6876EA9F" w14:textId="0A6BFABE" w:rsidR="00534C4F" w:rsidRDefault="00534C4F" w:rsidP="00534C4F">
      <w:pPr>
        <w:pStyle w:val="Heading1"/>
      </w:pPr>
      <w:bookmarkStart w:id="28" w:name="_Toc191536134"/>
      <w:r>
        <w:t>Reference list</w:t>
      </w:r>
      <w:bookmarkEnd w:id="28"/>
      <w:r>
        <w:t xml:space="preserve"> </w:t>
      </w:r>
    </w:p>
    <w:p w14:paraId="5620BD70" w14:textId="172BD9FC" w:rsidR="009E5EA7" w:rsidRPr="00511C7C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</w:pP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Albors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Garrigos, Jose, et al. “Gender Differences in the Evolution of Haute Cuisine </w:t>
      </w: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Chef´S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Career.”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Journal of Culinary Science &amp; Technology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18, no. 6, 8 July 2019, pp. 439–468, </w:t>
      </w:r>
      <w:hyperlink r:id="rId11" w:tgtFrame="_blank" w:history="1">
        <w:r w:rsidRPr="00511C7C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https://doi.org/10.1080/15428052.2019.1640156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4110606F" w14:textId="66F5B406" w:rsidR="009E5EA7" w:rsidRPr="00511C7C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Alborz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-Garrigos, Jose, et al. “Gender Discrimination in Haute Cuisine: A Systematic Literature and Media Analysis.”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International Journal of Hospitality Management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89, Aug. 2020, p. 102569, </w:t>
      </w:r>
      <w:hyperlink r:id="rId12" w:tgtFrame="_blank" w:history="1">
        <w:r w:rsidRPr="00511C7C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https://doi.org/10.1016/j.ijhm.2020.102569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2C5047A2" w14:textId="2C8CA9AB" w:rsidR="009E5EA7" w:rsidRPr="00511C7C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Beverly (Shih-Yun) Chen, and Alison McIntosh. “Experiences of “Doing Gender” and “Undoing Gender” in the Life Histories of Women Executive Chefs.”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Hospitality &amp; Society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13, no. 3, 1 Sept. 2023, pp. 201–220, </w:t>
      </w:r>
      <w:hyperlink r:id="rId13" w:tgtFrame="_blank" w:history="1">
        <w:r w:rsidRPr="00511C7C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https://doi.org/10.1386/hosp_00069_1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1ED8EC5E" w14:textId="5C537E3F" w:rsidR="009E5EA7" w:rsidRPr="00511C7C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Bourdain, Anthony.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 xml:space="preserve">Kitchen 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Confidential: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 xml:space="preserve"> Adventures in the Culinary Underbelly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. New 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York;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London;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Toronto, Harper Perennial, 2007.</w:t>
      </w:r>
    </w:p>
    <w:p w14:paraId="02F095D0" w14:textId="2D5AACDB" w:rsidR="009E5EA7" w:rsidRPr="00511C7C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Byrne, Roann. “An Investigative Analysis on Female Presence and Highly Ranked Positions in Professional Kitchens in Ireland.”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ARROW@TU Dublin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2022, </w:t>
      </w:r>
      <w:hyperlink r:id="rId14" w:tgtFrame="_blank" w:history="1">
        <w:r w:rsidRPr="00511C7C">
          <w:rPr>
            <w:rFonts w:ascii="Arial" w:eastAsia="Times New Roman" w:hAnsi="Arial" w:cs="Arial"/>
            <w:color w:val="1155CC"/>
            <w:kern w:val="0"/>
            <w:u w:val="single"/>
            <w:lang w:val="en-US" w:eastAsia="en-GB"/>
            <w14:ligatures w14:val="none"/>
          </w:rPr>
          <w:t>arrow.tudublin.ie/</w:t>
        </w:r>
        <w:proofErr w:type="spellStart"/>
        <w:r w:rsidRPr="00511C7C">
          <w:rPr>
            <w:rFonts w:ascii="Arial" w:eastAsia="Times New Roman" w:hAnsi="Arial" w:cs="Arial"/>
            <w:color w:val="1155CC"/>
            <w:kern w:val="0"/>
            <w:u w:val="single"/>
            <w:lang w:val="en-US" w:eastAsia="en-GB"/>
            <w14:ligatures w14:val="none"/>
          </w:rPr>
          <w:t>tfschcafdis</w:t>
        </w:r>
        <w:proofErr w:type="spellEnd"/>
        <w:r w:rsidRPr="00511C7C">
          <w:rPr>
            <w:rFonts w:ascii="Arial" w:eastAsia="Times New Roman" w:hAnsi="Arial" w:cs="Arial"/>
            <w:color w:val="1155CC"/>
            <w:kern w:val="0"/>
            <w:u w:val="single"/>
            <w:lang w:val="en-US" w:eastAsia="en-GB"/>
            <w14:ligatures w14:val="none"/>
          </w:rPr>
          <w:t>/18/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62B000DC" w14:textId="77777777" w:rsidR="009E5EA7" w:rsidRPr="00511C7C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Byun, </w:t>
      </w: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Jaemun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, and </w:t>
      </w: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SooCheong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(Shawn) Jang. “Open Kitchen vs Closed Kitchen.”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International Journal of Contemporary Hospitality Management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30, no. 5, 14 May 2018, pp. 2214–2229, </w:t>
      </w:r>
      <w:hyperlink r:id="rId15" w:tgtFrame="_blank" w:history="1">
        <w:r w:rsidRPr="00511C7C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https://doi.org/10.1108/ijchm-03-2016-0167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 Accessed 7 Nov. 2019.</w:t>
      </w:r>
    </w:p>
    <w:p w14:paraId="151DEFE3" w14:textId="77777777" w:rsidR="009E5EA7" w:rsidRPr="00511C7C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Chen, Beverly Shih-Yun, et al. “Media Images and the Gendered Representation of Chefs.”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Research in Hospitality Management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10, no. 1, 2020, pp. 1–6, </w:t>
      </w:r>
      <w:hyperlink r:id="rId16" w:tgtFrame="_blank" w:history="1">
        <w:r w:rsidRPr="00511C7C">
          <w:rPr>
            <w:rFonts w:ascii="Arial" w:eastAsia="Times New Roman" w:hAnsi="Arial" w:cs="Arial"/>
            <w:color w:val="1155CC"/>
            <w:kern w:val="0"/>
            <w:u w:val="single"/>
            <w:lang w:val="en-US" w:eastAsia="en-GB"/>
            <w14:ligatures w14:val="none"/>
          </w:rPr>
          <w:t>www.ajol.info/index.php/rhm/article/view/198058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1193B84C" w14:textId="77777777" w:rsidR="00511C7C" w:rsidRPr="00511C7C" w:rsidRDefault="00511C7C" w:rsidP="00511C7C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lastRenderedPageBreak/>
        <w:t>EMBOOK (2023) Event Management Essentials. London: EMBOOK Publishing.</w:t>
      </w:r>
    </w:p>
    <w:p w14:paraId="38889A87" w14:textId="67A3CA45" w:rsidR="009E5EA7" w:rsidRPr="00511C7C" w:rsidRDefault="009E5EA7" w:rsidP="00511C7C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Excel London. “Visitor Homepage - </w:t>
      </w: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ExCeL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London.” </w:t>
      </w:r>
      <w:proofErr w:type="spellStart"/>
      <w:proofErr w:type="gramStart"/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Www.excel.london</w:t>
      </w:r>
      <w:proofErr w:type="spellEnd"/>
      <w:proofErr w:type="gram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, 2024, </w:t>
      </w:r>
      <w:hyperlink r:id="rId17" w:history="1">
        <w:r w:rsidR="00DF7B4B" w:rsidRPr="00511C7C">
          <w:rPr>
            <w:rStyle w:val="Hyperlink"/>
            <w:rFonts w:ascii="Arial" w:eastAsia="Times New Roman" w:hAnsi="Arial" w:cs="Arial"/>
            <w:kern w:val="0"/>
            <w:lang w:val="en-US" w:eastAsia="en-GB"/>
            <w14:ligatures w14:val="none"/>
          </w:rPr>
          <w:t>www.excel.london/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65ADED77" w14:textId="77777777" w:rsidR="00DF7B4B" w:rsidRPr="00511C7C" w:rsidRDefault="00DF7B4B" w:rsidP="00DF7B4B">
      <w:pPr>
        <w:pStyle w:val="ListParagraph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6B9CF652" w14:textId="41D112C1" w:rsidR="009E5EA7" w:rsidRPr="00511C7C" w:rsidRDefault="009E5EA7" w:rsidP="00DF7B4B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Farrell, Mary. “A Critical Analysis of Gender Inequality in the Chef Profession in Ireland.”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Dissertations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17 Ma</w:t>
      </w:r>
      <w:r w:rsidR="00DF7B4B"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y</w:t>
      </w:r>
      <w:r w:rsidR="003C1239"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2021, </w:t>
      </w:r>
      <w:hyperlink r:id="rId18" w:tgtFrame="_blank" w:history="1">
        <w:r w:rsidRPr="00511C7C">
          <w:rPr>
            <w:rFonts w:ascii="Arial" w:eastAsia="Times New Roman" w:hAnsi="Arial" w:cs="Arial"/>
            <w:color w:val="1155CC"/>
            <w:kern w:val="0"/>
            <w:u w:val="single"/>
            <w:lang w:val="en-US" w:eastAsia="en-GB"/>
            <w14:ligatures w14:val="none"/>
          </w:rPr>
          <w:t>arrow.tudublin.ie/tfschcafdis/7/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 </w:t>
      </w:r>
      <w:hyperlink r:id="rId19" w:tgtFrame="_blank" w:history="1">
        <w:r w:rsidRPr="00511C7C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https://doi.org/10.21427/y2hb-ce27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 Accessed 26 Jan. 2024.</w:t>
      </w:r>
    </w:p>
    <w:p w14:paraId="046BBAED" w14:textId="77777777" w:rsidR="003C1239" w:rsidRPr="00511C7C" w:rsidRDefault="003C1239" w:rsidP="003C1239">
      <w:pPr>
        <w:pStyle w:val="ListParagraph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7FA29A5A" w14:textId="77777777" w:rsidR="009E5EA7" w:rsidRPr="00511C7C" w:rsidRDefault="009E5EA7" w:rsidP="003C1239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García-</w:t>
      </w: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Henche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Blanca, and Pedro Cuesta-</w:t>
      </w: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Valiño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 “The Increasing Visibility of Women in Gastronomy.”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International Journal of Gastronomy and Food Science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30, Dec. 2022, p. 100589, </w:t>
      </w:r>
      <w:hyperlink r:id="rId20" w:tgtFrame="_blank" w:history="1">
        <w:r w:rsidRPr="00511C7C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https://doi.org/10.1016/j.ijgfs.2022.100589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5F1447AE" w14:textId="77777777" w:rsidR="003C1239" w:rsidRPr="00511C7C" w:rsidRDefault="003C1239" w:rsidP="003C1239">
      <w:pPr>
        <w:pStyle w:val="ListParagraph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1C08648F" w14:textId="77777777" w:rsidR="009E5EA7" w:rsidRPr="00511C7C" w:rsidRDefault="009E5EA7" w:rsidP="003C1239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Getz, Donald, and Stephen J. Page.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Event Studies: Theory, Research and Policy for Planned Events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. Fourth Edition. | New </w:t>
      </w:r>
      <w:proofErr w:type="gram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York :</w:t>
      </w:r>
      <w:proofErr w:type="gram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Routledge, 2020. | Series: Events management series | “First edition published by Butterworth-Heinemann 2007. Third edition published by Routledge 2016”—</w:t>
      </w: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T.p.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verso., Routledge, 30 Oct. 2020.</w:t>
      </w:r>
    </w:p>
    <w:p w14:paraId="6A30AFF0" w14:textId="77777777" w:rsidR="003C1239" w:rsidRPr="00511C7C" w:rsidRDefault="003C1239" w:rsidP="003C1239">
      <w:pPr>
        <w:pStyle w:val="ListParagraph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09069127" w14:textId="77777777" w:rsidR="009E5EA7" w:rsidRPr="00511C7C" w:rsidRDefault="009E5EA7" w:rsidP="003C1239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proofErr w:type="spellStart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Haddaji</w:t>
      </w:r>
      <w:proofErr w:type="spellEnd"/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Majd, et al. “Women Chefs’ Access Barriers to Michelin Stars: A Case-Study Based Approach.”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Journal of Culinary Science &amp; Technology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15, no. 4, Mar. 2017, pp. 320–338, </w:t>
      </w:r>
      <w:hyperlink r:id="rId21" w:tgtFrame="_blank" w:history="1">
        <w:r w:rsidRPr="00511C7C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https://doi.org/10.1080/15428052.2017.1289133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26770D04" w14:textId="77777777" w:rsidR="00D57859" w:rsidRPr="00511C7C" w:rsidRDefault="00D57859" w:rsidP="00D57859">
      <w:pPr>
        <w:pStyle w:val="ListParagraph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5BFB386B" w14:textId="6CCC2878" w:rsidR="009E5EA7" w:rsidRPr="00511C7C" w:rsidRDefault="009E5EA7" w:rsidP="00D57859">
      <w:pPr>
        <w:pStyle w:val="ListParagraph"/>
        <w:numPr>
          <w:ilvl w:val="0"/>
          <w:numId w:val="8"/>
        </w:numPr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 “Women Professional Progress to Chef’s Position: Results of an International Survey.” </w:t>
      </w:r>
      <w:r w:rsidRPr="00511C7C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Journal of Culinary Science &amp; Technology</w:t>
      </w:r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29 Aug. 2017, pp. 1–18, </w:t>
      </w:r>
      <w:hyperlink r:id="rId22" w:tgtFrame="_blank" w:history="1">
        <w:r w:rsidRPr="00511C7C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https://doi.org/10.1080/15428052.2017.1363109</w:t>
        </w:r>
      </w:hyperlink>
      <w:r w:rsidRPr="00511C7C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 Accessed 26 Feb. 2022.</w:t>
      </w:r>
    </w:p>
    <w:p w14:paraId="06F281FE" w14:textId="77777777" w:rsidR="00D57859" w:rsidRPr="00511C7C" w:rsidRDefault="00D57859" w:rsidP="00D57859">
      <w:pPr>
        <w:pStyle w:val="ListParagraph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31578E15" w14:textId="77777777" w:rsidR="00D57859" w:rsidRPr="00511C7C" w:rsidRDefault="00D57859" w:rsidP="00D57859">
      <w:pPr>
        <w:pStyle w:val="ListParagraph"/>
        <w:shd w:val="clear" w:color="auto" w:fill="FFFFFF"/>
        <w:spacing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</w:p>
    <w:p w14:paraId="4FB04400" w14:textId="0243F568" w:rsidR="009E5EA7" w:rsidRPr="000733BA" w:rsidRDefault="009E5EA7" w:rsidP="000733BA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val="nl-NL" w:eastAsia="en-GB"/>
          <w14:ligatures w14:val="none"/>
        </w:rPr>
        <w:lastRenderedPageBreak/>
        <w:t xml:space="preserve">Handan Özçelik Bozkurt, et al. </w:t>
      </w: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“Women in the Gastronomy Arena: Gender-Based Experiences Encountered.” </w:t>
      </w:r>
      <w:r w:rsidRPr="000733BA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Food Bulletin</w:t>
      </w: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2, no. 2, 31 Dec. 2023, pp. 29–36, </w:t>
      </w:r>
      <w:hyperlink r:id="rId23" w:tgtFrame="_blank" w:history="1">
        <w:r w:rsidRPr="000733BA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https://doi.org/10.61326/foodb.v2i2.123</w:t>
        </w:r>
      </w:hyperlink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382D99C1" w14:textId="77777777" w:rsidR="009E5EA7" w:rsidRPr="000733BA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Hansford, Emily. “The Role of Social Support Systems in the Advancement of Professional Chefs.” </w:t>
      </w:r>
      <w:proofErr w:type="spellStart"/>
      <w:r w:rsidRPr="000733BA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ScholarWorks</w:t>
      </w:r>
      <w:proofErr w:type="spellEnd"/>
      <w:r w:rsidRPr="000733BA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 xml:space="preserve"> @ Georgia State University</w:t>
      </w: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2024, </w:t>
      </w:r>
      <w:hyperlink r:id="rId24" w:tgtFrame="_blank" w:history="1">
        <w:r w:rsidRPr="000733BA">
          <w:rPr>
            <w:rFonts w:ascii="Arial" w:eastAsia="Times New Roman" w:hAnsi="Arial" w:cs="Arial"/>
            <w:color w:val="1155CC"/>
            <w:kern w:val="0"/>
            <w:u w:val="single"/>
            <w:lang w:val="en-US" w:eastAsia="en-GB"/>
            <w14:ligatures w14:val="none"/>
          </w:rPr>
          <w:t>scholarworks.gsu.edu/anthro_theses/50/#</w:t>
        </w:r>
      </w:hyperlink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 </w:t>
      </w:r>
      <w:hyperlink r:id="rId25" w:tgtFrame="_blank" w:history="1">
        <w:r w:rsidRPr="000733BA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https://doi.org/10.57709/1957671</w:t>
        </w:r>
      </w:hyperlink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48704E37" w14:textId="77777777" w:rsidR="009E5EA7" w:rsidRPr="000733BA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Lashley, Conrad. </w:t>
      </w:r>
      <w:r w:rsidRPr="000733BA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Prejudice and Discrimination in Hotels, Restaurants and Bars</w:t>
      </w: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 </w:t>
      </w:r>
      <w:r w:rsidRPr="000733BA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 xml:space="preserve">Routledge </w:t>
      </w:r>
      <w:proofErr w:type="spellStart"/>
      <w:r w:rsidRPr="000733BA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EBooks</w:t>
      </w:r>
      <w:proofErr w:type="spellEnd"/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Informa, 26 Apr. 2022. Accessed 17 Oct. 2024.</w:t>
      </w:r>
    </w:p>
    <w:p w14:paraId="44E9F538" w14:textId="36E555DC" w:rsidR="00CB5CC0" w:rsidRPr="000733BA" w:rsidRDefault="00CB5CC0" w:rsidP="00CB5CC0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Miller, A. (2022) The Event Cycle Theory: From Conceptualisation to Evaluation</w:t>
      </w:r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</w:t>
      </w:r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London: Routledge.</w:t>
      </w:r>
    </w:p>
    <w:p w14:paraId="246C1620" w14:textId="2879FF1C" w:rsidR="00526226" w:rsidRPr="000733BA" w:rsidRDefault="00621506" w:rsidP="00A03D1E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Mordor Intelligence (2022) Hospitality Industry in the United Kingdom - </w:t>
      </w:r>
      <w:proofErr w:type="spellStart"/>
      <w:proofErr w:type="gramStart"/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Growth,Trends</w:t>
      </w:r>
      <w:proofErr w:type="spellEnd"/>
      <w:proofErr w:type="gramEnd"/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, and Forecasts (2020 - 2025). Available </w:t>
      </w:r>
      <w:r w:rsidR="00A03D1E"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at: https://www.mordorintelligence.com</w:t>
      </w:r>
    </w:p>
    <w:p w14:paraId="6BAE4AC1" w14:textId="0A5533F3" w:rsidR="008F6346" w:rsidRPr="000733BA" w:rsidRDefault="008F6346" w:rsidP="00511C7C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>National Statistics UK (2019) Chefs in London and the UK, 2009 to 2017. Available</w:t>
      </w:r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 </w:t>
      </w:r>
      <w:r w:rsidRPr="000733BA"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  <w:t xml:space="preserve">at: </w:t>
      </w:r>
      <w:hyperlink r:id="rId26" w:history="1">
        <w:r w:rsidRPr="000733BA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https://www.ons.gov.uk</w:t>
        </w:r>
      </w:hyperlink>
    </w:p>
    <w:p w14:paraId="0E7BC90B" w14:textId="77777777" w:rsidR="009E5EA7" w:rsidRPr="000733BA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Restaurant. “Just 6% of the World’s Top Restaurants Are Led by Women, Study Finds.” </w:t>
      </w:r>
      <w:hyperlink r:id="rId27" w:tgtFrame="_blank" w:history="1">
        <w:r w:rsidRPr="000733BA">
          <w:rPr>
            <w:rFonts w:ascii="Arial" w:eastAsia="Times New Roman" w:hAnsi="Arial" w:cs="Arial"/>
            <w:i/>
            <w:iCs/>
            <w:color w:val="1155CC"/>
            <w:kern w:val="0"/>
            <w:u w:val="single"/>
            <w:lang w:val="en-US" w:eastAsia="en-GB"/>
            <w14:ligatures w14:val="none"/>
          </w:rPr>
          <w:t>Restaurantonline.co.uk</w:t>
        </w:r>
      </w:hyperlink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20 July 2022, </w:t>
      </w:r>
      <w:hyperlink r:id="rId28" w:tgtFrame="_blank" w:history="1">
        <w:r w:rsidRPr="000733BA">
          <w:rPr>
            <w:rFonts w:ascii="Arial" w:eastAsia="Times New Roman" w:hAnsi="Arial" w:cs="Arial"/>
            <w:color w:val="1155CC"/>
            <w:kern w:val="0"/>
            <w:u w:val="single"/>
            <w:lang w:val="en-US" w:eastAsia="en-GB"/>
            <w14:ligatures w14:val="none"/>
          </w:rPr>
          <w:t>www.restaurantonline.co.uk/Article/2022/07/20/Just-6-of-the-world-s-top-restaurants-are-led-by-women-study-by-Chef-s-Pencil-shows/</w:t>
        </w:r>
      </w:hyperlink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3DDC5FE5" w14:textId="77777777" w:rsidR="009E5EA7" w:rsidRPr="000733BA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Transport for London. “Keeping London Moving.” </w:t>
      </w:r>
      <w:r w:rsidRPr="000733BA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Transport for London</w:t>
      </w: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2019, </w:t>
      </w:r>
      <w:hyperlink r:id="rId29" w:tgtFrame="_blank" w:history="1">
        <w:r w:rsidRPr="000733BA">
          <w:rPr>
            <w:rFonts w:ascii="Arial" w:eastAsia="Times New Roman" w:hAnsi="Arial" w:cs="Arial"/>
            <w:color w:val="1155CC"/>
            <w:kern w:val="0"/>
            <w:u w:val="single"/>
            <w:lang w:val="en-US" w:eastAsia="en-GB"/>
            <w14:ligatures w14:val="none"/>
          </w:rPr>
          <w:t>tfl.gov.uk/</w:t>
        </w:r>
      </w:hyperlink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4A57B72C" w14:textId="77777777" w:rsidR="009E5EA7" w:rsidRPr="000733BA" w:rsidRDefault="009E5EA7" w:rsidP="009E5EA7">
      <w:pPr>
        <w:pStyle w:val="ListParagraph"/>
        <w:numPr>
          <w:ilvl w:val="0"/>
          <w:numId w:val="8"/>
        </w:numPr>
        <w:shd w:val="clear" w:color="auto" w:fill="FFFFFF"/>
        <w:spacing w:after="0" w:line="480" w:lineRule="atLeast"/>
        <w:rPr>
          <w:rFonts w:ascii="Arial" w:eastAsia="Times New Roman" w:hAnsi="Arial" w:cs="Arial"/>
          <w:color w:val="222222"/>
          <w:kern w:val="0"/>
          <w:lang w:eastAsia="en-GB"/>
          <w14:ligatures w14:val="none"/>
        </w:rPr>
      </w:pP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 xml:space="preserve">Tuba </w:t>
      </w:r>
      <w:proofErr w:type="spellStart"/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Türkmendağ</w:t>
      </w:r>
      <w:proofErr w:type="spellEnd"/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and Nilgün Karaman. “Gender Inequality in the Culinary Profession in Tourism from the Perspective of University Students with Working Experiences in Culinary.” </w:t>
      </w:r>
      <w:r w:rsidRPr="000733BA">
        <w:rPr>
          <w:rFonts w:ascii="Arial" w:eastAsia="Times New Roman" w:hAnsi="Arial" w:cs="Arial"/>
          <w:i/>
          <w:iCs/>
          <w:color w:val="222222"/>
          <w:kern w:val="0"/>
          <w:lang w:val="en-US" w:eastAsia="en-GB"/>
          <w14:ligatures w14:val="none"/>
        </w:rPr>
        <w:t>Frontiers in Sociology</w:t>
      </w:r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, vol. 9, 14 Feb. 2024, </w:t>
      </w:r>
      <w:hyperlink r:id="rId30" w:tgtFrame="_blank" w:history="1">
        <w:r w:rsidRPr="000733BA">
          <w:rPr>
            <w:rFonts w:ascii="Arial" w:eastAsia="Times New Roman" w:hAnsi="Arial" w:cs="Arial"/>
            <w:color w:val="0000FF"/>
            <w:kern w:val="0"/>
            <w:u w:val="single"/>
            <w:lang w:val="en-US" w:eastAsia="en-GB"/>
            <w14:ligatures w14:val="none"/>
          </w:rPr>
          <w:t>https://doi.org/10.3389/fsoc.2024.1323096</w:t>
        </w:r>
      </w:hyperlink>
      <w:r w:rsidRPr="000733BA">
        <w:rPr>
          <w:rFonts w:ascii="Arial" w:eastAsia="Times New Roman" w:hAnsi="Arial" w:cs="Arial"/>
          <w:color w:val="222222"/>
          <w:kern w:val="0"/>
          <w:lang w:val="en-US" w:eastAsia="en-GB"/>
          <w14:ligatures w14:val="none"/>
        </w:rPr>
        <w:t>.</w:t>
      </w:r>
    </w:p>
    <w:p w14:paraId="1C350562" w14:textId="221AEACD" w:rsidR="00534C4F" w:rsidRPr="000733BA" w:rsidRDefault="00534C4F" w:rsidP="00534C4F">
      <w:pPr>
        <w:rPr>
          <w:rFonts w:ascii="Arial" w:hAnsi="Arial" w:cs="Arial"/>
        </w:rPr>
      </w:pPr>
    </w:p>
    <w:p w14:paraId="33444092" w14:textId="77777777" w:rsidR="00534C4F" w:rsidRPr="000733BA" w:rsidRDefault="00534C4F" w:rsidP="004C1D66">
      <w:pPr>
        <w:rPr>
          <w:rFonts w:ascii="Arial" w:hAnsi="Arial" w:cs="Arial"/>
        </w:rPr>
      </w:pPr>
    </w:p>
    <w:p w14:paraId="18C3FD10" w14:textId="145E9F04" w:rsidR="00391E15" w:rsidRDefault="00552688" w:rsidP="002837A0">
      <w:pPr>
        <w:pStyle w:val="Heading1"/>
      </w:pPr>
      <w:bookmarkStart w:id="29" w:name="_Toc191536135"/>
      <w:r>
        <w:lastRenderedPageBreak/>
        <w:t>Appendix</w:t>
      </w:r>
      <w:bookmarkEnd w:id="29"/>
    </w:p>
    <w:p w14:paraId="28CF7D22" w14:textId="77777777" w:rsidR="00552688" w:rsidRDefault="00552688" w:rsidP="00552688"/>
    <w:p w14:paraId="4E89B5E1" w14:textId="43AF0D5D" w:rsidR="008D56A2" w:rsidRDefault="004E247B" w:rsidP="00552688">
      <w:r>
        <w:rPr>
          <w:noProof/>
        </w:rPr>
        <w:drawing>
          <wp:inline distT="0" distB="0" distL="0" distR="0" wp14:anchorId="2DA07A75" wp14:editId="68607EAE">
            <wp:extent cx="5731402" cy="4313995"/>
            <wp:effectExtent l="0" t="0" r="3175" b="0"/>
            <wp:docPr id="1823877340" name="Picture 16" descr="A logo with a crown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877340" name="Picture 16" descr="A logo with a crown and tex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9277" cy="4319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509AA" w14:textId="1964D3F4" w:rsidR="004E247B" w:rsidRDefault="004E247B" w:rsidP="00552688">
      <w:r>
        <w:t>(source: canva.com)</w:t>
      </w:r>
    </w:p>
    <w:p w14:paraId="76A797A9" w14:textId="77777777" w:rsidR="004E247B" w:rsidRDefault="004E247B" w:rsidP="00552688"/>
    <w:p w14:paraId="358F3409" w14:textId="2ACAAA9C" w:rsidR="004E247B" w:rsidRDefault="004E247B" w:rsidP="00552688">
      <w:r>
        <w:rPr>
          <w:noProof/>
        </w:rPr>
        <w:lastRenderedPageBreak/>
        <w:drawing>
          <wp:inline distT="0" distB="0" distL="0" distR="0" wp14:anchorId="2180A281" wp14:editId="4AAE3356">
            <wp:extent cx="5731098" cy="3739662"/>
            <wp:effectExtent l="0" t="0" r="3175" b="0"/>
            <wp:docPr id="430587180" name="Picture 17" descr="A diagram of different colore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587180" name="Picture 17" descr="A diagram of different colored squares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8402" cy="3744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(source: Adriana Balica)</w:t>
      </w:r>
    </w:p>
    <w:p w14:paraId="66FCD9F5" w14:textId="77777777" w:rsidR="004E247B" w:rsidRDefault="004E247B" w:rsidP="00552688"/>
    <w:p w14:paraId="4AA55A79" w14:textId="77777777" w:rsidR="004E247B" w:rsidRDefault="004E247B" w:rsidP="00552688"/>
    <w:p w14:paraId="6333A572" w14:textId="06DF0301" w:rsidR="004E247B" w:rsidRDefault="004E247B" w:rsidP="00552688">
      <w:r>
        <w:rPr>
          <w:noProof/>
        </w:rPr>
        <w:drawing>
          <wp:inline distT="0" distB="0" distL="0" distR="0" wp14:anchorId="3482E886" wp14:editId="68F967B5">
            <wp:extent cx="5731510" cy="3625215"/>
            <wp:effectExtent l="0" t="0" r="2540" b="0"/>
            <wp:docPr id="1183155939" name="Picture 18" descr="A pie chart with numbers and tex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155939" name="Picture 18" descr="A pie chart with numbers and text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5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0306D0" w14:textId="7DCC20BF" w:rsidR="004E247B" w:rsidRDefault="007F7252" w:rsidP="00552688">
      <w:r>
        <w:t>(source: Adriana Balica)</w:t>
      </w:r>
    </w:p>
    <w:p w14:paraId="25A061A5" w14:textId="77777777" w:rsidR="004E247B" w:rsidRPr="00552688" w:rsidRDefault="004E247B" w:rsidP="00552688"/>
    <w:p w14:paraId="15BACE20" w14:textId="77777777" w:rsidR="00391E15" w:rsidRDefault="00391E15" w:rsidP="002837A0">
      <w:pPr>
        <w:pStyle w:val="Heading1"/>
      </w:pPr>
    </w:p>
    <w:p w14:paraId="48D13D5B" w14:textId="77777777" w:rsidR="007016F3" w:rsidRDefault="007016F3" w:rsidP="002837A0">
      <w:pPr>
        <w:pStyle w:val="Heading1"/>
      </w:pPr>
    </w:p>
    <w:p w14:paraId="6BB44898" w14:textId="77777777" w:rsidR="00175D90" w:rsidRDefault="00175D90" w:rsidP="000C6119">
      <w:pPr>
        <w:pStyle w:val="Heading1"/>
      </w:pPr>
    </w:p>
    <w:p w14:paraId="23308F79" w14:textId="77777777" w:rsidR="00175D90" w:rsidRDefault="00175D90" w:rsidP="000C6119">
      <w:pPr>
        <w:pStyle w:val="Heading1"/>
      </w:pPr>
    </w:p>
    <w:p w14:paraId="38007533" w14:textId="77777777" w:rsidR="00175D90" w:rsidRDefault="00175D90" w:rsidP="000C6119">
      <w:pPr>
        <w:pStyle w:val="Heading1"/>
      </w:pPr>
    </w:p>
    <w:p w14:paraId="149EDA9A" w14:textId="77777777" w:rsidR="00175D90" w:rsidRDefault="00175D90" w:rsidP="000C6119">
      <w:pPr>
        <w:pStyle w:val="Heading1"/>
      </w:pPr>
    </w:p>
    <w:p w14:paraId="00EBF736" w14:textId="77777777" w:rsidR="00175D90" w:rsidRDefault="00175D90" w:rsidP="00175D90"/>
    <w:p w14:paraId="4003F105" w14:textId="77777777" w:rsidR="00175D90" w:rsidRDefault="00175D90" w:rsidP="00175D90"/>
    <w:p w14:paraId="17C62E66" w14:textId="77777777" w:rsidR="00175D90" w:rsidRPr="004C1D66" w:rsidRDefault="00175D90" w:rsidP="004C1D66">
      <w:pPr>
        <w:rPr>
          <w:rFonts w:ascii="Arial" w:hAnsi="Arial" w:cs="Arial"/>
        </w:rPr>
      </w:pPr>
    </w:p>
    <w:p w14:paraId="6FC90194" w14:textId="77777777" w:rsidR="00175D90" w:rsidRPr="00175D90" w:rsidRDefault="00175D90" w:rsidP="00175D90"/>
    <w:sectPr w:rsidR="00175D90" w:rsidRPr="00175D90" w:rsidSect="009D65F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54CEF2" w14:textId="77777777" w:rsidR="004B0162" w:rsidRDefault="004B0162" w:rsidP="000C6119">
      <w:pPr>
        <w:spacing w:after="0" w:line="240" w:lineRule="auto"/>
      </w:pPr>
      <w:r>
        <w:separator/>
      </w:r>
    </w:p>
  </w:endnote>
  <w:endnote w:type="continuationSeparator" w:id="0">
    <w:p w14:paraId="615F1DBA" w14:textId="77777777" w:rsidR="004B0162" w:rsidRDefault="004B0162" w:rsidP="000C61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CF23F5" w14:textId="77777777" w:rsidR="004B0162" w:rsidRDefault="004B0162" w:rsidP="000C6119">
      <w:pPr>
        <w:spacing w:after="0" w:line="240" w:lineRule="auto"/>
      </w:pPr>
      <w:r>
        <w:separator/>
      </w:r>
    </w:p>
  </w:footnote>
  <w:footnote w:type="continuationSeparator" w:id="0">
    <w:p w14:paraId="68135A93" w14:textId="77777777" w:rsidR="004B0162" w:rsidRDefault="004B0162" w:rsidP="000C61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864FBC"/>
    <w:multiLevelType w:val="hybridMultilevel"/>
    <w:tmpl w:val="3F7265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F86BA0"/>
    <w:multiLevelType w:val="hybridMultilevel"/>
    <w:tmpl w:val="F4C03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2C5E94"/>
    <w:multiLevelType w:val="hybridMultilevel"/>
    <w:tmpl w:val="4468CD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1676A8"/>
    <w:multiLevelType w:val="hybridMultilevel"/>
    <w:tmpl w:val="E9B0A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4101D8"/>
    <w:multiLevelType w:val="hybridMultilevel"/>
    <w:tmpl w:val="B6521C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4C6986"/>
    <w:multiLevelType w:val="hybridMultilevel"/>
    <w:tmpl w:val="3C305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F6484F"/>
    <w:multiLevelType w:val="hybridMultilevel"/>
    <w:tmpl w:val="7E0E75FE"/>
    <w:lvl w:ilvl="0" w:tplc="95E042A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B9422E"/>
    <w:multiLevelType w:val="hybridMultilevel"/>
    <w:tmpl w:val="E14CA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7497661">
    <w:abstractNumId w:val="7"/>
  </w:num>
  <w:num w:numId="2" w16cid:durableId="1175727541">
    <w:abstractNumId w:val="1"/>
  </w:num>
  <w:num w:numId="3" w16cid:durableId="112288445">
    <w:abstractNumId w:val="0"/>
  </w:num>
  <w:num w:numId="4" w16cid:durableId="923299833">
    <w:abstractNumId w:val="5"/>
  </w:num>
  <w:num w:numId="5" w16cid:durableId="1365716653">
    <w:abstractNumId w:val="4"/>
  </w:num>
  <w:num w:numId="6" w16cid:durableId="777259250">
    <w:abstractNumId w:val="3"/>
  </w:num>
  <w:num w:numId="7" w16cid:durableId="1241789120">
    <w:abstractNumId w:val="2"/>
  </w:num>
  <w:num w:numId="8" w16cid:durableId="88086954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65F8"/>
    <w:rsid w:val="00066CBA"/>
    <w:rsid w:val="0007205E"/>
    <w:rsid w:val="000733BA"/>
    <w:rsid w:val="00083607"/>
    <w:rsid w:val="00092858"/>
    <w:rsid w:val="000C6119"/>
    <w:rsid w:val="00113BE1"/>
    <w:rsid w:val="001305C4"/>
    <w:rsid w:val="001577E0"/>
    <w:rsid w:val="00173480"/>
    <w:rsid w:val="00175D90"/>
    <w:rsid w:val="0018167C"/>
    <w:rsid w:val="001868E9"/>
    <w:rsid w:val="001A0D67"/>
    <w:rsid w:val="001A6A8A"/>
    <w:rsid w:val="001F46EB"/>
    <w:rsid w:val="001F582A"/>
    <w:rsid w:val="00261DAF"/>
    <w:rsid w:val="002837A0"/>
    <w:rsid w:val="00286C29"/>
    <w:rsid w:val="00293CBA"/>
    <w:rsid w:val="002A6CE1"/>
    <w:rsid w:val="002D3CA5"/>
    <w:rsid w:val="002D46C6"/>
    <w:rsid w:val="002E3F90"/>
    <w:rsid w:val="002F7022"/>
    <w:rsid w:val="00325B50"/>
    <w:rsid w:val="003402A7"/>
    <w:rsid w:val="003446A9"/>
    <w:rsid w:val="00391E15"/>
    <w:rsid w:val="003B0765"/>
    <w:rsid w:val="003C1239"/>
    <w:rsid w:val="004074DD"/>
    <w:rsid w:val="004B0162"/>
    <w:rsid w:val="004C1D66"/>
    <w:rsid w:val="004E247B"/>
    <w:rsid w:val="004F3782"/>
    <w:rsid w:val="00511C7C"/>
    <w:rsid w:val="0051236F"/>
    <w:rsid w:val="00520514"/>
    <w:rsid w:val="00526226"/>
    <w:rsid w:val="00534C4F"/>
    <w:rsid w:val="00552688"/>
    <w:rsid w:val="0056621E"/>
    <w:rsid w:val="005A7CE0"/>
    <w:rsid w:val="005C3C8E"/>
    <w:rsid w:val="00604100"/>
    <w:rsid w:val="00621506"/>
    <w:rsid w:val="00636567"/>
    <w:rsid w:val="00654694"/>
    <w:rsid w:val="00660F6F"/>
    <w:rsid w:val="006F60FC"/>
    <w:rsid w:val="007016F3"/>
    <w:rsid w:val="00703C9C"/>
    <w:rsid w:val="007071B0"/>
    <w:rsid w:val="007205BE"/>
    <w:rsid w:val="007C00FA"/>
    <w:rsid w:val="007C0AD5"/>
    <w:rsid w:val="007C370D"/>
    <w:rsid w:val="007D2725"/>
    <w:rsid w:val="007F7252"/>
    <w:rsid w:val="00804DAD"/>
    <w:rsid w:val="0081127F"/>
    <w:rsid w:val="00884E8A"/>
    <w:rsid w:val="008B5150"/>
    <w:rsid w:val="008C791B"/>
    <w:rsid w:val="008D56A2"/>
    <w:rsid w:val="008D6A40"/>
    <w:rsid w:val="008E46F8"/>
    <w:rsid w:val="008E6041"/>
    <w:rsid w:val="008F07B2"/>
    <w:rsid w:val="008F6346"/>
    <w:rsid w:val="00950994"/>
    <w:rsid w:val="00982D88"/>
    <w:rsid w:val="009845E1"/>
    <w:rsid w:val="00995346"/>
    <w:rsid w:val="009D0226"/>
    <w:rsid w:val="009D65F8"/>
    <w:rsid w:val="009E43F2"/>
    <w:rsid w:val="009E5EA7"/>
    <w:rsid w:val="00A03D1E"/>
    <w:rsid w:val="00A06F4C"/>
    <w:rsid w:val="00A34587"/>
    <w:rsid w:val="00A35D67"/>
    <w:rsid w:val="00A37092"/>
    <w:rsid w:val="00A40927"/>
    <w:rsid w:val="00A705D5"/>
    <w:rsid w:val="00A748F4"/>
    <w:rsid w:val="00AF35A8"/>
    <w:rsid w:val="00B7422E"/>
    <w:rsid w:val="00B91B65"/>
    <w:rsid w:val="00BB10DE"/>
    <w:rsid w:val="00BC33E9"/>
    <w:rsid w:val="00BE2932"/>
    <w:rsid w:val="00C03546"/>
    <w:rsid w:val="00C11910"/>
    <w:rsid w:val="00C43CFA"/>
    <w:rsid w:val="00C90182"/>
    <w:rsid w:val="00CB5CC0"/>
    <w:rsid w:val="00CB642A"/>
    <w:rsid w:val="00CF13F3"/>
    <w:rsid w:val="00D37EBC"/>
    <w:rsid w:val="00D57859"/>
    <w:rsid w:val="00DF7B4B"/>
    <w:rsid w:val="00E11F33"/>
    <w:rsid w:val="00E65BCF"/>
    <w:rsid w:val="00F04A6F"/>
    <w:rsid w:val="00F2027D"/>
    <w:rsid w:val="00F311E1"/>
    <w:rsid w:val="00F31345"/>
    <w:rsid w:val="00F5501A"/>
    <w:rsid w:val="00F60583"/>
    <w:rsid w:val="00F74DA1"/>
    <w:rsid w:val="00F76BF0"/>
    <w:rsid w:val="00F879DD"/>
    <w:rsid w:val="00F927A3"/>
    <w:rsid w:val="00FA5870"/>
    <w:rsid w:val="00FF6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01F9A6"/>
  <w15:chartTrackingRefBased/>
  <w15:docId w15:val="{67632151-6172-4D74-91E8-518EFA793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65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D65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65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65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65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65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65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65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65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65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D65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65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65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65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65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65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65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65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65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65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65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65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65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65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65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65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65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65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65F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D65F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D65F8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61DAF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04A6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04A6F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2D3CA5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0C61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119"/>
  </w:style>
  <w:style w:type="paragraph" w:styleId="Footer">
    <w:name w:val="footer"/>
    <w:basedOn w:val="Normal"/>
    <w:link w:val="FooterChar"/>
    <w:uiPriority w:val="99"/>
    <w:unhideWhenUsed/>
    <w:rsid w:val="000C61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119"/>
  </w:style>
  <w:style w:type="character" w:styleId="UnresolvedMention">
    <w:name w:val="Unresolved Mention"/>
    <w:basedOn w:val="DefaultParagraphFont"/>
    <w:uiPriority w:val="99"/>
    <w:semiHidden/>
    <w:unhideWhenUsed/>
    <w:rsid w:val="00DF7B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963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33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005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732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426590">
                      <w:marLeft w:val="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83839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6690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386/hosp_00069_1" TargetMode="External"/><Relationship Id="rId18" Type="http://schemas.openxmlformats.org/officeDocument/2006/relationships/hyperlink" Target="http://arrow.tudublin.ie/tfschcafdis/7/" TargetMode="External"/><Relationship Id="rId26" Type="http://schemas.openxmlformats.org/officeDocument/2006/relationships/hyperlink" Target="https://www.ons.gov.uk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080/15428052.2017.1289133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oi.org/10.1016/j.ijhm.2020.102569" TargetMode="External"/><Relationship Id="rId17" Type="http://schemas.openxmlformats.org/officeDocument/2006/relationships/hyperlink" Target="http://www.excel.london/" TargetMode="External"/><Relationship Id="rId25" Type="http://schemas.openxmlformats.org/officeDocument/2006/relationships/hyperlink" Target="https://doi.org/10.57709/195767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ajol.info/index.php/rhm/article/view/198058" TargetMode="External"/><Relationship Id="rId20" Type="http://schemas.openxmlformats.org/officeDocument/2006/relationships/hyperlink" Target="https://doi.org/10.1016/j.ijgfs.2022.100589" TargetMode="External"/><Relationship Id="rId29" Type="http://schemas.openxmlformats.org/officeDocument/2006/relationships/hyperlink" Target="http://tfl.gov.uk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80/15428052.2019.1640156" TargetMode="External"/><Relationship Id="rId24" Type="http://schemas.openxmlformats.org/officeDocument/2006/relationships/hyperlink" Target="http://scholarworks.gsu.edu/anthro_theses/50/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08/ijchm-03-2016-0167" TargetMode="External"/><Relationship Id="rId23" Type="http://schemas.openxmlformats.org/officeDocument/2006/relationships/hyperlink" Target="https://doi.org/10.61326/foodb.v2i2.123" TargetMode="External"/><Relationship Id="rId28" Type="http://schemas.openxmlformats.org/officeDocument/2006/relationships/hyperlink" Target="http://www.restaurantonline.co.uk/Article/2022/07/20/Just-6-of-the-world-s-top-restaurants-are-led-by-women-study-by-Chef-s-Pencil-shows/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doi.org/10.21427/y2hb-ce27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://arrow.tudublin.ie/tfschcafdis/18/" TargetMode="External"/><Relationship Id="rId22" Type="http://schemas.openxmlformats.org/officeDocument/2006/relationships/hyperlink" Target="https://doi.org/10.1080/15428052.2017.1363109" TargetMode="External"/><Relationship Id="rId27" Type="http://schemas.openxmlformats.org/officeDocument/2006/relationships/hyperlink" Target="http://restaurantonline.co.uk/" TargetMode="External"/><Relationship Id="rId30" Type="http://schemas.openxmlformats.org/officeDocument/2006/relationships/hyperlink" Target="https://doi.org/10.3389/fsoc.2024.132309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E9764A3-A8FD-4374-B2C6-C0BDAAF8AB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5697</TotalTime>
  <Pages>25</Pages>
  <Words>4565</Words>
  <Characters>26024</Characters>
  <Application>Microsoft Office Word</Application>
  <DocSecurity>0</DocSecurity>
  <Lines>216</Lines>
  <Paragraphs>61</Paragraphs>
  <ScaleCrop>false</ScaleCrop>
  <Company/>
  <LinksUpToDate>false</LinksUpToDate>
  <CharactersWithSpaces>30528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clinary queens</dc:title>
  <dc:subject/>
  <dc:creator>adriana balica</dc:creator>
  <cp:keywords/>
  <dc:description/>
  <cp:lastModifiedBy>adriana balica</cp:lastModifiedBy>
  <cp:revision>115</cp:revision>
  <dcterms:created xsi:type="dcterms:W3CDTF">2025-02-11T10:01:00Z</dcterms:created>
  <dcterms:modified xsi:type="dcterms:W3CDTF">2025-02-27T08:08:00Z</dcterms:modified>
</cp:coreProperties>
</file>