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9219D9" w:rsidRDefault="009219D9"/>
    <w:p w14:paraId="00000002" w14:textId="77777777" w:rsidR="009219D9" w:rsidRDefault="009219D9">
      <w:pPr>
        <w:pStyle w:val="Title"/>
      </w:pPr>
      <w:bookmarkStart w:id="0" w:name="_dsem4bi4be5x" w:colFirst="0" w:colLast="0"/>
      <w:bookmarkEnd w:id="0"/>
    </w:p>
    <w:p w14:paraId="00000003" w14:textId="61CCBDD1" w:rsidR="009219D9" w:rsidRDefault="00A02C71">
      <w:pPr>
        <w:pStyle w:val="Title"/>
      </w:pPr>
      <w:bookmarkStart w:id="1" w:name="_ekbj07av4kwm" w:colFirst="0" w:colLast="0"/>
      <w:bookmarkEnd w:id="1"/>
      <w:r>
        <w:t>Community Engagement</w:t>
      </w:r>
    </w:p>
    <w:p w14:paraId="00000004" w14:textId="77777777" w:rsidR="009219D9" w:rsidRDefault="00000000">
      <w:pPr>
        <w:pStyle w:val="Title"/>
      </w:pPr>
      <w:r>
        <w:t>LCBB4002</w:t>
      </w:r>
    </w:p>
    <w:p w14:paraId="00000005" w14:textId="77777777" w:rsidR="009219D9" w:rsidRDefault="00000000">
      <w:pPr>
        <w:pStyle w:val="Title"/>
      </w:pPr>
      <w:bookmarkStart w:id="2" w:name="_u8zjn1m98eg5" w:colFirst="0" w:colLast="0"/>
      <w:bookmarkEnd w:id="2"/>
      <w:r>
        <w:t>Component 2:</w:t>
      </w:r>
    </w:p>
    <w:p w14:paraId="00000006" w14:textId="77777777" w:rsidR="009219D9" w:rsidRDefault="00000000">
      <w:pPr>
        <w:pStyle w:val="Title"/>
      </w:pPr>
      <w:bookmarkStart w:id="3" w:name="_shaeoa3hzke" w:colFirst="0" w:colLast="0"/>
      <w:bookmarkEnd w:id="3"/>
      <w:r>
        <w:t>Coursework: Reflective</w:t>
      </w:r>
    </w:p>
    <w:p w14:paraId="00000007" w14:textId="77777777" w:rsidR="009219D9" w:rsidRDefault="00000000">
      <w:pPr>
        <w:pStyle w:val="Title"/>
      </w:pPr>
      <w:bookmarkStart w:id="4" w:name="_geuvlhj69f8v" w:colFirst="0" w:colLast="0"/>
      <w:bookmarkEnd w:id="4"/>
      <w:r>
        <w:t>Evaluation (Report)</w:t>
      </w:r>
    </w:p>
    <w:p w14:paraId="2BAB6212" w14:textId="77777777" w:rsidR="00A02C71" w:rsidRDefault="00A02C71"/>
    <w:p w14:paraId="2D874802" w14:textId="77777777" w:rsidR="00A02C71" w:rsidRDefault="00A02C71"/>
    <w:p w14:paraId="3588F4EA" w14:textId="77777777" w:rsidR="00A02C71" w:rsidRDefault="00A02C71"/>
    <w:p w14:paraId="48EE8D26" w14:textId="77777777" w:rsidR="00A02C71" w:rsidRDefault="00A02C71"/>
    <w:p w14:paraId="48EEFCD3" w14:textId="77777777" w:rsidR="00A02C71" w:rsidRDefault="00A02C71"/>
    <w:p w14:paraId="4C4E585F" w14:textId="77777777" w:rsidR="00A02C71" w:rsidRDefault="00A02C71"/>
    <w:p w14:paraId="5FFB7806" w14:textId="77777777" w:rsidR="00A02C71" w:rsidRDefault="00A02C71"/>
    <w:p w14:paraId="40378D06" w14:textId="77777777" w:rsidR="00A02C71" w:rsidRDefault="00A02C71">
      <w:r>
        <w:t xml:space="preserve">Name: </w:t>
      </w:r>
      <w:r w:rsidRPr="00A02C71">
        <w:rPr>
          <w:b/>
          <w:bCs/>
        </w:rPr>
        <w:t>Mihaela Ruxandra Iancu</w:t>
      </w:r>
    </w:p>
    <w:p w14:paraId="00000008" w14:textId="256158E5" w:rsidR="009219D9" w:rsidRDefault="00A02C71">
      <w:r>
        <w:t>Student ID:</w:t>
      </w:r>
      <w:r w:rsidRPr="00A02C71">
        <w:rPr>
          <w:b/>
          <w:bCs/>
        </w:rPr>
        <w:t xml:space="preserve"> 2133740</w:t>
      </w:r>
      <w:r w:rsidR="00000000">
        <w:br w:type="page"/>
      </w:r>
    </w:p>
    <w:p w14:paraId="00000009" w14:textId="77777777" w:rsidR="009219D9" w:rsidRDefault="00000000">
      <w:pPr>
        <w:jc w:val="center"/>
        <w:rPr>
          <w:b/>
          <w:sz w:val="28"/>
          <w:szCs w:val="28"/>
        </w:rPr>
      </w:pPr>
      <w:r>
        <w:rPr>
          <w:b/>
          <w:sz w:val="28"/>
          <w:szCs w:val="28"/>
        </w:rPr>
        <w:lastRenderedPageBreak/>
        <w:t>Table of Contents</w:t>
      </w:r>
    </w:p>
    <w:p w14:paraId="0000000A" w14:textId="77777777" w:rsidR="009219D9" w:rsidRDefault="009219D9"/>
    <w:sdt>
      <w:sdtPr>
        <w:id w:val="1218789208"/>
        <w:docPartObj>
          <w:docPartGallery w:val="Table of Contents"/>
          <w:docPartUnique/>
        </w:docPartObj>
      </w:sdtPr>
      <w:sdtContent>
        <w:p w14:paraId="4F5BAB62" w14:textId="580A0BC0" w:rsidR="00AA7CF6" w:rsidRDefault="00000000">
          <w:pPr>
            <w:pStyle w:val="TOC1"/>
            <w:tabs>
              <w:tab w:val="right" w:leader="dot" w:pos="9016"/>
            </w:tabs>
            <w:rPr>
              <w:noProof/>
            </w:rPr>
          </w:pPr>
          <w:r>
            <w:fldChar w:fldCharType="begin"/>
          </w:r>
          <w:r>
            <w:instrText xml:space="preserve"> TOC \h \u \z \t "Heading 1,1,Heading 2,2,Heading 3,3,Heading 4,4,Heading 5,5,Heading 6,6,"</w:instrText>
          </w:r>
          <w:r>
            <w:fldChar w:fldCharType="separate"/>
          </w:r>
          <w:hyperlink w:anchor="_Toc151423963" w:history="1">
            <w:r w:rsidR="00AA7CF6" w:rsidRPr="00EF0564">
              <w:rPr>
                <w:rStyle w:val="Hyperlink"/>
                <w:noProof/>
              </w:rPr>
              <w:t>Introduction</w:t>
            </w:r>
            <w:r w:rsidR="00AA7CF6">
              <w:rPr>
                <w:noProof/>
                <w:webHidden/>
              </w:rPr>
              <w:tab/>
            </w:r>
            <w:r w:rsidR="00AA7CF6">
              <w:rPr>
                <w:noProof/>
                <w:webHidden/>
              </w:rPr>
              <w:fldChar w:fldCharType="begin"/>
            </w:r>
            <w:r w:rsidR="00AA7CF6">
              <w:rPr>
                <w:noProof/>
                <w:webHidden/>
              </w:rPr>
              <w:instrText xml:space="preserve"> PAGEREF _Toc151423963 \h </w:instrText>
            </w:r>
            <w:r w:rsidR="00AA7CF6">
              <w:rPr>
                <w:noProof/>
                <w:webHidden/>
              </w:rPr>
            </w:r>
            <w:r w:rsidR="00AA7CF6">
              <w:rPr>
                <w:noProof/>
                <w:webHidden/>
              </w:rPr>
              <w:fldChar w:fldCharType="separate"/>
            </w:r>
            <w:r w:rsidR="00AA7CF6">
              <w:rPr>
                <w:noProof/>
                <w:webHidden/>
              </w:rPr>
              <w:t>3</w:t>
            </w:r>
            <w:r w:rsidR="00AA7CF6">
              <w:rPr>
                <w:noProof/>
                <w:webHidden/>
              </w:rPr>
              <w:fldChar w:fldCharType="end"/>
            </w:r>
          </w:hyperlink>
        </w:p>
        <w:p w14:paraId="0ACAB721" w14:textId="3966D6D2" w:rsidR="00AA7CF6" w:rsidRDefault="00000000">
          <w:pPr>
            <w:pStyle w:val="TOC1"/>
            <w:tabs>
              <w:tab w:val="right" w:leader="dot" w:pos="9016"/>
            </w:tabs>
            <w:rPr>
              <w:noProof/>
            </w:rPr>
          </w:pPr>
          <w:hyperlink w:anchor="_Toc151423964" w:history="1">
            <w:r w:rsidR="00AA7CF6" w:rsidRPr="00EF0564">
              <w:rPr>
                <w:rStyle w:val="Hyperlink"/>
                <w:noProof/>
              </w:rPr>
              <w:t>Body</w:t>
            </w:r>
            <w:r w:rsidR="00AA7CF6">
              <w:rPr>
                <w:noProof/>
                <w:webHidden/>
              </w:rPr>
              <w:tab/>
            </w:r>
            <w:r w:rsidR="00AA7CF6">
              <w:rPr>
                <w:noProof/>
                <w:webHidden/>
              </w:rPr>
              <w:fldChar w:fldCharType="begin"/>
            </w:r>
            <w:r w:rsidR="00AA7CF6">
              <w:rPr>
                <w:noProof/>
                <w:webHidden/>
              </w:rPr>
              <w:instrText xml:space="preserve"> PAGEREF _Toc151423964 \h </w:instrText>
            </w:r>
            <w:r w:rsidR="00AA7CF6">
              <w:rPr>
                <w:noProof/>
                <w:webHidden/>
              </w:rPr>
            </w:r>
            <w:r w:rsidR="00AA7CF6">
              <w:rPr>
                <w:noProof/>
                <w:webHidden/>
              </w:rPr>
              <w:fldChar w:fldCharType="separate"/>
            </w:r>
            <w:r w:rsidR="00AA7CF6">
              <w:rPr>
                <w:noProof/>
                <w:webHidden/>
              </w:rPr>
              <w:t>3</w:t>
            </w:r>
            <w:r w:rsidR="00AA7CF6">
              <w:rPr>
                <w:noProof/>
                <w:webHidden/>
              </w:rPr>
              <w:fldChar w:fldCharType="end"/>
            </w:r>
          </w:hyperlink>
        </w:p>
        <w:p w14:paraId="1DE02F61" w14:textId="260E929D" w:rsidR="00AA7CF6" w:rsidRDefault="00000000">
          <w:pPr>
            <w:pStyle w:val="TOC2"/>
            <w:tabs>
              <w:tab w:val="right" w:leader="dot" w:pos="9016"/>
            </w:tabs>
            <w:rPr>
              <w:noProof/>
            </w:rPr>
          </w:pPr>
          <w:hyperlink w:anchor="_Toc151423965" w:history="1">
            <w:r w:rsidR="00AA7CF6" w:rsidRPr="00EF0564">
              <w:rPr>
                <w:rStyle w:val="Hyperlink"/>
                <w:noProof/>
              </w:rPr>
              <w:t>Project Description</w:t>
            </w:r>
            <w:r w:rsidR="00AA7CF6">
              <w:rPr>
                <w:noProof/>
                <w:webHidden/>
              </w:rPr>
              <w:tab/>
            </w:r>
            <w:r w:rsidR="00AA7CF6">
              <w:rPr>
                <w:noProof/>
                <w:webHidden/>
              </w:rPr>
              <w:fldChar w:fldCharType="begin"/>
            </w:r>
            <w:r w:rsidR="00AA7CF6">
              <w:rPr>
                <w:noProof/>
                <w:webHidden/>
              </w:rPr>
              <w:instrText xml:space="preserve"> PAGEREF _Toc151423965 \h </w:instrText>
            </w:r>
            <w:r w:rsidR="00AA7CF6">
              <w:rPr>
                <w:noProof/>
                <w:webHidden/>
              </w:rPr>
            </w:r>
            <w:r w:rsidR="00AA7CF6">
              <w:rPr>
                <w:noProof/>
                <w:webHidden/>
              </w:rPr>
              <w:fldChar w:fldCharType="separate"/>
            </w:r>
            <w:r w:rsidR="00AA7CF6">
              <w:rPr>
                <w:noProof/>
                <w:webHidden/>
              </w:rPr>
              <w:t>3</w:t>
            </w:r>
            <w:r w:rsidR="00AA7CF6">
              <w:rPr>
                <w:noProof/>
                <w:webHidden/>
              </w:rPr>
              <w:fldChar w:fldCharType="end"/>
            </w:r>
          </w:hyperlink>
        </w:p>
        <w:p w14:paraId="3C864D2B" w14:textId="4FA2B3D7" w:rsidR="00AA7CF6" w:rsidRDefault="00000000">
          <w:pPr>
            <w:pStyle w:val="TOC2"/>
            <w:tabs>
              <w:tab w:val="right" w:leader="dot" w:pos="9016"/>
            </w:tabs>
            <w:rPr>
              <w:noProof/>
            </w:rPr>
          </w:pPr>
          <w:hyperlink w:anchor="_Toc151423966" w:history="1">
            <w:r w:rsidR="00AA7CF6" w:rsidRPr="00EF0564">
              <w:rPr>
                <w:rStyle w:val="Hyperlink"/>
                <w:noProof/>
              </w:rPr>
              <w:t>Justifications for the aims and objectives</w:t>
            </w:r>
            <w:r w:rsidR="00AA7CF6">
              <w:rPr>
                <w:noProof/>
                <w:webHidden/>
              </w:rPr>
              <w:tab/>
            </w:r>
            <w:r w:rsidR="00AA7CF6">
              <w:rPr>
                <w:noProof/>
                <w:webHidden/>
              </w:rPr>
              <w:fldChar w:fldCharType="begin"/>
            </w:r>
            <w:r w:rsidR="00AA7CF6">
              <w:rPr>
                <w:noProof/>
                <w:webHidden/>
              </w:rPr>
              <w:instrText xml:space="preserve"> PAGEREF _Toc151423966 \h </w:instrText>
            </w:r>
            <w:r w:rsidR="00AA7CF6">
              <w:rPr>
                <w:noProof/>
                <w:webHidden/>
              </w:rPr>
            </w:r>
            <w:r w:rsidR="00AA7CF6">
              <w:rPr>
                <w:noProof/>
                <w:webHidden/>
              </w:rPr>
              <w:fldChar w:fldCharType="separate"/>
            </w:r>
            <w:r w:rsidR="00AA7CF6">
              <w:rPr>
                <w:noProof/>
                <w:webHidden/>
              </w:rPr>
              <w:t>4</w:t>
            </w:r>
            <w:r w:rsidR="00AA7CF6">
              <w:rPr>
                <w:noProof/>
                <w:webHidden/>
              </w:rPr>
              <w:fldChar w:fldCharType="end"/>
            </w:r>
          </w:hyperlink>
        </w:p>
        <w:p w14:paraId="074B358E" w14:textId="6FC23334" w:rsidR="00AA7CF6" w:rsidRDefault="00000000">
          <w:pPr>
            <w:pStyle w:val="TOC2"/>
            <w:tabs>
              <w:tab w:val="right" w:leader="dot" w:pos="9016"/>
            </w:tabs>
            <w:rPr>
              <w:noProof/>
            </w:rPr>
          </w:pPr>
          <w:hyperlink w:anchor="_Toc151423967" w:history="1">
            <w:r w:rsidR="00AA7CF6" w:rsidRPr="00EF0564">
              <w:rPr>
                <w:rStyle w:val="Hyperlink"/>
                <w:noProof/>
              </w:rPr>
              <w:t>Analysis and Evaluation of Community Engagement Approaches Best Practices in Community Engagement</w:t>
            </w:r>
            <w:r w:rsidR="00AA7CF6">
              <w:rPr>
                <w:noProof/>
                <w:webHidden/>
              </w:rPr>
              <w:tab/>
            </w:r>
            <w:r w:rsidR="00AA7CF6">
              <w:rPr>
                <w:noProof/>
                <w:webHidden/>
              </w:rPr>
              <w:fldChar w:fldCharType="begin"/>
            </w:r>
            <w:r w:rsidR="00AA7CF6">
              <w:rPr>
                <w:noProof/>
                <w:webHidden/>
              </w:rPr>
              <w:instrText xml:space="preserve"> PAGEREF _Toc151423967 \h </w:instrText>
            </w:r>
            <w:r w:rsidR="00AA7CF6">
              <w:rPr>
                <w:noProof/>
                <w:webHidden/>
              </w:rPr>
            </w:r>
            <w:r w:rsidR="00AA7CF6">
              <w:rPr>
                <w:noProof/>
                <w:webHidden/>
              </w:rPr>
              <w:fldChar w:fldCharType="separate"/>
            </w:r>
            <w:r w:rsidR="00AA7CF6">
              <w:rPr>
                <w:noProof/>
                <w:webHidden/>
              </w:rPr>
              <w:t>4</w:t>
            </w:r>
            <w:r w:rsidR="00AA7CF6">
              <w:rPr>
                <w:noProof/>
                <w:webHidden/>
              </w:rPr>
              <w:fldChar w:fldCharType="end"/>
            </w:r>
          </w:hyperlink>
        </w:p>
        <w:p w14:paraId="6B522E46" w14:textId="561B443A" w:rsidR="00AA7CF6" w:rsidRDefault="00000000">
          <w:pPr>
            <w:pStyle w:val="TOC2"/>
            <w:tabs>
              <w:tab w:val="right" w:leader="dot" w:pos="9016"/>
            </w:tabs>
            <w:rPr>
              <w:noProof/>
            </w:rPr>
          </w:pPr>
          <w:hyperlink w:anchor="_Toc151423968" w:history="1">
            <w:r w:rsidR="00AA7CF6" w:rsidRPr="00EF0564">
              <w:rPr>
                <w:rStyle w:val="Hyperlink"/>
                <w:noProof/>
              </w:rPr>
              <w:t>Assessment of Research Methodology</w:t>
            </w:r>
            <w:r w:rsidR="00AA7CF6">
              <w:rPr>
                <w:noProof/>
                <w:webHidden/>
              </w:rPr>
              <w:tab/>
            </w:r>
            <w:r w:rsidR="00AA7CF6">
              <w:rPr>
                <w:noProof/>
                <w:webHidden/>
              </w:rPr>
              <w:fldChar w:fldCharType="begin"/>
            </w:r>
            <w:r w:rsidR="00AA7CF6">
              <w:rPr>
                <w:noProof/>
                <w:webHidden/>
              </w:rPr>
              <w:instrText xml:space="preserve"> PAGEREF _Toc151423968 \h </w:instrText>
            </w:r>
            <w:r w:rsidR="00AA7CF6">
              <w:rPr>
                <w:noProof/>
                <w:webHidden/>
              </w:rPr>
            </w:r>
            <w:r w:rsidR="00AA7CF6">
              <w:rPr>
                <w:noProof/>
                <w:webHidden/>
              </w:rPr>
              <w:fldChar w:fldCharType="separate"/>
            </w:r>
            <w:r w:rsidR="00AA7CF6">
              <w:rPr>
                <w:noProof/>
                <w:webHidden/>
              </w:rPr>
              <w:t>5</w:t>
            </w:r>
            <w:r w:rsidR="00AA7CF6">
              <w:rPr>
                <w:noProof/>
                <w:webHidden/>
              </w:rPr>
              <w:fldChar w:fldCharType="end"/>
            </w:r>
          </w:hyperlink>
        </w:p>
        <w:p w14:paraId="4AC61B48" w14:textId="55271E5A" w:rsidR="00AA7CF6" w:rsidRDefault="00000000">
          <w:pPr>
            <w:pStyle w:val="TOC2"/>
            <w:tabs>
              <w:tab w:val="right" w:leader="dot" w:pos="9016"/>
            </w:tabs>
            <w:rPr>
              <w:noProof/>
            </w:rPr>
          </w:pPr>
          <w:hyperlink w:anchor="_Toc151423969" w:history="1">
            <w:r w:rsidR="00AA7CF6" w:rsidRPr="00EF0564">
              <w:rPr>
                <w:rStyle w:val="Hyperlink"/>
                <w:noProof/>
              </w:rPr>
              <w:t>Social Engagement and its Impact</w:t>
            </w:r>
            <w:r w:rsidR="00AA7CF6">
              <w:rPr>
                <w:noProof/>
                <w:webHidden/>
              </w:rPr>
              <w:tab/>
            </w:r>
            <w:r w:rsidR="00AA7CF6">
              <w:rPr>
                <w:noProof/>
                <w:webHidden/>
              </w:rPr>
              <w:fldChar w:fldCharType="begin"/>
            </w:r>
            <w:r w:rsidR="00AA7CF6">
              <w:rPr>
                <w:noProof/>
                <w:webHidden/>
              </w:rPr>
              <w:instrText xml:space="preserve"> PAGEREF _Toc151423969 \h </w:instrText>
            </w:r>
            <w:r w:rsidR="00AA7CF6">
              <w:rPr>
                <w:noProof/>
                <w:webHidden/>
              </w:rPr>
            </w:r>
            <w:r w:rsidR="00AA7CF6">
              <w:rPr>
                <w:noProof/>
                <w:webHidden/>
              </w:rPr>
              <w:fldChar w:fldCharType="separate"/>
            </w:r>
            <w:r w:rsidR="00AA7CF6">
              <w:rPr>
                <w:noProof/>
                <w:webHidden/>
              </w:rPr>
              <w:t>5</w:t>
            </w:r>
            <w:r w:rsidR="00AA7CF6">
              <w:rPr>
                <w:noProof/>
                <w:webHidden/>
              </w:rPr>
              <w:fldChar w:fldCharType="end"/>
            </w:r>
          </w:hyperlink>
        </w:p>
        <w:p w14:paraId="2D1169B5" w14:textId="77221A0B" w:rsidR="00AA7CF6" w:rsidRDefault="00000000">
          <w:pPr>
            <w:pStyle w:val="TOC2"/>
            <w:tabs>
              <w:tab w:val="right" w:leader="dot" w:pos="9016"/>
            </w:tabs>
            <w:rPr>
              <w:noProof/>
            </w:rPr>
          </w:pPr>
          <w:hyperlink w:anchor="_Toc151423970" w:history="1">
            <w:r w:rsidR="00AA7CF6" w:rsidRPr="00EF0564">
              <w:rPr>
                <w:rStyle w:val="Hyperlink"/>
                <w:noProof/>
              </w:rPr>
              <w:t>Reflection on Alternative Approaches and Potential Improvements</w:t>
            </w:r>
            <w:r w:rsidR="00AA7CF6">
              <w:rPr>
                <w:noProof/>
                <w:webHidden/>
              </w:rPr>
              <w:tab/>
            </w:r>
            <w:r w:rsidR="00AA7CF6">
              <w:rPr>
                <w:noProof/>
                <w:webHidden/>
              </w:rPr>
              <w:fldChar w:fldCharType="begin"/>
            </w:r>
            <w:r w:rsidR="00AA7CF6">
              <w:rPr>
                <w:noProof/>
                <w:webHidden/>
              </w:rPr>
              <w:instrText xml:space="preserve"> PAGEREF _Toc151423970 \h </w:instrText>
            </w:r>
            <w:r w:rsidR="00AA7CF6">
              <w:rPr>
                <w:noProof/>
                <w:webHidden/>
              </w:rPr>
            </w:r>
            <w:r w:rsidR="00AA7CF6">
              <w:rPr>
                <w:noProof/>
                <w:webHidden/>
              </w:rPr>
              <w:fldChar w:fldCharType="separate"/>
            </w:r>
            <w:r w:rsidR="00AA7CF6">
              <w:rPr>
                <w:noProof/>
                <w:webHidden/>
              </w:rPr>
              <w:t>5</w:t>
            </w:r>
            <w:r w:rsidR="00AA7CF6">
              <w:rPr>
                <w:noProof/>
                <w:webHidden/>
              </w:rPr>
              <w:fldChar w:fldCharType="end"/>
            </w:r>
          </w:hyperlink>
        </w:p>
        <w:p w14:paraId="10110259" w14:textId="26DE21DC" w:rsidR="00AA7CF6" w:rsidRDefault="00000000">
          <w:pPr>
            <w:pStyle w:val="TOC2"/>
            <w:tabs>
              <w:tab w:val="right" w:leader="dot" w:pos="9016"/>
            </w:tabs>
            <w:rPr>
              <w:noProof/>
            </w:rPr>
          </w:pPr>
          <w:hyperlink w:anchor="_Toc151423971" w:history="1">
            <w:r w:rsidR="00AA7CF6" w:rsidRPr="00EF0564">
              <w:rPr>
                <w:rStyle w:val="Hyperlink"/>
                <w:noProof/>
              </w:rPr>
              <w:t>Impact of Consultation, Communication, and Collaboration</w:t>
            </w:r>
            <w:r w:rsidR="00AA7CF6">
              <w:rPr>
                <w:noProof/>
                <w:webHidden/>
              </w:rPr>
              <w:tab/>
            </w:r>
            <w:r w:rsidR="00AA7CF6">
              <w:rPr>
                <w:noProof/>
                <w:webHidden/>
              </w:rPr>
              <w:fldChar w:fldCharType="begin"/>
            </w:r>
            <w:r w:rsidR="00AA7CF6">
              <w:rPr>
                <w:noProof/>
                <w:webHidden/>
              </w:rPr>
              <w:instrText xml:space="preserve"> PAGEREF _Toc151423971 \h </w:instrText>
            </w:r>
            <w:r w:rsidR="00AA7CF6">
              <w:rPr>
                <w:noProof/>
                <w:webHidden/>
              </w:rPr>
            </w:r>
            <w:r w:rsidR="00AA7CF6">
              <w:rPr>
                <w:noProof/>
                <w:webHidden/>
              </w:rPr>
              <w:fldChar w:fldCharType="separate"/>
            </w:r>
            <w:r w:rsidR="00AA7CF6">
              <w:rPr>
                <w:noProof/>
                <w:webHidden/>
              </w:rPr>
              <w:t>7</w:t>
            </w:r>
            <w:r w:rsidR="00AA7CF6">
              <w:rPr>
                <w:noProof/>
                <w:webHidden/>
              </w:rPr>
              <w:fldChar w:fldCharType="end"/>
            </w:r>
          </w:hyperlink>
        </w:p>
        <w:p w14:paraId="7793CFA5" w14:textId="45E383C4" w:rsidR="00AA7CF6" w:rsidRDefault="00000000">
          <w:pPr>
            <w:pStyle w:val="TOC1"/>
            <w:tabs>
              <w:tab w:val="right" w:leader="dot" w:pos="9016"/>
            </w:tabs>
            <w:rPr>
              <w:noProof/>
            </w:rPr>
          </w:pPr>
          <w:hyperlink w:anchor="_Toc151423972" w:history="1">
            <w:r w:rsidR="00AA7CF6" w:rsidRPr="00EF0564">
              <w:rPr>
                <w:rStyle w:val="Hyperlink"/>
                <w:noProof/>
              </w:rPr>
              <w:t>Conclusion</w:t>
            </w:r>
            <w:r w:rsidR="00AA7CF6">
              <w:rPr>
                <w:noProof/>
                <w:webHidden/>
              </w:rPr>
              <w:tab/>
            </w:r>
            <w:r w:rsidR="00AA7CF6">
              <w:rPr>
                <w:noProof/>
                <w:webHidden/>
              </w:rPr>
              <w:fldChar w:fldCharType="begin"/>
            </w:r>
            <w:r w:rsidR="00AA7CF6">
              <w:rPr>
                <w:noProof/>
                <w:webHidden/>
              </w:rPr>
              <w:instrText xml:space="preserve"> PAGEREF _Toc151423972 \h </w:instrText>
            </w:r>
            <w:r w:rsidR="00AA7CF6">
              <w:rPr>
                <w:noProof/>
                <w:webHidden/>
              </w:rPr>
            </w:r>
            <w:r w:rsidR="00AA7CF6">
              <w:rPr>
                <w:noProof/>
                <w:webHidden/>
              </w:rPr>
              <w:fldChar w:fldCharType="separate"/>
            </w:r>
            <w:r w:rsidR="00AA7CF6">
              <w:rPr>
                <w:noProof/>
                <w:webHidden/>
              </w:rPr>
              <w:t>8</w:t>
            </w:r>
            <w:r w:rsidR="00AA7CF6">
              <w:rPr>
                <w:noProof/>
                <w:webHidden/>
              </w:rPr>
              <w:fldChar w:fldCharType="end"/>
            </w:r>
          </w:hyperlink>
        </w:p>
        <w:p w14:paraId="7C91D96F" w14:textId="63FF8B74" w:rsidR="00AA7CF6" w:rsidRDefault="00000000">
          <w:pPr>
            <w:pStyle w:val="TOC1"/>
            <w:tabs>
              <w:tab w:val="right" w:leader="dot" w:pos="9016"/>
            </w:tabs>
            <w:rPr>
              <w:noProof/>
            </w:rPr>
          </w:pPr>
          <w:hyperlink w:anchor="_Toc151423973" w:history="1">
            <w:r w:rsidR="00AA7CF6" w:rsidRPr="00EF0564">
              <w:rPr>
                <w:rStyle w:val="Hyperlink"/>
                <w:noProof/>
              </w:rPr>
              <w:t>Reference</w:t>
            </w:r>
            <w:r w:rsidR="00AA7CF6">
              <w:rPr>
                <w:noProof/>
                <w:webHidden/>
              </w:rPr>
              <w:tab/>
            </w:r>
            <w:r w:rsidR="00AA7CF6">
              <w:rPr>
                <w:noProof/>
                <w:webHidden/>
              </w:rPr>
              <w:fldChar w:fldCharType="begin"/>
            </w:r>
            <w:r w:rsidR="00AA7CF6">
              <w:rPr>
                <w:noProof/>
                <w:webHidden/>
              </w:rPr>
              <w:instrText xml:space="preserve"> PAGEREF _Toc151423973 \h </w:instrText>
            </w:r>
            <w:r w:rsidR="00AA7CF6">
              <w:rPr>
                <w:noProof/>
                <w:webHidden/>
              </w:rPr>
            </w:r>
            <w:r w:rsidR="00AA7CF6">
              <w:rPr>
                <w:noProof/>
                <w:webHidden/>
              </w:rPr>
              <w:fldChar w:fldCharType="separate"/>
            </w:r>
            <w:r w:rsidR="00AA7CF6">
              <w:rPr>
                <w:noProof/>
                <w:webHidden/>
              </w:rPr>
              <w:t>9</w:t>
            </w:r>
            <w:r w:rsidR="00AA7CF6">
              <w:rPr>
                <w:noProof/>
                <w:webHidden/>
              </w:rPr>
              <w:fldChar w:fldCharType="end"/>
            </w:r>
          </w:hyperlink>
        </w:p>
        <w:p w14:paraId="00000015" w14:textId="024F7821" w:rsidR="009219D9" w:rsidRDefault="00000000">
          <w:pPr>
            <w:widowControl w:val="0"/>
            <w:tabs>
              <w:tab w:val="right" w:leader="dot" w:pos="9025"/>
            </w:tabs>
            <w:spacing w:before="60" w:line="240" w:lineRule="auto"/>
            <w:jc w:val="left"/>
            <w:rPr>
              <w:b/>
              <w:color w:val="000000"/>
            </w:rPr>
          </w:pPr>
          <w:r>
            <w:fldChar w:fldCharType="end"/>
          </w:r>
        </w:p>
      </w:sdtContent>
    </w:sdt>
    <w:p w14:paraId="00000016" w14:textId="77777777" w:rsidR="009219D9" w:rsidRDefault="009219D9"/>
    <w:p w14:paraId="00000017" w14:textId="77777777" w:rsidR="009219D9" w:rsidRDefault="00000000">
      <w:pPr>
        <w:pStyle w:val="Heading1"/>
      </w:pPr>
      <w:bookmarkStart w:id="5" w:name="_9t0gsxulx18a" w:colFirst="0" w:colLast="0"/>
      <w:bookmarkEnd w:id="5"/>
      <w:r>
        <w:br w:type="page"/>
      </w:r>
    </w:p>
    <w:p w14:paraId="00000018" w14:textId="77777777" w:rsidR="009219D9" w:rsidRDefault="00000000">
      <w:pPr>
        <w:pStyle w:val="Heading1"/>
      </w:pPr>
      <w:bookmarkStart w:id="6" w:name="_Toc151423963"/>
      <w:r>
        <w:lastRenderedPageBreak/>
        <w:t>Introduction</w:t>
      </w:r>
      <w:bookmarkEnd w:id="6"/>
    </w:p>
    <w:p w14:paraId="00000019" w14:textId="77777777" w:rsidR="009219D9" w:rsidRDefault="00000000">
      <w:r>
        <w:t xml:space="preserve">East London's Docklands 2.0 project arose as a game-changing effort to breathe new life into a neglected yet historically important </w:t>
      </w:r>
      <w:proofErr w:type="spellStart"/>
      <w:r>
        <w:t>neighbourhood</w:t>
      </w:r>
      <w:proofErr w:type="spellEnd"/>
      <w:r>
        <w:t xml:space="preserve">. The initiative aimed to tackle long-standing problems with inadequate connection, economic inequality, underutilization of land, and restricted housing by repurposing abandoned areas into thriving, sustainable communities. The initiative has lofty and complex goals at its heart. The initiative's stated goal was to reinvigorate the area by turning abandoned lots into flourishing </w:t>
      </w:r>
      <w:proofErr w:type="spellStart"/>
      <w:r>
        <w:t>neighbourhoods</w:t>
      </w:r>
      <w:proofErr w:type="spellEnd"/>
      <w:r>
        <w:t xml:space="preserve">. Sustainable, well-designed housing, better transit links for easier access, more green space creation, and economic development were the primary goals. These goals were in line with what the locals wanted, which was to solve certain long-standing problems and lead the area towards a better future. Crucially, strong community involvement was vital to the Docklands 2.0 project's success (London Assembly, 2023). The </w:t>
      </w:r>
      <w:proofErr w:type="spellStart"/>
      <w:r>
        <w:t>organisers</w:t>
      </w:r>
      <w:proofErr w:type="spellEnd"/>
      <w:r>
        <w:t xml:space="preserve"> of the project understood the significance of community involvement in decision-making and made it a point to include residents, companies, local authorities, and other stakeholders actively throughout the project's lifespan. In addition to improving the area's physical appearance, the project's stated goal was to give locals more agency and pride in their community's progress. This analysis will examine the success of the Docklands 2.0 project's community involvement initiatives. This evaluation will look at how well various engagement strategies worked, how consultation, communication, and stakeholder involvement influenced the outcome, and what changes may have made the process even better for the community (</w:t>
      </w:r>
      <w:r>
        <w:rPr>
          <w:color w:val="222222"/>
          <w:highlight w:val="white"/>
        </w:rPr>
        <w:t xml:space="preserve">Mellor </w:t>
      </w:r>
      <w:r>
        <w:rPr>
          <w:i/>
          <w:color w:val="222222"/>
          <w:highlight w:val="white"/>
        </w:rPr>
        <w:t xml:space="preserve">et al., </w:t>
      </w:r>
      <w:r>
        <w:rPr>
          <w:color w:val="222222"/>
          <w:highlight w:val="white"/>
        </w:rPr>
        <w:t>2021</w:t>
      </w:r>
      <w:r>
        <w:t xml:space="preserve">). The purpose of this reflection is to </w:t>
      </w:r>
      <w:proofErr w:type="spellStart"/>
      <w:r>
        <w:t>analyse</w:t>
      </w:r>
      <w:proofErr w:type="spellEnd"/>
      <w:r>
        <w:t xml:space="preserve"> these parts critically </w:t>
      </w:r>
      <w:proofErr w:type="gramStart"/>
      <w:r>
        <w:t>in order to</w:t>
      </w:r>
      <w:proofErr w:type="gramEnd"/>
      <w:r>
        <w:t xml:space="preserve"> find out what we learnt and what this means for future social development projects.</w:t>
      </w:r>
    </w:p>
    <w:p w14:paraId="0000001A" w14:textId="77777777" w:rsidR="009219D9" w:rsidRDefault="00000000">
      <w:pPr>
        <w:pStyle w:val="Heading1"/>
      </w:pPr>
      <w:bookmarkStart w:id="7" w:name="_Toc151423964"/>
      <w:r>
        <w:t>Body</w:t>
      </w:r>
      <w:bookmarkEnd w:id="7"/>
    </w:p>
    <w:p w14:paraId="0000001B" w14:textId="77777777" w:rsidR="009219D9" w:rsidRDefault="00000000">
      <w:pPr>
        <w:pStyle w:val="Heading2"/>
      </w:pPr>
      <w:bookmarkStart w:id="8" w:name="_Toc151423965"/>
      <w:r>
        <w:t>Project Description</w:t>
      </w:r>
      <w:bookmarkEnd w:id="8"/>
    </w:p>
    <w:p w14:paraId="0000001C" w14:textId="77777777" w:rsidR="009219D9" w:rsidRDefault="00000000">
      <w:r>
        <w:t xml:space="preserve">A multi-pronged effort to </w:t>
      </w:r>
      <w:proofErr w:type="spellStart"/>
      <w:r>
        <w:t>revitalise</w:t>
      </w:r>
      <w:proofErr w:type="spellEnd"/>
      <w:r>
        <w:t xml:space="preserve"> and reimagine the environment of the Docklands 2.0 area in East London arose. Its design sought to resolve many long-standing problems in the region, including those of an economic, infrastructural, and social nature. Improving connections, creating sustainable communities in </w:t>
      </w:r>
      <w:proofErr w:type="spellStart"/>
      <w:r>
        <w:t>underutilised</w:t>
      </w:r>
      <w:proofErr w:type="spellEnd"/>
      <w:r>
        <w:t xml:space="preserve"> places, and boosting economic development were the main goals of the initiative. </w:t>
      </w:r>
      <w:proofErr w:type="gramStart"/>
      <w:r>
        <w:t>Docklands</w:t>
      </w:r>
      <w:proofErr w:type="gramEnd"/>
      <w:r>
        <w:t xml:space="preserve"> difficulties </w:t>
      </w:r>
      <w:proofErr w:type="gramStart"/>
      <w:r>
        <w:t>have to</w:t>
      </w:r>
      <w:proofErr w:type="gramEnd"/>
      <w:r>
        <w:t xml:space="preserve"> be addressed for the project to succeed. Economic inequality, inadequate housing, poor connections, and </w:t>
      </w:r>
      <w:proofErr w:type="spellStart"/>
      <w:r>
        <w:t>underutilised</w:t>
      </w:r>
      <w:proofErr w:type="spellEnd"/>
      <w:r>
        <w:t xml:space="preserve"> places have afflicted this region (Dan-</w:t>
      </w:r>
      <w:proofErr w:type="spellStart"/>
      <w:r>
        <w:t>Ogosi</w:t>
      </w:r>
      <w:proofErr w:type="spellEnd"/>
      <w:r>
        <w:t xml:space="preserve">, 2023). Turning abandoned areas into thriving towns that could absorb the expanding population and create new economic possibilities was the answer. Community needs and wants to justify the goals. Docklands lacks affordable homes </w:t>
      </w:r>
      <w:r>
        <w:lastRenderedPageBreak/>
        <w:t>and enough infrastructure. The effort built eco-friendly, well-planned dwellings and increased public transit to solve these challenges. The community became more habitable with green spaces and amenities.</w:t>
      </w:r>
    </w:p>
    <w:p w14:paraId="0000001D" w14:textId="77777777" w:rsidR="009219D9" w:rsidRDefault="00000000">
      <w:pPr>
        <w:pStyle w:val="Heading2"/>
      </w:pPr>
      <w:bookmarkStart w:id="9" w:name="_Toc151423966"/>
      <w:r>
        <w:t>Justifications for the aims and objectives</w:t>
      </w:r>
      <w:bookmarkEnd w:id="9"/>
    </w:p>
    <w:p w14:paraId="0000001E" w14:textId="77777777" w:rsidR="009219D9" w:rsidRDefault="00000000">
      <w:r>
        <w:t xml:space="preserve">The project's goals were thoughtfully matched with the community's hopes and dreams after thorough discussions and evaluations of their requirements. Project </w:t>
      </w:r>
      <w:proofErr w:type="spellStart"/>
      <w:r>
        <w:t>organisers</w:t>
      </w:r>
      <w:proofErr w:type="spellEnd"/>
      <w:r>
        <w:t xml:space="preserve"> were able to learn about the community's wants and needs and rank them in order of importance via polling, holding town hall meetings, and forming focus groups (Khan and Emenike, 2023). Therefore, the objectives were designed to align with the community's aspirations for a </w:t>
      </w:r>
      <w:proofErr w:type="spellStart"/>
      <w:r>
        <w:t>neighbourhood</w:t>
      </w:r>
      <w:proofErr w:type="spellEnd"/>
      <w:r>
        <w:t xml:space="preserve"> that is more welcoming, environmentally conscious, and economically thriving. The goals of the Docklands 2.0 project were, in the end, very dependent on what the locals wanted and needed. The objectives were based on the people's real-life experiences and wants, rather </w:t>
      </w:r>
      <w:proofErr w:type="gramStart"/>
      <w:r>
        <w:t>than being</w:t>
      </w:r>
      <w:proofErr w:type="gramEnd"/>
      <w:r>
        <w:t xml:space="preserve"> abstract ideas. Having community goals and project objectives in sync allowed for deeper involvement and buy-in through the project's implementation.</w:t>
      </w:r>
    </w:p>
    <w:p w14:paraId="0000001F" w14:textId="77777777" w:rsidR="009219D9" w:rsidRDefault="009219D9"/>
    <w:p w14:paraId="00000020" w14:textId="77777777" w:rsidR="009219D9" w:rsidRDefault="00000000">
      <w:pPr>
        <w:pStyle w:val="Heading2"/>
      </w:pPr>
      <w:bookmarkStart w:id="10" w:name="_Toc151423967"/>
      <w:r>
        <w:t>Analysis and Evaluation of Community Engagement Approaches Best Practices in Community Engagement</w:t>
      </w:r>
      <w:bookmarkEnd w:id="10"/>
    </w:p>
    <w:p w14:paraId="00000021" w14:textId="77777777" w:rsidR="009219D9" w:rsidRDefault="00000000">
      <w:r>
        <w:t>The Docklands 2.0 project relied heavily on community interaction, which took several forms to encourage open dialogue and participation. The use of needs assessment approaches such as focus groups, town hall meetings, and surveys was one significant practice (</w:t>
      </w:r>
      <w:r>
        <w:rPr>
          <w:color w:val="222222"/>
          <w:highlight w:val="white"/>
        </w:rPr>
        <w:t xml:space="preserve">Silva </w:t>
      </w:r>
      <w:r>
        <w:rPr>
          <w:i/>
          <w:color w:val="222222"/>
          <w:highlight w:val="white"/>
        </w:rPr>
        <w:t xml:space="preserve">et al., </w:t>
      </w:r>
      <w:r>
        <w:rPr>
          <w:color w:val="222222"/>
          <w:highlight w:val="white"/>
        </w:rPr>
        <w:t>2020</w:t>
      </w:r>
      <w:r>
        <w:t xml:space="preserve">). Project </w:t>
      </w:r>
      <w:proofErr w:type="spellStart"/>
      <w:r>
        <w:t>organisers</w:t>
      </w:r>
      <w:proofErr w:type="spellEnd"/>
      <w:r>
        <w:t xml:space="preserve"> were able to successfully </w:t>
      </w:r>
      <w:proofErr w:type="spellStart"/>
      <w:r>
        <w:t>customise</w:t>
      </w:r>
      <w:proofErr w:type="spellEnd"/>
      <w:r>
        <w:t xml:space="preserve"> projects thanks to these processes, which enabled a thorough grasp of community demands.</w:t>
      </w:r>
    </w:p>
    <w:p w14:paraId="00000022" w14:textId="77777777" w:rsidR="009219D9" w:rsidRDefault="00000000">
      <w:r>
        <w:t xml:space="preserve">An important part of the process was actively consulting with stakeholders to make sure their opinions were </w:t>
      </w:r>
      <w:proofErr w:type="gramStart"/>
      <w:r>
        <w:t>taken into account</w:t>
      </w:r>
      <w:proofErr w:type="gramEnd"/>
      <w:r>
        <w:t xml:space="preserve"> while decisions were being made. Participation in design consultations allowed locals to voice their opinions on the ideas and provide important suggestions. Participation from locals increased openness about the project and fostered pride in the outcome as well as a feeling of agency.</w:t>
      </w:r>
    </w:p>
    <w:p w14:paraId="00000023" w14:textId="77777777" w:rsidR="009219D9" w:rsidRDefault="00000000">
      <w:r>
        <w:t>There was a strong emphasis on openness and frequent updates in the communication tactics. Newsletters, community gatherings, and social media were all set up to make sure the information got out to a lot of people (UA, 2023). This method reduced the spread of false information and promoted consistent participation all through the project's duration.</w:t>
      </w:r>
    </w:p>
    <w:p w14:paraId="00000024" w14:textId="77777777" w:rsidR="009219D9" w:rsidRDefault="009219D9"/>
    <w:p w14:paraId="00000025" w14:textId="77777777" w:rsidR="009219D9" w:rsidRDefault="00000000">
      <w:r>
        <w:lastRenderedPageBreak/>
        <w:t xml:space="preserve">There was a wide range of community members represented among the stakeholders. Project planning reflected the variety of the community and efforts to include varied groups, especially </w:t>
      </w:r>
      <w:proofErr w:type="spellStart"/>
      <w:r>
        <w:t>marginalised</w:t>
      </w:r>
      <w:proofErr w:type="spellEnd"/>
      <w:r>
        <w:t xml:space="preserve"> communities, created an inclusive climate.</w:t>
      </w:r>
    </w:p>
    <w:p w14:paraId="00000026" w14:textId="77777777" w:rsidR="009219D9" w:rsidRDefault="00000000">
      <w:pPr>
        <w:pStyle w:val="Heading2"/>
      </w:pPr>
      <w:bookmarkStart w:id="11" w:name="_Toc151423968"/>
      <w:r>
        <w:t>Assessment of Research Methodology</w:t>
      </w:r>
      <w:bookmarkEnd w:id="11"/>
    </w:p>
    <w:p w14:paraId="00000027" w14:textId="77777777" w:rsidR="009219D9" w:rsidRDefault="00000000">
      <w:r>
        <w:t>The project's trajectory was set in motion by the research approaches used for requirements assessment and community mapping. By conducting surveys, the project team was able to learn about the community's hopes and fears, which helped them better grasp the community's goals. Meetings with town halls and focus groups provided more nuanced viewpoints on important topics, which enhanced this knowledge even more.</w:t>
      </w:r>
    </w:p>
    <w:p w14:paraId="00000028" w14:textId="77777777" w:rsidR="009219D9" w:rsidRDefault="00000000">
      <w:r>
        <w:t>There was room for improvement, nevertheless, despite the useful insights supplied by these techniques. Surveys may not have reached everyone, which means certain groups may have had their opinions ignored (UA, 2023). The data gathered may be more thorough if voices from underrepresented groups or those who do not understand English were included.</w:t>
      </w:r>
    </w:p>
    <w:p w14:paraId="00000029" w14:textId="77777777" w:rsidR="009219D9" w:rsidRDefault="00000000">
      <w:pPr>
        <w:pStyle w:val="Heading2"/>
      </w:pPr>
      <w:bookmarkStart w:id="12" w:name="_Toc151423969"/>
      <w:r>
        <w:t>Social Engagement and its Impact</w:t>
      </w:r>
      <w:bookmarkEnd w:id="12"/>
    </w:p>
    <w:p w14:paraId="0000002A" w14:textId="77777777" w:rsidR="009219D9" w:rsidRDefault="00000000">
      <w:r>
        <w:t xml:space="preserve">One of the most recent developments in community interaction is the rise of social media platforms. Their use allowed for the rapid distribution of project updates and information to a wide range of locals. Social media sites such as Twitter and Facebook encourage two-way conversations, allowing users to share and receive comments in real-time (Galvão </w:t>
      </w:r>
      <w:r>
        <w:rPr>
          <w:i/>
        </w:rPr>
        <w:t xml:space="preserve">et al., </w:t>
      </w:r>
      <w:r>
        <w:t xml:space="preserve">2020). A wide range of ages and demographics were encouraged to participate </w:t>
      </w:r>
      <w:proofErr w:type="gramStart"/>
      <w:r>
        <w:t>as a result of</w:t>
      </w:r>
      <w:proofErr w:type="gramEnd"/>
      <w:r>
        <w:t xml:space="preserve"> this immediate feedback loop, which strengthened community engagement.</w:t>
      </w:r>
    </w:p>
    <w:p w14:paraId="0000002B" w14:textId="77777777" w:rsidR="009219D9" w:rsidRDefault="00000000">
      <w:r>
        <w:t xml:space="preserve">Furthermore, the widespread availability of project updates and decision-making procedures was made possible by the catalysts for openness provided by social media platforms. While social media platforms are great for reaching out to people, there </w:t>
      </w:r>
      <w:proofErr w:type="gramStart"/>
      <w:r>
        <w:t>has to</w:t>
      </w:r>
      <w:proofErr w:type="gramEnd"/>
      <w:r>
        <w:t xml:space="preserve"> be more effort to make sure that everyone in the community, including those without computers or internet, can use them.</w:t>
      </w:r>
    </w:p>
    <w:p w14:paraId="0000002C" w14:textId="77777777" w:rsidR="009219D9" w:rsidRDefault="00000000">
      <w:pPr>
        <w:pStyle w:val="Heading2"/>
      </w:pPr>
      <w:bookmarkStart w:id="13" w:name="_Toc151423970"/>
      <w:r>
        <w:t>Reflection on Alternative Approaches and Potential Improvements</w:t>
      </w:r>
      <w:bookmarkEnd w:id="13"/>
    </w:p>
    <w:p w14:paraId="0000002D" w14:textId="77777777" w:rsidR="009219D9" w:rsidRDefault="00000000">
      <w:pPr>
        <w:rPr>
          <w:b/>
        </w:rPr>
      </w:pPr>
      <w:r>
        <w:rPr>
          <w:b/>
        </w:rPr>
        <w:t>Alternative Engagement Approaches</w:t>
      </w:r>
    </w:p>
    <w:p w14:paraId="0000002E" w14:textId="77777777" w:rsidR="009219D9" w:rsidRDefault="00000000">
      <w:r>
        <w:t xml:space="preserve">The community participation process in the Docklands 2.0 project may have been even more fruitful had it not made use of </w:t>
      </w:r>
      <w:proofErr w:type="gramStart"/>
      <w:r>
        <w:t>a number of</w:t>
      </w:r>
      <w:proofErr w:type="gramEnd"/>
      <w:r>
        <w:t xml:space="preserve"> different tactics. A possible strategy would have been to form advisory boards or community task teams that would have included citizens, local officials, and other interested parties (Harrington, </w:t>
      </w:r>
      <w:proofErr w:type="spellStart"/>
      <w:r>
        <w:t>Erete</w:t>
      </w:r>
      <w:proofErr w:type="spellEnd"/>
      <w:r>
        <w:t xml:space="preserve"> and Piper, 2019). More targeted conversations on issues like home design, infrastructure, and green spaces may have been possible with these phase-specific task teams. It may be difficult to sustain constant engagement and a lot of coordination may be needed because of this.</w:t>
      </w:r>
    </w:p>
    <w:p w14:paraId="0000002F" w14:textId="77777777" w:rsidR="009219D9" w:rsidRDefault="00000000">
      <w:r>
        <w:lastRenderedPageBreak/>
        <w:t>Alternatively, we may have used gamification methods or mobile apps to collect input in real-time. A more dynamic and user-friendly way to promote engagement and input from locals might be via interactive tools or applications that are suited to the project's aims. Taking this route can pique the interest of more tech-savvy or younger members of the community (Dan-</w:t>
      </w:r>
      <w:proofErr w:type="spellStart"/>
      <w:r>
        <w:t>Ogosi</w:t>
      </w:r>
      <w:proofErr w:type="spellEnd"/>
      <w:r>
        <w:t>, 2023). On the other hand, it may not be as beneficial for some populations due to accessibility concerns, such as a lack of cell phones or digital literacy.</w:t>
      </w:r>
    </w:p>
    <w:p w14:paraId="00000030" w14:textId="77777777" w:rsidR="009219D9" w:rsidRDefault="00000000">
      <w:pPr>
        <w:rPr>
          <w:b/>
        </w:rPr>
      </w:pPr>
      <w:r>
        <w:rPr>
          <w:b/>
        </w:rPr>
        <w:t>Merits and Demerits of Alternatives</w:t>
      </w:r>
    </w:p>
    <w:p w14:paraId="00000031" w14:textId="77777777" w:rsidR="009219D9" w:rsidRDefault="00000000">
      <w:r>
        <w:t xml:space="preserve">Initiating community task forces has several advantages, the most important of which is the possibility that a better in-depth understanding of certain project components can result from the </w:t>
      </w:r>
      <w:proofErr w:type="spellStart"/>
      <w:r>
        <w:t>specialised</w:t>
      </w:r>
      <w:proofErr w:type="spellEnd"/>
      <w:r>
        <w:t xml:space="preserve"> platforms for concentrated debates that they provide (</w:t>
      </w:r>
      <w:proofErr w:type="spellStart"/>
      <w:r>
        <w:t>Lasserson</w:t>
      </w:r>
      <w:proofErr w:type="spellEnd"/>
      <w:r>
        <w:t>, Thomas and Higgins, 2019). Participants in these task teams may develop a feeling of ownership and dedication, which in turn may provide more thorough and practical recommendations. The continuation of talks and decision-making processes might be affected, nevertheless, by the difficulty of maintaining continuous involvement and handling varied perspectives.</w:t>
      </w:r>
    </w:p>
    <w:p w14:paraId="00000032" w14:textId="77777777" w:rsidR="009219D9" w:rsidRDefault="00000000">
      <w:r>
        <w:t xml:space="preserve">The usage of gamification or mobile apps might provide ease and speed, which could lead to more involvement because of how easy they are to use. Insights and trend analysis might benefit from real-time input. However, certain populations may be unable to participate due to the digital divide, which might lead to underrepresentation and </w:t>
      </w:r>
      <w:proofErr w:type="spellStart"/>
      <w:r>
        <w:t>biassed</w:t>
      </w:r>
      <w:proofErr w:type="spellEnd"/>
      <w:r>
        <w:t xml:space="preserve"> results (</w:t>
      </w:r>
      <w:proofErr w:type="spellStart"/>
      <w:r>
        <w:t>Lasserson</w:t>
      </w:r>
      <w:proofErr w:type="spellEnd"/>
      <w:r>
        <w:t>, Thomas and Higgins, 2019). It would also be necessary to carefully curate and oversee the information gathered via such platforms to ensure its accuracy and dependability.</w:t>
      </w:r>
    </w:p>
    <w:p w14:paraId="00000033" w14:textId="77777777" w:rsidR="009219D9" w:rsidRDefault="00000000">
      <w:pPr>
        <w:rPr>
          <w:b/>
        </w:rPr>
      </w:pPr>
      <w:r>
        <w:rPr>
          <w:b/>
        </w:rPr>
        <w:t>Identification of Improvement Areas</w:t>
      </w:r>
    </w:p>
    <w:p w14:paraId="00000034" w14:textId="77777777" w:rsidR="009219D9" w:rsidRDefault="00000000">
      <w:r>
        <w:t xml:space="preserve">Improving engagement mechanisms to be more accessible and inclusive is one area that might need some work. Even though we tried to reach out to a wide range of people in the community, we may have missed some, such as those who don't speak English or who don't have much access to technology. A more inclusive participation framework might be fostered by strategies that ensure multi-lingual information transmission and other interaction mechanisms, such as physical mail or community events, which could bridge these gaps (Galvão </w:t>
      </w:r>
      <w:r>
        <w:rPr>
          <w:i/>
        </w:rPr>
        <w:t xml:space="preserve">et al., </w:t>
      </w:r>
      <w:r>
        <w:t>2020).</w:t>
      </w:r>
    </w:p>
    <w:p w14:paraId="00000035" w14:textId="77777777" w:rsidR="009219D9" w:rsidRDefault="00000000">
      <w:r>
        <w:t xml:space="preserve">Additionally, there is room for improvement in maintaining participation throughout the project's lifetime. Although there were frequent updates, there could have been more possibilities for ongoing participation once input was collected </w:t>
      </w:r>
      <w:proofErr w:type="gramStart"/>
      <w:r>
        <w:t>in order to</w:t>
      </w:r>
      <w:proofErr w:type="gramEnd"/>
      <w:r>
        <w:t xml:space="preserve"> make things more transparent and accountable. Building feedback loops, </w:t>
      </w:r>
      <w:proofErr w:type="spellStart"/>
      <w:r>
        <w:t>recognising</w:t>
      </w:r>
      <w:proofErr w:type="spellEnd"/>
      <w:r>
        <w:t xml:space="preserve"> community contributions, and demonstrating how resident participation influenced project choices are all ways to achieve this goal.</w:t>
      </w:r>
    </w:p>
    <w:p w14:paraId="00000036" w14:textId="77777777" w:rsidR="009219D9" w:rsidRDefault="009219D9"/>
    <w:p w14:paraId="00000037" w14:textId="77777777" w:rsidR="009219D9" w:rsidRDefault="00000000">
      <w:pPr>
        <w:pStyle w:val="Heading2"/>
      </w:pPr>
      <w:bookmarkStart w:id="14" w:name="_Toc151423971"/>
      <w:r>
        <w:lastRenderedPageBreak/>
        <w:t>Impact of Consultation, Communication, and Collaboration</w:t>
      </w:r>
      <w:bookmarkEnd w:id="14"/>
    </w:p>
    <w:p w14:paraId="00000038" w14:textId="77777777" w:rsidR="009219D9" w:rsidRDefault="00000000">
      <w:pPr>
        <w:rPr>
          <w:b/>
        </w:rPr>
      </w:pPr>
      <w:r>
        <w:rPr>
          <w:b/>
        </w:rPr>
        <w:t xml:space="preserve">Consultation and Communication Impact: </w:t>
      </w:r>
    </w:p>
    <w:p w14:paraId="00000039" w14:textId="77777777" w:rsidR="009219D9" w:rsidRDefault="00000000">
      <w:r>
        <w:t xml:space="preserve">Community participation and project results were greatly influenced by the active consultation and persistent communication tactics that were put into place throughout the Docklands 2.0 project. Residents felt more invested and included in the decision-making process because of frequent discussions that included town hall meetings, polls, and focus groups. These involvements were more than just lip service; they had a major impact on how the project turned out. Architecture, public areas, and infrastructure were all heavily influenced by community feedback, particularly during the design process (Galvão </w:t>
      </w:r>
      <w:r>
        <w:rPr>
          <w:i/>
        </w:rPr>
        <w:t xml:space="preserve">et al., </w:t>
      </w:r>
      <w:r>
        <w:t xml:space="preserve">2020). A more </w:t>
      </w:r>
      <w:proofErr w:type="spellStart"/>
      <w:r>
        <w:t>personalised</w:t>
      </w:r>
      <w:proofErr w:type="spellEnd"/>
      <w:r>
        <w:t>, community-focused development that met the needs and fulfilled the dreams of its inhabitants was the result of this strategy.</w:t>
      </w:r>
    </w:p>
    <w:p w14:paraId="0000003A" w14:textId="77777777" w:rsidR="009219D9" w:rsidRDefault="00000000">
      <w:r>
        <w:t xml:space="preserve">It is impossible to exaggerate the significance of consistent communication. Residents were kept informed and trusted by consistent updates through digital platforms, community forums, and newsletters. Residents saw their ideas become a reality </w:t>
      </w:r>
      <w:proofErr w:type="gramStart"/>
      <w:r>
        <w:t>as a result of</w:t>
      </w:r>
      <w:proofErr w:type="gramEnd"/>
      <w:r>
        <w:t xml:space="preserve"> this open approach, which boosted confidence in the community. The project team's responsiveness to issues demonstrated their sincere interest in hearing out and considering criticism, which bolstered their trustworthiness.</w:t>
      </w:r>
    </w:p>
    <w:p w14:paraId="0000003B" w14:textId="77777777" w:rsidR="009219D9" w:rsidRDefault="00000000">
      <w:pPr>
        <w:rPr>
          <w:b/>
        </w:rPr>
      </w:pPr>
      <w:r>
        <w:rPr>
          <w:b/>
        </w:rPr>
        <w:t>Collaboration and Multi-Agency Partnerships</w:t>
      </w:r>
    </w:p>
    <w:p w14:paraId="0000003C" w14:textId="77777777" w:rsidR="009219D9" w:rsidRDefault="00000000">
      <w:r>
        <w:t xml:space="preserve">The extensive goals of the Docklands 2.0 project could not have been accomplished without the multi-agency relationships. </w:t>
      </w:r>
      <w:proofErr w:type="gramStart"/>
      <w:r>
        <w:t>In order to</w:t>
      </w:r>
      <w:proofErr w:type="gramEnd"/>
      <w:r>
        <w:t xml:space="preserve"> tackle complicated issues in a comprehensive manner, we partnered with many entities, such as environmental groups, property developers, and municipal authorities (NI Business, 2023). By pooling their knowledge and resources, these partnerships were able to achieve results that would have been impossible had they worked alone. As an example, a greener urban landscape was a result of cooperation with environmental </w:t>
      </w:r>
      <w:proofErr w:type="spellStart"/>
      <w:r>
        <w:t>organisations</w:t>
      </w:r>
      <w:proofErr w:type="spellEnd"/>
      <w:r>
        <w:t xml:space="preserve"> that helped establish sustainable design concepts. Regulatory procedures were made easier, and funding for infrastructure development </w:t>
      </w:r>
      <w:proofErr w:type="gramStart"/>
      <w:r>
        <w:t>were</w:t>
      </w:r>
      <w:proofErr w:type="gramEnd"/>
      <w:r>
        <w:t xml:space="preserve"> made available, via partnerships with local authorities.</w:t>
      </w:r>
    </w:p>
    <w:p w14:paraId="0000003D" w14:textId="77777777" w:rsidR="009219D9" w:rsidRDefault="00000000">
      <w:r>
        <w:t xml:space="preserve">However, there were also difficulties associated with these partnerships. Challenges in decision-making and execution often arose from the need to manage diverse </w:t>
      </w:r>
      <w:proofErr w:type="spellStart"/>
      <w:r>
        <w:t>organisational</w:t>
      </w:r>
      <w:proofErr w:type="spellEnd"/>
      <w:r>
        <w:t xml:space="preserve"> cultures and reconcile competing interests. Conflicts sometimes arose because </w:t>
      </w:r>
      <w:proofErr w:type="gramStart"/>
      <w:r>
        <w:t>to</w:t>
      </w:r>
      <w:proofErr w:type="gramEnd"/>
      <w:r>
        <w:t xml:space="preserve"> differences in goals or the availability of resources, necessitating strong systems for mediation and compromise. Furthermore, there </w:t>
      </w:r>
      <w:proofErr w:type="gramStart"/>
      <w:r>
        <w:t>has to</w:t>
      </w:r>
      <w:proofErr w:type="gramEnd"/>
      <w:r>
        <w:t xml:space="preserve"> be a lot of work put into creating explicit pathways for communication and structures for group decision-making in order for multi-agency partners to operate together.</w:t>
      </w:r>
    </w:p>
    <w:p w14:paraId="0000003E" w14:textId="77777777" w:rsidR="009219D9" w:rsidRDefault="00000000">
      <w:pPr>
        <w:pStyle w:val="Heading1"/>
      </w:pPr>
      <w:bookmarkStart w:id="15" w:name="_Toc151423972"/>
      <w:r>
        <w:lastRenderedPageBreak/>
        <w:t>Conclusion</w:t>
      </w:r>
      <w:bookmarkEnd w:id="15"/>
    </w:p>
    <w:p w14:paraId="0000003F" w14:textId="77777777" w:rsidR="009219D9" w:rsidRDefault="00000000">
      <w:r>
        <w:t>The Docklands 2.0 project in East London exemplified community-driven social development. This reflection has examined community engagement, active consultation, continuous communication, and collaborative relationships. A robust engagement approach that requested and used community feedback to determine the project's results made it successful.</w:t>
      </w:r>
    </w:p>
    <w:p w14:paraId="00000040" w14:textId="77777777" w:rsidR="009219D9" w:rsidRDefault="00000000">
      <w:r>
        <w:t xml:space="preserve">The critical study examined how varied engagement tactics affected inclusiveness, stakeholder involvement, and project direction. Early participation builds trust, fosters teamwork, and aligns project goals with community goals, as the reflection showed. The study of research methods and social media showed their importance in </w:t>
      </w:r>
      <w:proofErr w:type="spellStart"/>
      <w:r>
        <w:t>recognising</w:t>
      </w:r>
      <w:proofErr w:type="spellEnd"/>
      <w:r>
        <w:t xml:space="preserve"> community needs and spreading knowledge.</w:t>
      </w:r>
    </w:p>
    <w:p w14:paraId="00000041" w14:textId="77777777" w:rsidR="009219D9" w:rsidRDefault="00000000">
      <w:r>
        <w:t xml:space="preserve">The reflection also critically evaluated alternate techniques and suggested improvements. It </w:t>
      </w:r>
      <w:proofErr w:type="spellStart"/>
      <w:r>
        <w:t>recognised</w:t>
      </w:r>
      <w:proofErr w:type="spellEnd"/>
      <w:r>
        <w:t xml:space="preserve"> the need for engagement strategy flexibility to meet varied community demands. It also examined how active consultation, continuous communication, and multi-agency cooperation affect project success, as well as their obstacles.</w:t>
      </w:r>
    </w:p>
    <w:p w14:paraId="00000042" w14:textId="77777777" w:rsidR="009219D9" w:rsidRDefault="00000000">
      <w:r>
        <w:t>Successful social development relies on community involvement. The Docklands 2.0 project shows that community engagement guarantees initiative responsiveness and fosters community pride. Transparent communication, inclusive engagement, and collaborative relationships drive initiatives that meet community needs and goals. Finally, the Docklands 2.0 project shows that community involvement is essential to sustained and beneficial social development.</w:t>
      </w:r>
    </w:p>
    <w:p w14:paraId="00000043" w14:textId="77777777" w:rsidR="009219D9" w:rsidRDefault="009219D9"/>
    <w:p w14:paraId="00000044" w14:textId="77777777" w:rsidR="009219D9" w:rsidRDefault="00000000">
      <w:pPr>
        <w:rPr>
          <w:b/>
        </w:rPr>
      </w:pPr>
      <w:r>
        <w:br w:type="page"/>
      </w:r>
    </w:p>
    <w:p w14:paraId="00000045" w14:textId="77777777" w:rsidR="009219D9" w:rsidRDefault="00000000">
      <w:pPr>
        <w:pStyle w:val="Heading1"/>
      </w:pPr>
      <w:bookmarkStart w:id="16" w:name="_Toc151423973"/>
      <w:r>
        <w:lastRenderedPageBreak/>
        <w:t>Reference</w:t>
      </w:r>
      <w:bookmarkEnd w:id="16"/>
    </w:p>
    <w:p w14:paraId="00000046" w14:textId="77777777" w:rsidR="009219D9" w:rsidRDefault="00000000">
      <w:pPr>
        <w:spacing w:before="240" w:line="276" w:lineRule="auto"/>
        <w:rPr>
          <w:color w:val="222222"/>
          <w:highlight w:val="white"/>
        </w:rPr>
      </w:pPr>
      <w:r>
        <w:rPr>
          <w:color w:val="222222"/>
          <w:highlight w:val="white"/>
        </w:rPr>
        <w:t>London Assembly, 2023, “LONDON ASSEMBLY: Docklands 2.0”</w:t>
      </w:r>
      <w:hyperlink r:id="rId4">
        <w:r>
          <w:rPr>
            <w:color w:val="222222"/>
            <w:highlight w:val="white"/>
          </w:rPr>
          <w:t xml:space="preserve"> </w:t>
        </w:r>
      </w:hyperlink>
      <w:hyperlink r:id="rId5">
        <w:r>
          <w:rPr>
            <w:color w:val="1155CC"/>
            <w:highlight w:val="white"/>
            <w:u w:val="single"/>
          </w:rPr>
          <w:t>https://www.london.gov.uk/who-we-are/what-london-assembly-does/questions-mayor/find-an-answer/docklands-20</w:t>
        </w:r>
      </w:hyperlink>
      <w:r>
        <w:rPr>
          <w:color w:val="222222"/>
          <w:highlight w:val="white"/>
        </w:rPr>
        <w:t xml:space="preserve"> [Accessed on 19th November 2023]</w:t>
      </w:r>
    </w:p>
    <w:p w14:paraId="00000047" w14:textId="77777777" w:rsidR="009219D9" w:rsidRDefault="00000000">
      <w:pPr>
        <w:spacing w:before="240" w:line="276" w:lineRule="auto"/>
        <w:rPr>
          <w:color w:val="222222"/>
          <w:highlight w:val="white"/>
        </w:rPr>
      </w:pPr>
      <w:r>
        <w:rPr>
          <w:color w:val="222222"/>
          <w:highlight w:val="white"/>
        </w:rPr>
        <w:t xml:space="preserve">Mellor, P., Lord, R.A., João, E., Thomas, R. and </w:t>
      </w:r>
      <w:proofErr w:type="spellStart"/>
      <w:r>
        <w:rPr>
          <w:color w:val="222222"/>
          <w:highlight w:val="white"/>
        </w:rPr>
        <w:t>Hursthouse</w:t>
      </w:r>
      <w:proofErr w:type="spellEnd"/>
      <w:r>
        <w:rPr>
          <w:color w:val="222222"/>
          <w:highlight w:val="white"/>
        </w:rPr>
        <w:t xml:space="preserve">, A., 2021. Identifying non-agricultural marginal lands as a route to sustainable bioenergy provision-a review and holistic definition. </w:t>
      </w:r>
      <w:r>
        <w:rPr>
          <w:i/>
          <w:color w:val="222222"/>
          <w:highlight w:val="white"/>
        </w:rPr>
        <w:t>Renewable and Sustainable Energy Reviews</w:t>
      </w:r>
      <w:r>
        <w:rPr>
          <w:color w:val="222222"/>
          <w:highlight w:val="white"/>
        </w:rPr>
        <w:t xml:space="preserve">, </w:t>
      </w:r>
      <w:r>
        <w:rPr>
          <w:i/>
          <w:color w:val="222222"/>
          <w:highlight w:val="white"/>
        </w:rPr>
        <w:t>135</w:t>
      </w:r>
      <w:r>
        <w:rPr>
          <w:color w:val="222222"/>
          <w:highlight w:val="white"/>
        </w:rPr>
        <w:t>, p.110220.</w:t>
      </w:r>
    </w:p>
    <w:p w14:paraId="00000048" w14:textId="77777777" w:rsidR="009219D9" w:rsidRDefault="00000000">
      <w:pPr>
        <w:spacing w:before="240" w:line="276" w:lineRule="auto"/>
        <w:rPr>
          <w:color w:val="222222"/>
          <w:highlight w:val="white"/>
        </w:rPr>
      </w:pPr>
      <w:r>
        <w:rPr>
          <w:color w:val="222222"/>
          <w:highlight w:val="white"/>
        </w:rPr>
        <w:t>NI Business, 2023, “</w:t>
      </w:r>
      <w:r>
        <w:rPr>
          <w:i/>
          <w:color w:val="222222"/>
          <w:highlight w:val="white"/>
        </w:rPr>
        <w:t>Corporate social responsibility (CSR)</w:t>
      </w:r>
      <w:r>
        <w:rPr>
          <w:color w:val="222222"/>
          <w:highlight w:val="white"/>
        </w:rPr>
        <w:t>”, Available at:</w:t>
      </w:r>
      <w:hyperlink r:id="rId6">
        <w:r>
          <w:rPr>
            <w:color w:val="222222"/>
            <w:highlight w:val="white"/>
          </w:rPr>
          <w:t xml:space="preserve"> </w:t>
        </w:r>
      </w:hyperlink>
      <w:hyperlink r:id="rId7">
        <w:r>
          <w:rPr>
            <w:color w:val="1155CC"/>
            <w:highlight w:val="white"/>
            <w:u w:val="single"/>
          </w:rPr>
          <w:t>https://www.nibusinessinfo.co.uk/content/corporate-social-responsibility-environmental-impact</w:t>
        </w:r>
      </w:hyperlink>
      <w:r>
        <w:rPr>
          <w:color w:val="222222"/>
          <w:highlight w:val="white"/>
        </w:rPr>
        <w:t xml:space="preserve">  [Accessed on 19th November 2023]</w:t>
      </w:r>
    </w:p>
    <w:p w14:paraId="00000049" w14:textId="77777777" w:rsidR="009219D9" w:rsidRDefault="00000000">
      <w:pPr>
        <w:spacing w:before="240" w:after="240"/>
        <w:rPr>
          <w:color w:val="222222"/>
          <w:highlight w:val="white"/>
        </w:rPr>
      </w:pPr>
      <w:r>
        <w:rPr>
          <w:color w:val="222222"/>
          <w:highlight w:val="white"/>
        </w:rPr>
        <w:t>Dan-</w:t>
      </w:r>
      <w:proofErr w:type="spellStart"/>
      <w:r>
        <w:rPr>
          <w:color w:val="222222"/>
          <w:highlight w:val="white"/>
        </w:rPr>
        <w:t>Ogosi</w:t>
      </w:r>
      <w:proofErr w:type="spellEnd"/>
      <w:r>
        <w:rPr>
          <w:color w:val="222222"/>
          <w:highlight w:val="white"/>
        </w:rPr>
        <w:t xml:space="preserve">, I., 2023. </w:t>
      </w:r>
      <w:r>
        <w:rPr>
          <w:i/>
          <w:color w:val="222222"/>
          <w:highlight w:val="white"/>
        </w:rPr>
        <w:t>The impact of participatory budgeting on health and well-being: a qualitative case study of a deprived community in London</w:t>
      </w:r>
      <w:r>
        <w:rPr>
          <w:color w:val="222222"/>
          <w:highlight w:val="white"/>
        </w:rPr>
        <w:t xml:space="preserve"> (Doctoral dissertation, University of East London).</w:t>
      </w:r>
    </w:p>
    <w:p w14:paraId="0000004A" w14:textId="77777777" w:rsidR="009219D9" w:rsidRDefault="00000000">
      <w:pPr>
        <w:spacing w:before="240" w:line="276" w:lineRule="auto"/>
        <w:rPr>
          <w:color w:val="222222"/>
          <w:highlight w:val="white"/>
        </w:rPr>
      </w:pPr>
      <w:r>
        <w:rPr>
          <w:color w:val="222222"/>
          <w:highlight w:val="white"/>
        </w:rPr>
        <w:t xml:space="preserve">Galvão, A.R., Marques, C.S., Ferreira, J.J. and Braga, V., 2020. Stakeholders’ role in entrepreneurship education and training </w:t>
      </w:r>
      <w:proofErr w:type="spellStart"/>
      <w:r>
        <w:rPr>
          <w:color w:val="222222"/>
          <w:highlight w:val="white"/>
        </w:rPr>
        <w:t>programmes</w:t>
      </w:r>
      <w:proofErr w:type="spellEnd"/>
      <w:r>
        <w:rPr>
          <w:color w:val="222222"/>
          <w:highlight w:val="white"/>
        </w:rPr>
        <w:t xml:space="preserve"> with impacts on regional development. </w:t>
      </w:r>
      <w:r>
        <w:rPr>
          <w:i/>
          <w:color w:val="222222"/>
          <w:highlight w:val="white"/>
        </w:rPr>
        <w:t>Journal of Rural Studies</w:t>
      </w:r>
      <w:r>
        <w:rPr>
          <w:color w:val="222222"/>
          <w:highlight w:val="white"/>
        </w:rPr>
        <w:t xml:space="preserve">, </w:t>
      </w:r>
      <w:r>
        <w:rPr>
          <w:i/>
          <w:color w:val="222222"/>
          <w:highlight w:val="white"/>
        </w:rPr>
        <w:t>74</w:t>
      </w:r>
      <w:r>
        <w:rPr>
          <w:color w:val="222222"/>
          <w:highlight w:val="white"/>
        </w:rPr>
        <w:t>, pp.169-179.</w:t>
      </w:r>
    </w:p>
    <w:p w14:paraId="0000004B" w14:textId="77777777" w:rsidR="009219D9" w:rsidRDefault="00000000">
      <w:pPr>
        <w:spacing w:before="240" w:line="276" w:lineRule="auto"/>
        <w:rPr>
          <w:color w:val="222222"/>
          <w:highlight w:val="white"/>
        </w:rPr>
      </w:pPr>
      <w:r>
        <w:rPr>
          <w:color w:val="222222"/>
          <w:highlight w:val="white"/>
        </w:rPr>
        <w:t xml:space="preserve">Silva, P.A., Antunes, M.J., Tymoshchuk, O., Pedro, L., Almeida, M. and Ramos, F., 2020. Understanding the role of communication and mediation strategies in community-led territorial innovation: a systematic review. </w:t>
      </w:r>
      <w:r>
        <w:rPr>
          <w:i/>
          <w:color w:val="222222"/>
          <w:highlight w:val="white"/>
        </w:rPr>
        <w:t>Interaction Design and Architecture (s) Journal (</w:t>
      </w:r>
      <w:proofErr w:type="spellStart"/>
      <w:r>
        <w:rPr>
          <w:i/>
          <w:color w:val="222222"/>
          <w:highlight w:val="white"/>
        </w:rPr>
        <w:t>IxD&amp;A</w:t>
      </w:r>
      <w:proofErr w:type="spellEnd"/>
      <w:r>
        <w:rPr>
          <w:i/>
          <w:color w:val="222222"/>
          <w:highlight w:val="white"/>
        </w:rPr>
        <w:t>)</w:t>
      </w:r>
      <w:r>
        <w:rPr>
          <w:color w:val="222222"/>
          <w:highlight w:val="white"/>
        </w:rPr>
        <w:t xml:space="preserve">, </w:t>
      </w:r>
      <w:r>
        <w:rPr>
          <w:i/>
          <w:color w:val="222222"/>
          <w:highlight w:val="white"/>
        </w:rPr>
        <w:t>44</w:t>
      </w:r>
      <w:r>
        <w:rPr>
          <w:color w:val="222222"/>
          <w:highlight w:val="white"/>
        </w:rPr>
        <w:t>, pp.7-28.</w:t>
      </w:r>
    </w:p>
    <w:p w14:paraId="0000004C" w14:textId="77777777" w:rsidR="009219D9" w:rsidRDefault="00000000">
      <w:pPr>
        <w:spacing w:before="240" w:line="276" w:lineRule="auto"/>
        <w:rPr>
          <w:color w:val="222222"/>
          <w:highlight w:val="white"/>
        </w:rPr>
      </w:pPr>
      <w:r>
        <w:rPr>
          <w:color w:val="222222"/>
          <w:highlight w:val="white"/>
        </w:rPr>
        <w:t xml:space="preserve">Harrington, C., </w:t>
      </w:r>
      <w:proofErr w:type="spellStart"/>
      <w:r>
        <w:rPr>
          <w:color w:val="222222"/>
          <w:highlight w:val="white"/>
        </w:rPr>
        <w:t>Erete</w:t>
      </w:r>
      <w:proofErr w:type="spellEnd"/>
      <w:r>
        <w:rPr>
          <w:color w:val="222222"/>
          <w:highlight w:val="white"/>
        </w:rPr>
        <w:t xml:space="preserve">, S. and Piper, A.M., 2019. Deconstructing community-based collaborative design: Towards more equitable participatory design engagements. </w:t>
      </w:r>
      <w:r>
        <w:rPr>
          <w:i/>
          <w:color w:val="222222"/>
          <w:highlight w:val="white"/>
        </w:rPr>
        <w:t>Proceedings of the ACM on Human-Computer Interaction</w:t>
      </w:r>
      <w:r>
        <w:rPr>
          <w:color w:val="222222"/>
          <w:highlight w:val="white"/>
        </w:rPr>
        <w:t xml:space="preserve">, </w:t>
      </w:r>
      <w:r>
        <w:rPr>
          <w:i/>
          <w:color w:val="222222"/>
          <w:highlight w:val="white"/>
        </w:rPr>
        <w:t>3</w:t>
      </w:r>
      <w:r>
        <w:rPr>
          <w:color w:val="222222"/>
          <w:highlight w:val="white"/>
        </w:rPr>
        <w:t>(CSCW), pp.1-25.</w:t>
      </w:r>
    </w:p>
    <w:p w14:paraId="0000004D" w14:textId="77777777" w:rsidR="009219D9" w:rsidRDefault="00000000">
      <w:pPr>
        <w:spacing w:before="240" w:line="276" w:lineRule="auto"/>
        <w:rPr>
          <w:color w:val="222222"/>
          <w:highlight w:val="white"/>
        </w:rPr>
      </w:pPr>
      <w:r>
        <w:rPr>
          <w:color w:val="222222"/>
          <w:highlight w:val="white"/>
        </w:rPr>
        <w:t>UA, 2023, “</w:t>
      </w:r>
      <w:r>
        <w:rPr>
          <w:i/>
          <w:color w:val="222222"/>
          <w:highlight w:val="white"/>
        </w:rPr>
        <w:t xml:space="preserve">Why Green Belt land development </w:t>
      </w:r>
      <w:proofErr w:type="spellStart"/>
      <w:r>
        <w:rPr>
          <w:i/>
          <w:color w:val="222222"/>
          <w:highlight w:val="white"/>
        </w:rPr>
        <w:t>iskey</w:t>
      </w:r>
      <w:proofErr w:type="spellEnd"/>
      <w:r>
        <w:rPr>
          <w:i/>
          <w:color w:val="222222"/>
          <w:highlight w:val="white"/>
        </w:rPr>
        <w:t xml:space="preserve"> to meeting the UK's </w:t>
      </w:r>
      <w:proofErr w:type="spellStart"/>
      <w:r>
        <w:rPr>
          <w:i/>
          <w:color w:val="222222"/>
          <w:highlight w:val="white"/>
        </w:rPr>
        <w:t>growinghousing</w:t>
      </w:r>
      <w:proofErr w:type="spellEnd"/>
      <w:r>
        <w:rPr>
          <w:i/>
          <w:color w:val="222222"/>
          <w:highlight w:val="white"/>
        </w:rPr>
        <w:t xml:space="preserve"> demand</w:t>
      </w:r>
      <w:r>
        <w:rPr>
          <w:color w:val="222222"/>
          <w:highlight w:val="white"/>
        </w:rPr>
        <w:t>”, Available at:</w:t>
      </w:r>
      <w:hyperlink r:id="rId8">
        <w:r>
          <w:rPr>
            <w:color w:val="222222"/>
            <w:highlight w:val="white"/>
          </w:rPr>
          <w:t xml:space="preserve"> </w:t>
        </w:r>
      </w:hyperlink>
      <w:hyperlink r:id="rId9">
        <w:r>
          <w:rPr>
            <w:color w:val="1155CC"/>
            <w:highlight w:val="white"/>
            <w:u w:val="single"/>
          </w:rPr>
          <w:t>https://urbanistarchitecture.co.uk/green-belt-land-housing-shortage/</w:t>
        </w:r>
      </w:hyperlink>
      <w:r>
        <w:rPr>
          <w:color w:val="222222"/>
          <w:highlight w:val="white"/>
        </w:rPr>
        <w:t xml:space="preserve"> [Accessed on 19th November 2023]</w:t>
      </w:r>
    </w:p>
    <w:p w14:paraId="0000004E" w14:textId="77777777" w:rsidR="009219D9" w:rsidRDefault="00000000">
      <w:pPr>
        <w:spacing w:before="240" w:line="276" w:lineRule="auto"/>
        <w:rPr>
          <w:color w:val="222222"/>
          <w:highlight w:val="white"/>
        </w:rPr>
      </w:pPr>
      <w:proofErr w:type="spellStart"/>
      <w:r>
        <w:rPr>
          <w:color w:val="222222"/>
          <w:highlight w:val="white"/>
        </w:rPr>
        <w:t>Lasserson</w:t>
      </w:r>
      <w:proofErr w:type="spellEnd"/>
      <w:r>
        <w:rPr>
          <w:color w:val="222222"/>
          <w:highlight w:val="white"/>
        </w:rPr>
        <w:t xml:space="preserve">, T.J., Thomas, J. and Higgins, J.P., 2019. Starting a review. </w:t>
      </w:r>
      <w:r>
        <w:rPr>
          <w:i/>
          <w:color w:val="222222"/>
          <w:highlight w:val="white"/>
        </w:rPr>
        <w:t>Cochrane handbook for systematic reviews of interventions</w:t>
      </w:r>
      <w:r>
        <w:rPr>
          <w:color w:val="222222"/>
          <w:highlight w:val="white"/>
        </w:rPr>
        <w:t>, pp.1-12.</w:t>
      </w:r>
    </w:p>
    <w:p w14:paraId="0000004F" w14:textId="77777777" w:rsidR="009219D9" w:rsidRDefault="009219D9">
      <w:pPr>
        <w:spacing w:before="240" w:line="276" w:lineRule="auto"/>
        <w:rPr>
          <w:color w:val="222222"/>
          <w:highlight w:val="white"/>
        </w:rPr>
      </w:pPr>
    </w:p>
    <w:sectPr w:rsidR="009219D9" w:rsidSect="00AA7CF6">
      <w:pgSz w:w="11906" w:h="16838"/>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19D9"/>
    <w:rsid w:val="009219D9"/>
    <w:rsid w:val="00A02C71"/>
    <w:rsid w:val="00AA7C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BB55E"/>
  <w15:docId w15:val="{A70FDB8E-7E47-4A71-BC23-56C37291E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AA7CF6"/>
    <w:pPr>
      <w:spacing w:after="100"/>
    </w:pPr>
  </w:style>
  <w:style w:type="paragraph" w:styleId="TOC2">
    <w:name w:val="toc 2"/>
    <w:basedOn w:val="Normal"/>
    <w:next w:val="Normal"/>
    <w:autoRedefine/>
    <w:uiPriority w:val="39"/>
    <w:unhideWhenUsed/>
    <w:rsid w:val="00AA7CF6"/>
    <w:pPr>
      <w:spacing w:after="100"/>
      <w:ind w:left="240"/>
    </w:pPr>
  </w:style>
  <w:style w:type="character" w:styleId="Hyperlink">
    <w:name w:val="Hyperlink"/>
    <w:basedOn w:val="DefaultParagraphFont"/>
    <w:uiPriority w:val="99"/>
    <w:unhideWhenUsed/>
    <w:rsid w:val="00AA7C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rbanistarchitecture.co.uk/green-belt-land-housing-shortage/" TargetMode="External"/><Relationship Id="rId3" Type="http://schemas.openxmlformats.org/officeDocument/2006/relationships/webSettings" Target="webSettings.xml"/><Relationship Id="rId7" Type="http://schemas.openxmlformats.org/officeDocument/2006/relationships/hyperlink" Target="https://www.nibusinessinfo.co.uk/content/corporate-social-responsibility-environmental-impac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businessinfo.co.uk/content/corporate-social-responsibility-environmental-impact" TargetMode="External"/><Relationship Id="rId11" Type="http://schemas.openxmlformats.org/officeDocument/2006/relationships/theme" Target="theme/theme1.xml"/><Relationship Id="rId5" Type="http://schemas.openxmlformats.org/officeDocument/2006/relationships/hyperlink" Target="https://www.london.gov.uk/who-we-are/what-london-assembly-does/questions-mayor/find-an-answer/docklands-20" TargetMode="External"/><Relationship Id="rId10" Type="http://schemas.openxmlformats.org/officeDocument/2006/relationships/fontTable" Target="fontTable.xml"/><Relationship Id="rId4" Type="http://schemas.openxmlformats.org/officeDocument/2006/relationships/hyperlink" Target="https://www.london.gov.uk/who-we-are/what-london-assembly-does/questions-mayor/find-an-answer/docklands-20" TargetMode="External"/><Relationship Id="rId9" Type="http://schemas.openxmlformats.org/officeDocument/2006/relationships/hyperlink" Target="https://urbanistarchitecture.co.uk/green-belt-land-housing-shor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2812</Words>
  <Characters>16032</Characters>
  <Application>Microsoft Office Word</Application>
  <DocSecurity>0</DocSecurity>
  <Lines>133</Lines>
  <Paragraphs>37</Paragraphs>
  <ScaleCrop>false</ScaleCrop>
  <Company/>
  <LinksUpToDate>false</LinksUpToDate>
  <CharactersWithSpaces>18807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alexi</dc:creator>
  <cp:lastModifiedBy>Mihaela-Ruxandra Iancu (2133740)</cp:lastModifiedBy>
  <cp:revision>2</cp:revision>
  <dcterms:created xsi:type="dcterms:W3CDTF">2023-11-25T21:14:00Z</dcterms:created>
  <dcterms:modified xsi:type="dcterms:W3CDTF">2023-11-25T21:14:00Z</dcterms:modified>
</cp:coreProperties>
</file>