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DDE1F" w14:textId="47EB3E15" w:rsidR="00416F5F" w:rsidRDefault="006A4176" w:rsidP="006A4176">
      <w:pPr>
        <w:jc w:val="center"/>
      </w:pPr>
      <w:r>
        <w:t>Legal Research</w:t>
      </w:r>
    </w:p>
    <w:p w14:paraId="663B4670" w14:textId="76056471" w:rsidR="006A4176" w:rsidRDefault="006A4176" w:rsidP="006A4176">
      <w:pPr>
        <w:jc w:val="center"/>
      </w:pPr>
      <w:r>
        <w:t>Time Stomp Festival</w:t>
      </w:r>
    </w:p>
    <w:p w14:paraId="56BB514D" w14:textId="77777777" w:rsidR="006A4176" w:rsidRDefault="006A4176" w:rsidP="006A4176">
      <w:pPr>
        <w:jc w:val="center"/>
      </w:pPr>
    </w:p>
    <w:p w14:paraId="689E9EEF" w14:textId="77777777" w:rsidR="006A4176" w:rsidRDefault="006A4176" w:rsidP="006A4176">
      <w:pPr>
        <w:jc w:val="center"/>
      </w:pPr>
    </w:p>
    <w:p w14:paraId="594DF840" w14:textId="61028DB2" w:rsidR="006A4176" w:rsidRDefault="00CF4E60" w:rsidP="00CF4E60">
      <w:r>
        <w:t>Barry’s Potential Liability for Injuries</w:t>
      </w:r>
    </w:p>
    <w:p w14:paraId="1B16F463" w14:textId="77777777" w:rsidR="00CF4E60" w:rsidRDefault="00CF4E60" w:rsidP="00CF4E60"/>
    <w:p w14:paraId="4CAF8475" w14:textId="716362FE" w:rsidR="00CF4E60" w:rsidRDefault="00CF4E60" w:rsidP="00CF4E60">
      <w:r>
        <w:t xml:space="preserve">In this case, Barry Bottleman, as the owner of the </w:t>
      </w:r>
      <w:r w:rsidR="001F73E3">
        <w:t xml:space="preserve">Time stomp festival, may have liability for the injuries sustained by Sarah, Jack, Mary, and Janice, depending on several factors related to negligence and the duty of care owned by him as the organizer of the event. </w:t>
      </w:r>
    </w:p>
    <w:p w14:paraId="11B666CD" w14:textId="77777777" w:rsidR="001F73E3" w:rsidRDefault="001F73E3" w:rsidP="00CF4E60"/>
    <w:p w14:paraId="58C3DDEB" w14:textId="3411E069" w:rsidR="001F73E3" w:rsidRDefault="001F73E3" w:rsidP="00CF4E60">
      <w:r>
        <w:t xml:space="preserve">Duty of care </w:t>
      </w:r>
    </w:p>
    <w:p w14:paraId="51990F95" w14:textId="77777777" w:rsidR="001F73E3" w:rsidRDefault="001F73E3" w:rsidP="00CF4E60"/>
    <w:p w14:paraId="67C80E75" w14:textId="10C22860" w:rsidR="001F73E3" w:rsidRDefault="001F73E3" w:rsidP="00CF4E60">
      <w:r>
        <w:t xml:space="preserve">As the festival owner, Barry has a legal duty of care to ensure the safety and well-being of all festival attendees, including Sarah, Jack, Mary, and Janice. This duty required that reasonable steps be taken to prevent foreseeable harm during the event. Barry, as the organizer, is responsible for creating and maintaining a safe environment for all attendees, including the safe execution planned activities such as fireworks, crowd control, and emergency response measures. </w:t>
      </w:r>
    </w:p>
    <w:p w14:paraId="71FB3ADC" w14:textId="77777777" w:rsidR="001F73E3" w:rsidRDefault="001F73E3" w:rsidP="00CF4E60"/>
    <w:p w14:paraId="074631D0" w14:textId="77777777" w:rsidR="001F73E3" w:rsidRDefault="001F73E3" w:rsidP="00CF4E60"/>
    <w:p w14:paraId="14C0A90A" w14:textId="57EBBB66" w:rsidR="001F73E3" w:rsidRDefault="001F73E3" w:rsidP="00CF4E60">
      <w:r>
        <w:t>Breach of Duty</w:t>
      </w:r>
    </w:p>
    <w:p w14:paraId="6DCAD260" w14:textId="77777777" w:rsidR="00F05184" w:rsidRDefault="00F05184" w:rsidP="00CF4E60"/>
    <w:p w14:paraId="2453E622" w14:textId="61C57479" w:rsidR="00F05184" w:rsidRDefault="00F05184" w:rsidP="00CF4E60">
      <w:r>
        <w:t xml:space="preserve">The breach of duty here could arise from several failures for example firework malfunction because the fireworks malfunctioning and shooting in the wrong direction could indicate negligence. Barry, as the festival organizer, would need to ensure that all safety measures related to the fireworks were taken. If there was a failure to ensure the fireworks were properly tested, maintained, and safely directed, this could constitute a breach of his duty o care. </w:t>
      </w:r>
    </w:p>
    <w:p w14:paraId="272971F6" w14:textId="77777777" w:rsidR="00F05184" w:rsidRDefault="00F05184" w:rsidP="00CF4E60"/>
    <w:p w14:paraId="02848B1B" w14:textId="75E26F5D" w:rsidR="00F05184" w:rsidRDefault="00F05184" w:rsidP="00CF4E60">
      <w:r>
        <w:t xml:space="preserve">Also, there is the crowd control because the stampede that followed the fireworks malfunction suggests that crowd control measures may have been insufficient. Festivals, especially those involving large crowd and potentially dangerous displays, require crowd management protocols to ensure the safety of attendees. Barry could be held liable if there was inadequate preparation for managing such situations, particularly if there were no clear exit routes on hand to manage panic induced stampedes. </w:t>
      </w:r>
    </w:p>
    <w:p w14:paraId="7CDEB059" w14:textId="77777777" w:rsidR="00F05184" w:rsidRDefault="00F05184" w:rsidP="00CF4E60"/>
    <w:p w14:paraId="20895892" w14:textId="5585F251" w:rsidR="00F05184" w:rsidRDefault="00F05184" w:rsidP="00CF4E60">
      <w:r>
        <w:t>However</w:t>
      </w:r>
      <w:r w:rsidR="004832DC">
        <w:t xml:space="preserve">, emergency response would be another area of potential negligence because is the response to the panic and injuries. Barry and his staff may have failed to take immediate action to mitigate the damage once the stampede occurred, such as providing suitable first or quickly evacuating the people injured. Furthermore, if there were no trained medical personnel or insufficient medical coverage, this could be another failure in fulfilling his duty of care. </w:t>
      </w:r>
    </w:p>
    <w:p w14:paraId="3F5D3B15" w14:textId="77777777" w:rsidR="004832DC" w:rsidRDefault="004832DC" w:rsidP="00CF4E60"/>
    <w:p w14:paraId="6BB2AA6F" w14:textId="77777777" w:rsidR="004832DC" w:rsidRDefault="004832DC" w:rsidP="00CF4E60"/>
    <w:p w14:paraId="38ED59BF" w14:textId="77777777" w:rsidR="004832DC" w:rsidRDefault="004832DC" w:rsidP="00CF4E60"/>
    <w:p w14:paraId="7568B606" w14:textId="77777777" w:rsidR="004832DC" w:rsidRDefault="004832DC" w:rsidP="00CF4E60"/>
    <w:p w14:paraId="6AC4FD76" w14:textId="0498CFCE" w:rsidR="004832DC" w:rsidRDefault="004832DC" w:rsidP="00CF4E60">
      <w:r>
        <w:lastRenderedPageBreak/>
        <w:t>Causation</w:t>
      </w:r>
    </w:p>
    <w:p w14:paraId="0F740CF1" w14:textId="7C83B9C1" w:rsidR="004832DC" w:rsidRDefault="004832DC" w:rsidP="00CF4E60"/>
    <w:p w14:paraId="455726FE" w14:textId="0CA1A5F7" w:rsidR="004832DC" w:rsidRDefault="004832DC" w:rsidP="00CF4E60">
      <w:r>
        <w:t>For Barry to be liable, there needs to be direct link between his breach of duty and the injuries sustained by the victims. In this case, Sarah was trampled on and burnt by the fireworks. The malfunctioning fireworks and the stampede can both be seen as proximate causes of her injuries</w:t>
      </w:r>
      <w:r w:rsidR="00B50158">
        <w:t xml:space="preserve">. If Barry failed to ensure the proper setup and safety checks for the fireworks or crowd control, his breach directly contributed to Sarah’s injuries. </w:t>
      </w:r>
    </w:p>
    <w:p w14:paraId="38605E11" w14:textId="77777777" w:rsidR="00B50158" w:rsidRDefault="00B50158" w:rsidP="00CF4E60"/>
    <w:p w14:paraId="43328EA0" w14:textId="4C7FF945" w:rsidR="00B50158" w:rsidRDefault="00B50158" w:rsidP="00CF4E60">
      <w:r>
        <w:t xml:space="preserve">Jack was not directly injured in the same way as Sarah, his post traumatic stress disorder could be seen as a psychological injury caused by the chaotic events, which were expected consequences of the stampede. However, the psychological impact may be harder to attribute to Barry directly unless it can be shown that his failure to manage the event contributed to the trauma. </w:t>
      </w:r>
    </w:p>
    <w:p w14:paraId="391963C7" w14:textId="77777777" w:rsidR="00B50158" w:rsidRDefault="00B50158" w:rsidP="00CF4E60"/>
    <w:p w14:paraId="3DCCF049" w14:textId="4460F684" w:rsidR="00B50158" w:rsidRDefault="00B50158" w:rsidP="00CF4E60">
      <w:r>
        <w:t xml:space="preserve">Mary and Janice both suffered psychological injuries due to witnessing the traumatic events. If it can be shown that Barry’s failure to take precautions in the event such as proper crowd control, firework safety, and emergency procedures directly caused their emotional distress, Barry could be held liable for the psychological injuries they sustained. </w:t>
      </w:r>
    </w:p>
    <w:p w14:paraId="03435FA0" w14:textId="77777777" w:rsidR="0063168F" w:rsidRDefault="0063168F" w:rsidP="00CF4E60"/>
    <w:p w14:paraId="2909A874" w14:textId="13AF747A" w:rsidR="0063168F" w:rsidRDefault="0063168F" w:rsidP="00CF4E60">
      <w:r>
        <w:t xml:space="preserve">Bob’s alcohol addiction and subsequent psychosis may be more difficult to directly attribute to Barry’s actions. However, if it can be shown that Bob’s attempt to assist in the aftermath was a foreseeable consequence of the panic and chaos, there could be an argument for Barry’s liability, especially if it was shown that Barry’s failure to ensure the safety of attendees led to this ongoing psychological impact. </w:t>
      </w:r>
    </w:p>
    <w:p w14:paraId="18B59F8B" w14:textId="77777777" w:rsidR="0063168F" w:rsidRDefault="0063168F" w:rsidP="00CF4E60"/>
    <w:p w14:paraId="0E3EC5F1" w14:textId="77777777" w:rsidR="0063168F" w:rsidRDefault="0063168F" w:rsidP="00CF4E60"/>
    <w:p w14:paraId="25B4AC7A" w14:textId="1875095A" w:rsidR="0063168F" w:rsidRDefault="0063168F" w:rsidP="00CF4E60">
      <w:r>
        <w:t xml:space="preserve">Under the law of tort, for a claim to succeed, the damage must not be too remote. While Barry could be liable for the injuries sustained by Sarah and Jack, as well as the psychological harm to Mary and Janice, Bob’s long term psychological injuries may be more difficult to attribute to the specific event, particularly if they are seen as a result of his personal decision to intervene in a chaotic situation. </w:t>
      </w:r>
    </w:p>
    <w:p w14:paraId="5FF744B2" w14:textId="77777777" w:rsidR="00F90F22" w:rsidRDefault="00F90F22" w:rsidP="00CF4E60"/>
    <w:p w14:paraId="7D80C170" w14:textId="77777777" w:rsidR="00F90F22" w:rsidRDefault="00F90F22" w:rsidP="00CF4E60"/>
    <w:p w14:paraId="79929E92" w14:textId="77777777" w:rsidR="00F90F22" w:rsidRDefault="00F90F22" w:rsidP="00CF4E60"/>
    <w:p w14:paraId="787AF229" w14:textId="77777777" w:rsidR="00F90F22" w:rsidRDefault="00F90F22" w:rsidP="00CF4E60"/>
    <w:p w14:paraId="373F9A77" w14:textId="1916E6FD" w:rsidR="00F90F22" w:rsidRDefault="00F90F22" w:rsidP="00CF4E60">
      <w:r>
        <w:t>Evaluation of two issues arising out of potential claims and suggestions for reform are the Psychological Injuries one of the key issues from this case is the claim for psychological injuries, such as PTSD, anxiety disorder, and depression, suffered by Jack, Mary, and Janice. Psychological injuries have become increasingly recognized in tort law, but challenges persist in establishing clear causation and determining the appropriate compensation.</w:t>
      </w:r>
    </w:p>
    <w:p w14:paraId="579293FC" w14:textId="77777777" w:rsidR="00F90F22" w:rsidRDefault="00F90F22" w:rsidP="00CF4E60"/>
    <w:p w14:paraId="23FD06F5" w14:textId="77777777" w:rsidR="00F90F22" w:rsidRDefault="00F90F22" w:rsidP="00CF4E60"/>
    <w:p w14:paraId="5F10E860" w14:textId="2B85D651" w:rsidR="00F90F22" w:rsidRDefault="00F90F22" w:rsidP="00CF4E60">
      <w:r>
        <w:t xml:space="preserve">It can be difficult to prove that the psychological injuries were a direct result of Barry’s negligence, especially when dealing with conditions like PTSD and general anxiety </w:t>
      </w:r>
      <w:r>
        <w:lastRenderedPageBreak/>
        <w:t xml:space="preserve">disorder, which often require extensive medical evidence. For example, Jack’s PTSD is linked to the trauma he witnessed but establishing that it was caused by the stampede. Mary’s anxiety and Janice’s depression could also be linked to witnessing the trauma, but it may be difficult to prove that the injury occurred due to Barry’s failure to provide safety measures. </w:t>
      </w:r>
    </w:p>
    <w:p w14:paraId="4BB2698F" w14:textId="77777777" w:rsidR="00F90F22" w:rsidRDefault="00F90F22" w:rsidP="00CF4E60"/>
    <w:p w14:paraId="0B326E04" w14:textId="039EB3A5" w:rsidR="00F90F22" w:rsidRDefault="00F90F22" w:rsidP="00CF4E60">
      <w:r>
        <w:t xml:space="preserve">Suggestion to Reform is a clearer framework for psychological injury claims should </w:t>
      </w:r>
      <w:r w:rsidR="008E1836">
        <w:t>be</w:t>
      </w:r>
      <w:r>
        <w:t xml:space="preserve"> established, particularly for events involving large crowds and public events. </w:t>
      </w:r>
    </w:p>
    <w:p w14:paraId="5040CC64" w14:textId="77777777" w:rsidR="00F90F22" w:rsidRDefault="00F90F22" w:rsidP="00CF4E60"/>
    <w:p w14:paraId="0662378B" w14:textId="77777777" w:rsidR="00F90F22" w:rsidRDefault="00F90F22" w:rsidP="00CF4E60"/>
    <w:p w14:paraId="71DF16A0" w14:textId="4DF7F497" w:rsidR="00F90F22" w:rsidRDefault="004B0DAC" w:rsidP="00CF4E60">
      <w:r>
        <w:t xml:space="preserve">Another one is insufficient crowd control measures and event planning as the lack of effective crowd control and emergency response plans, which led to the stampede. The malfunctioning fireworks, combined with poorly managed crowd, created a dangerous situation that escalated into significant harm. </w:t>
      </w:r>
    </w:p>
    <w:p w14:paraId="0DD13489" w14:textId="77777777" w:rsidR="004B0DAC" w:rsidRDefault="004B0DAC" w:rsidP="00CF4E60"/>
    <w:p w14:paraId="7FACED3E" w14:textId="77777777" w:rsidR="004B0DAC" w:rsidRDefault="004B0DAC" w:rsidP="00CF4E60"/>
    <w:p w14:paraId="7CCBF606" w14:textId="1CD6FD74" w:rsidR="004B0DAC" w:rsidRDefault="004B0DAC" w:rsidP="00CF4E60">
      <w:r>
        <w:t xml:space="preserve">Barry, as the organizer, is responsible for planning for emergencies. The fact there was a stampede and a lack of clear guidance on how to safely exit the venue suggests that Barry may have failed to implement proper crowd control measures. Additionally, there seems to have been a lack of immediate action to assist the injured. </w:t>
      </w:r>
    </w:p>
    <w:p w14:paraId="1185AE5E" w14:textId="77777777" w:rsidR="004B0DAC" w:rsidRDefault="004B0DAC" w:rsidP="00CF4E60"/>
    <w:p w14:paraId="364C0A54" w14:textId="32B8D3DE" w:rsidR="004B0DAC" w:rsidRDefault="004B0DAC" w:rsidP="00CF4E60">
      <w:r>
        <w:t xml:space="preserve">Suggestion to Reform is that there could be reforms aimed at strengthening the requirements for event organizers regarding mandatory safety plans and the regular safety audits. </w:t>
      </w:r>
    </w:p>
    <w:p w14:paraId="0398A7DC" w14:textId="77777777" w:rsidR="004B0DAC" w:rsidRDefault="004B0DAC" w:rsidP="00CF4E60"/>
    <w:p w14:paraId="5F6F6D6B" w14:textId="77777777" w:rsidR="004B0DAC" w:rsidRDefault="004B0DAC" w:rsidP="00CF4E60"/>
    <w:p w14:paraId="442A7B26" w14:textId="77777777" w:rsidR="004B0DAC" w:rsidRDefault="004B0DAC" w:rsidP="00CF4E60"/>
    <w:p w14:paraId="5A850867" w14:textId="77777777" w:rsidR="004B0DAC" w:rsidRDefault="004B0DAC" w:rsidP="00CF4E60"/>
    <w:p w14:paraId="6AB0AA13" w14:textId="6BB2F2B9" w:rsidR="004B0DAC" w:rsidRDefault="004B0DAC" w:rsidP="00CF4E60">
      <w:r>
        <w:t>Conclusion</w:t>
      </w:r>
    </w:p>
    <w:p w14:paraId="395D8062" w14:textId="77777777" w:rsidR="004B0DAC" w:rsidRDefault="004B0DAC" w:rsidP="00CF4E60"/>
    <w:p w14:paraId="19F9C146" w14:textId="4D3CCE3B" w:rsidR="004B0DAC" w:rsidRDefault="004B0DAC" w:rsidP="00CF4E60">
      <w:r>
        <w:t xml:space="preserve">In conclusion, Barry could potentially be held liable for the injuries suffered by Sarah, Jack, Mary, and Janice due to his failure to ensure proper safety measures for the fireworks and crowd control at the Time Stomp festival. The issue of psychological injuries and insufficient crowd control highlight areas where tort law could benefit from reforms to better address these challenges and ensure that victims are fairly compensated and that such incidents are prevented in the future. </w:t>
      </w:r>
    </w:p>
    <w:p w14:paraId="66CFE60E" w14:textId="77777777" w:rsidR="004B0DAC" w:rsidRDefault="004B0DAC" w:rsidP="00CF4E60"/>
    <w:p w14:paraId="79851F65" w14:textId="77777777" w:rsidR="004B0DAC" w:rsidRDefault="004B0DAC" w:rsidP="00CF4E60"/>
    <w:p w14:paraId="706F1B4E" w14:textId="77777777" w:rsidR="004B0DAC" w:rsidRDefault="004B0DAC" w:rsidP="00CF4E60"/>
    <w:p w14:paraId="0EF7AA29" w14:textId="77777777" w:rsidR="004B0DAC" w:rsidRDefault="004B0DAC" w:rsidP="00CF4E60"/>
    <w:p w14:paraId="2D3631F6" w14:textId="47F09FBE" w:rsidR="004B0DAC" w:rsidRDefault="004B0DAC" w:rsidP="00CF4E60">
      <w:r>
        <w:t>References:</w:t>
      </w:r>
    </w:p>
    <w:p w14:paraId="5D67940F" w14:textId="77777777" w:rsidR="004B0DAC" w:rsidRDefault="004B0DAC" w:rsidP="00CF4E60"/>
    <w:p w14:paraId="6B22CC0C" w14:textId="6A615EE0" w:rsidR="004B0DAC" w:rsidRDefault="004B0DAC" w:rsidP="00CF4E60">
      <w:hyperlink r:id="rId5" w:history="1">
        <w:r w:rsidRPr="00852B5E">
          <w:rPr>
            <w:rStyle w:val="Hyperlink"/>
          </w:rPr>
          <w:t>https://www.hee.nhs.uk/sites/default/files/documents/Standard-3%20Duty%20of%20care%2013.06.16.pdf</w:t>
        </w:r>
      </w:hyperlink>
    </w:p>
    <w:p w14:paraId="18B05F46" w14:textId="77777777" w:rsidR="004B0DAC" w:rsidRDefault="004B0DAC" w:rsidP="00CF4E60"/>
    <w:p w14:paraId="6F6C762E" w14:textId="77777777" w:rsidR="004B0DAC" w:rsidRPr="004B0DAC" w:rsidRDefault="004B0DAC" w:rsidP="004B0DAC">
      <w:pPr>
        <w:spacing w:before="100" w:beforeAutospacing="1" w:after="100" w:afterAutospacing="1"/>
        <w:rPr>
          <w:rFonts w:ascii="Helvetica Neue" w:eastAsia="Times New Roman" w:hAnsi="Helvetica Neue" w:cs="Times New Roman"/>
          <w:color w:val="000000"/>
          <w:kern w:val="0"/>
          <w:lang w:eastAsia="en-GB"/>
          <w14:ligatures w14:val="none"/>
        </w:rPr>
      </w:pPr>
      <w:r w:rsidRPr="004B0DAC">
        <w:rPr>
          <w:rFonts w:ascii="Helvetica Neue" w:eastAsia="Times New Roman" w:hAnsi="Helvetica Neue" w:cs="Times New Roman"/>
          <w:color w:val="000000"/>
          <w:kern w:val="0"/>
          <w:lang w:eastAsia="en-GB"/>
          <w14:ligatures w14:val="none"/>
        </w:rPr>
        <w:lastRenderedPageBreak/>
        <w:t>(No date) </w:t>
      </w:r>
      <w:r w:rsidRPr="004B0DAC">
        <w:rPr>
          <w:rFonts w:ascii="Helvetica Neue" w:eastAsia="Times New Roman" w:hAnsi="Helvetica Neue" w:cs="Times New Roman"/>
          <w:i/>
          <w:iCs/>
          <w:color w:val="000000"/>
          <w:kern w:val="0"/>
          <w:lang w:eastAsia="en-GB"/>
          <w14:ligatures w14:val="none"/>
        </w:rPr>
        <w:t>Nhs.uk</w:t>
      </w:r>
      <w:r w:rsidRPr="004B0DAC">
        <w:rPr>
          <w:rFonts w:ascii="Helvetica Neue" w:eastAsia="Times New Roman" w:hAnsi="Helvetica Neue" w:cs="Times New Roman"/>
          <w:color w:val="000000"/>
          <w:kern w:val="0"/>
          <w:lang w:eastAsia="en-GB"/>
          <w14:ligatures w14:val="none"/>
        </w:rPr>
        <w:t>. Available at: https://www.hee.nhs.uk/sites/default/files/documents/Standard-3%20Duty%20of%20care%2013.06.16.pdf (Accessed: 14 March 2025).</w:t>
      </w:r>
    </w:p>
    <w:p w14:paraId="2EFEA7DE" w14:textId="77777777" w:rsidR="004B0DAC" w:rsidRPr="004B0DAC" w:rsidRDefault="004B0DAC" w:rsidP="004B0DAC">
      <w:pPr>
        <w:rPr>
          <w:rFonts w:ascii="Times New Roman" w:eastAsia="Times New Roman" w:hAnsi="Times New Roman" w:cs="Times New Roman"/>
          <w:kern w:val="0"/>
          <w:lang w:eastAsia="en-GB"/>
          <w14:ligatures w14:val="none"/>
        </w:rPr>
      </w:pPr>
    </w:p>
    <w:p w14:paraId="48BC5F99" w14:textId="1783B103" w:rsidR="004B0DAC" w:rsidRDefault="000153EC" w:rsidP="00CF4E60">
      <w:hyperlink r:id="rId6" w:history="1">
        <w:r w:rsidRPr="00852B5E">
          <w:rPr>
            <w:rStyle w:val="Hyperlink"/>
          </w:rPr>
          <w:t>https://www.lexisnexis.co.uk/legal/guidance/negligence-when-does-a-duty-of-care-arise</w:t>
        </w:r>
      </w:hyperlink>
    </w:p>
    <w:p w14:paraId="294FAC08" w14:textId="77777777" w:rsidR="000153EC" w:rsidRDefault="000153EC" w:rsidP="00CF4E60"/>
    <w:p w14:paraId="529EAC1A" w14:textId="77777777" w:rsidR="000153EC" w:rsidRPr="000153EC" w:rsidRDefault="000153EC" w:rsidP="000153EC">
      <w:pPr>
        <w:spacing w:before="100" w:beforeAutospacing="1" w:after="100" w:afterAutospacing="1"/>
        <w:rPr>
          <w:rFonts w:ascii="Helvetica Neue" w:eastAsia="Times New Roman" w:hAnsi="Helvetica Neue" w:cs="Times New Roman"/>
          <w:color w:val="000000"/>
          <w:kern w:val="0"/>
          <w:lang w:eastAsia="en-GB"/>
          <w14:ligatures w14:val="none"/>
        </w:rPr>
      </w:pPr>
      <w:r w:rsidRPr="000153EC">
        <w:rPr>
          <w:rFonts w:ascii="Helvetica Neue" w:eastAsia="Times New Roman" w:hAnsi="Helvetica Neue" w:cs="Times New Roman"/>
          <w:color w:val="000000"/>
          <w:kern w:val="0"/>
          <w:lang w:eastAsia="en-GB"/>
          <w14:ligatures w14:val="none"/>
        </w:rPr>
        <w:t>Buckley, R.A. (2020) </w:t>
      </w:r>
      <w:r w:rsidRPr="000153EC">
        <w:rPr>
          <w:rFonts w:ascii="Helvetica Neue" w:eastAsia="Times New Roman" w:hAnsi="Helvetica Neue" w:cs="Times New Roman"/>
          <w:i/>
          <w:iCs/>
          <w:color w:val="000000"/>
          <w:kern w:val="0"/>
          <w:lang w:eastAsia="en-GB"/>
          <w14:ligatures w14:val="none"/>
        </w:rPr>
        <w:t>Negligence—when does a duty of care arise?</w:t>
      </w:r>
      <w:r w:rsidRPr="000153EC">
        <w:rPr>
          <w:rFonts w:ascii="Helvetica Neue" w:eastAsia="Times New Roman" w:hAnsi="Helvetica Neue" w:cs="Times New Roman"/>
          <w:color w:val="000000"/>
          <w:kern w:val="0"/>
          <w:lang w:eastAsia="en-GB"/>
          <w14:ligatures w14:val="none"/>
        </w:rPr>
        <w:t>, </w:t>
      </w:r>
      <w:r w:rsidRPr="000153EC">
        <w:rPr>
          <w:rFonts w:ascii="Helvetica Neue" w:eastAsia="Times New Roman" w:hAnsi="Helvetica Neue" w:cs="Times New Roman"/>
          <w:i/>
          <w:iCs/>
          <w:color w:val="000000"/>
          <w:kern w:val="0"/>
          <w:lang w:eastAsia="en-GB"/>
          <w14:ligatures w14:val="none"/>
        </w:rPr>
        <w:t>Lexisnexis.co.uk</w:t>
      </w:r>
      <w:r w:rsidRPr="000153EC">
        <w:rPr>
          <w:rFonts w:ascii="Helvetica Neue" w:eastAsia="Times New Roman" w:hAnsi="Helvetica Neue" w:cs="Times New Roman"/>
          <w:color w:val="000000"/>
          <w:kern w:val="0"/>
          <w:lang w:eastAsia="en-GB"/>
          <w14:ligatures w14:val="none"/>
        </w:rPr>
        <w:t>. LexisNexis. Available at: https://www.lexisnexis.co.uk/legal/guidance/negligence-when-does-a-duty-of-care-arise (Accessed: 14 March 2025).</w:t>
      </w:r>
    </w:p>
    <w:p w14:paraId="2C3D3FEE" w14:textId="77777777" w:rsidR="000153EC" w:rsidRPr="000153EC" w:rsidRDefault="000153EC" w:rsidP="000153EC">
      <w:pPr>
        <w:rPr>
          <w:rFonts w:ascii="Times New Roman" w:eastAsia="Times New Roman" w:hAnsi="Times New Roman" w:cs="Times New Roman"/>
          <w:kern w:val="0"/>
          <w:lang w:eastAsia="en-GB"/>
          <w14:ligatures w14:val="none"/>
        </w:rPr>
      </w:pPr>
    </w:p>
    <w:p w14:paraId="57B62BE8" w14:textId="77777777" w:rsidR="000153EC" w:rsidRDefault="000153EC" w:rsidP="00CF4E60"/>
    <w:p w14:paraId="304226E8" w14:textId="4D7DA600" w:rsidR="000153EC" w:rsidRDefault="000153EC" w:rsidP="00CF4E60">
      <w:hyperlink r:id="rId7" w:history="1">
        <w:r w:rsidRPr="00852B5E">
          <w:rPr>
            <w:rStyle w:val="Hyperlink"/>
          </w:rPr>
          <w:t>https://www.lexisnexis.co.uk/legal/glossary/causation</w:t>
        </w:r>
      </w:hyperlink>
    </w:p>
    <w:p w14:paraId="6F48B678" w14:textId="77777777" w:rsidR="000153EC" w:rsidRDefault="000153EC" w:rsidP="00CF4E60"/>
    <w:p w14:paraId="3051FBC6" w14:textId="77777777" w:rsidR="000153EC" w:rsidRPr="000153EC" w:rsidRDefault="000153EC" w:rsidP="000153EC">
      <w:pPr>
        <w:spacing w:before="100" w:beforeAutospacing="1" w:after="100" w:afterAutospacing="1"/>
        <w:rPr>
          <w:rFonts w:ascii="Helvetica Neue" w:eastAsia="Times New Roman" w:hAnsi="Helvetica Neue" w:cs="Times New Roman"/>
          <w:color w:val="000000"/>
          <w:kern w:val="0"/>
          <w:lang w:eastAsia="en-GB"/>
          <w14:ligatures w14:val="none"/>
        </w:rPr>
      </w:pPr>
      <w:r w:rsidRPr="000153EC">
        <w:rPr>
          <w:rFonts w:ascii="Helvetica Neue" w:eastAsia="Times New Roman" w:hAnsi="Helvetica Neue" w:cs="Times New Roman"/>
          <w:i/>
          <w:iCs/>
          <w:color w:val="000000"/>
          <w:kern w:val="0"/>
          <w:lang w:eastAsia="en-GB"/>
          <w14:ligatures w14:val="none"/>
        </w:rPr>
        <w:t>Causation definition</w:t>
      </w:r>
      <w:r w:rsidRPr="000153EC">
        <w:rPr>
          <w:rFonts w:ascii="Helvetica Neue" w:eastAsia="Times New Roman" w:hAnsi="Helvetica Neue" w:cs="Times New Roman"/>
          <w:color w:val="000000"/>
          <w:kern w:val="0"/>
          <w:lang w:eastAsia="en-GB"/>
          <w14:ligatures w14:val="none"/>
        </w:rPr>
        <w:t> (no date) </w:t>
      </w:r>
      <w:r w:rsidRPr="000153EC">
        <w:rPr>
          <w:rFonts w:ascii="Helvetica Neue" w:eastAsia="Times New Roman" w:hAnsi="Helvetica Neue" w:cs="Times New Roman"/>
          <w:i/>
          <w:iCs/>
          <w:color w:val="000000"/>
          <w:kern w:val="0"/>
          <w:lang w:eastAsia="en-GB"/>
          <w14:ligatures w14:val="none"/>
        </w:rPr>
        <w:t>Lexisnexis.co.uk</w:t>
      </w:r>
      <w:r w:rsidRPr="000153EC">
        <w:rPr>
          <w:rFonts w:ascii="Helvetica Neue" w:eastAsia="Times New Roman" w:hAnsi="Helvetica Neue" w:cs="Times New Roman"/>
          <w:color w:val="000000"/>
          <w:kern w:val="0"/>
          <w:lang w:eastAsia="en-GB"/>
          <w14:ligatures w14:val="none"/>
        </w:rPr>
        <w:t>. Available at: https://www.lexisnexis.co.uk/legal/glossary/causation (Accessed: 14 March 2025).</w:t>
      </w:r>
    </w:p>
    <w:p w14:paraId="5434B19F" w14:textId="77777777" w:rsidR="000153EC" w:rsidRPr="000153EC" w:rsidRDefault="000153EC" w:rsidP="000153EC">
      <w:pPr>
        <w:rPr>
          <w:rFonts w:ascii="Times New Roman" w:eastAsia="Times New Roman" w:hAnsi="Times New Roman" w:cs="Times New Roman"/>
          <w:kern w:val="0"/>
          <w:lang w:eastAsia="en-GB"/>
          <w14:ligatures w14:val="none"/>
        </w:rPr>
      </w:pPr>
    </w:p>
    <w:p w14:paraId="460A8861" w14:textId="1A52AC7B" w:rsidR="000153EC" w:rsidRDefault="000153EC" w:rsidP="00CF4E60">
      <w:hyperlink r:id="rId8" w:history="1">
        <w:r w:rsidRPr="00852B5E">
          <w:rPr>
            <w:rStyle w:val="Hyperlink"/>
          </w:rPr>
          <w:t>https://www.lexisnexis.co.uk/legal/guidance/causation-material-contribution-in-clinical-negligence-claims</w:t>
        </w:r>
      </w:hyperlink>
    </w:p>
    <w:p w14:paraId="7F30B5DD" w14:textId="77777777" w:rsidR="000153EC" w:rsidRDefault="000153EC" w:rsidP="00CF4E60"/>
    <w:p w14:paraId="49DAB4FA" w14:textId="77777777" w:rsidR="000153EC" w:rsidRDefault="000153EC" w:rsidP="00CF4E60"/>
    <w:p w14:paraId="0239F279" w14:textId="77777777" w:rsidR="000153EC" w:rsidRPr="000153EC" w:rsidRDefault="000153EC" w:rsidP="000153EC">
      <w:pPr>
        <w:spacing w:before="100" w:beforeAutospacing="1" w:after="100" w:afterAutospacing="1"/>
        <w:rPr>
          <w:rFonts w:ascii="Helvetica Neue" w:eastAsia="Times New Roman" w:hAnsi="Helvetica Neue" w:cs="Times New Roman"/>
          <w:color w:val="000000"/>
          <w:kern w:val="0"/>
          <w:lang w:eastAsia="en-GB"/>
          <w14:ligatures w14:val="none"/>
        </w:rPr>
      </w:pPr>
      <w:r w:rsidRPr="000153EC">
        <w:rPr>
          <w:rFonts w:ascii="Helvetica Neue" w:eastAsia="Times New Roman" w:hAnsi="Helvetica Neue" w:cs="Times New Roman"/>
          <w:i/>
          <w:iCs/>
          <w:color w:val="000000"/>
          <w:kern w:val="0"/>
          <w:lang w:eastAsia="en-GB"/>
          <w14:ligatures w14:val="none"/>
        </w:rPr>
        <w:t>Causation and material contribution in clinical negligence claims</w:t>
      </w:r>
      <w:r w:rsidRPr="000153EC">
        <w:rPr>
          <w:rFonts w:ascii="Helvetica Neue" w:eastAsia="Times New Roman" w:hAnsi="Helvetica Neue" w:cs="Times New Roman"/>
          <w:color w:val="000000"/>
          <w:kern w:val="0"/>
          <w:lang w:eastAsia="en-GB"/>
          <w14:ligatures w14:val="none"/>
        </w:rPr>
        <w:t> (2020) </w:t>
      </w:r>
      <w:r w:rsidRPr="000153EC">
        <w:rPr>
          <w:rFonts w:ascii="Helvetica Neue" w:eastAsia="Times New Roman" w:hAnsi="Helvetica Neue" w:cs="Times New Roman"/>
          <w:i/>
          <w:iCs/>
          <w:color w:val="000000"/>
          <w:kern w:val="0"/>
          <w:lang w:eastAsia="en-GB"/>
          <w14:ligatures w14:val="none"/>
        </w:rPr>
        <w:t>Lexisnexis.co.uk</w:t>
      </w:r>
      <w:r w:rsidRPr="000153EC">
        <w:rPr>
          <w:rFonts w:ascii="Helvetica Neue" w:eastAsia="Times New Roman" w:hAnsi="Helvetica Neue" w:cs="Times New Roman"/>
          <w:color w:val="000000"/>
          <w:kern w:val="0"/>
          <w:lang w:eastAsia="en-GB"/>
          <w14:ligatures w14:val="none"/>
        </w:rPr>
        <w:t>. LexisNexis. Available at: https://www.lexisnexis.co.uk/legal/guidance/causation-material-contribution-in-clinical-negligence-claims (Accessed: 14 March 2025).</w:t>
      </w:r>
    </w:p>
    <w:p w14:paraId="0417B732" w14:textId="77777777" w:rsidR="000153EC" w:rsidRPr="000153EC" w:rsidRDefault="000153EC" w:rsidP="000153EC">
      <w:pPr>
        <w:rPr>
          <w:rFonts w:ascii="Times New Roman" w:eastAsia="Times New Roman" w:hAnsi="Times New Roman" w:cs="Times New Roman"/>
          <w:kern w:val="0"/>
          <w:lang w:eastAsia="en-GB"/>
          <w14:ligatures w14:val="none"/>
        </w:rPr>
      </w:pPr>
    </w:p>
    <w:p w14:paraId="362D2EF2" w14:textId="768358C6" w:rsidR="000153EC" w:rsidRDefault="000153EC" w:rsidP="00CF4E60">
      <w:hyperlink r:id="rId9" w:history="1">
        <w:r w:rsidRPr="00852B5E">
          <w:rPr>
            <w:rStyle w:val="Hyperlink"/>
          </w:rPr>
          <w:t>https://www.lexisnexis.co.uk/legal/guidance/breach-of-statutory-duty</w:t>
        </w:r>
      </w:hyperlink>
    </w:p>
    <w:p w14:paraId="056685E1" w14:textId="77777777" w:rsidR="000153EC" w:rsidRDefault="000153EC" w:rsidP="00CF4E60"/>
    <w:p w14:paraId="0994DD94" w14:textId="77777777" w:rsidR="000153EC" w:rsidRPr="000153EC" w:rsidRDefault="000153EC" w:rsidP="000153EC">
      <w:pPr>
        <w:spacing w:before="100" w:beforeAutospacing="1" w:after="100" w:afterAutospacing="1"/>
        <w:rPr>
          <w:rFonts w:ascii="Helvetica Neue" w:eastAsia="Times New Roman" w:hAnsi="Helvetica Neue" w:cs="Times New Roman"/>
          <w:color w:val="000000"/>
          <w:kern w:val="0"/>
          <w:lang w:eastAsia="en-GB"/>
          <w14:ligatures w14:val="none"/>
        </w:rPr>
      </w:pPr>
      <w:r w:rsidRPr="000153EC">
        <w:rPr>
          <w:rFonts w:ascii="Helvetica Neue" w:eastAsia="Times New Roman" w:hAnsi="Helvetica Neue" w:cs="Times New Roman"/>
          <w:color w:val="000000"/>
          <w:kern w:val="0"/>
          <w:lang w:eastAsia="en-GB"/>
          <w14:ligatures w14:val="none"/>
        </w:rPr>
        <w:t>Buckley, R.A. (2019) </w:t>
      </w:r>
      <w:r w:rsidRPr="000153EC">
        <w:rPr>
          <w:rFonts w:ascii="Helvetica Neue" w:eastAsia="Times New Roman" w:hAnsi="Helvetica Neue" w:cs="Times New Roman"/>
          <w:i/>
          <w:iCs/>
          <w:color w:val="000000"/>
          <w:kern w:val="0"/>
          <w:lang w:eastAsia="en-GB"/>
          <w14:ligatures w14:val="none"/>
        </w:rPr>
        <w:t>Breach of statutory duty</w:t>
      </w:r>
      <w:r w:rsidRPr="000153EC">
        <w:rPr>
          <w:rFonts w:ascii="Helvetica Neue" w:eastAsia="Times New Roman" w:hAnsi="Helvetica Neue" w:cs="Times New Roman"/>
          <w:color w:val="000000"/>
          <w:kern w:val="0"/>
          <w:lang w:eastAsia="en-GB"/>
          <w14:ligatures w14:val="none"/>
        </w:rPr>
        <w:t>, </w:t>
      </w:r>
      <w:r w:rsidRPr="000153EC">
        <w:rPr>
          <w:rFonts w:ascii="Helvetica Neue" w:eastAsia="Times New Roman" w:hAnsi="Helvetica Neue" w:cs="Times New Roman"/>
          <w:i/>
          <w:iCs/>
          <w:color w:val="000000"/>
          <w:kern w:val="0"/>
          <w:lang w:eastAsia="en-GB"/>
          <w14:ligatures w14:val="none"/>
        </w:rPr>
        <w:t>Lexisnexis.co.uk</w:t>
      </w:r>
      <w:r w:rsidRPr="000153EC">
        <w:rPr>
          <w:rFonts w:ascii="Helvetica Neue" w:eastAsia="Times New Roman" w:hAnsi="Helvetica Neue" w:cs="Times New Roman"/>
          <w:color w:val="000000"/>
          <w:kern w:val="0"/>
          <w:lang w:eastAsia="en-GB"/>
          <w14:ligatures w14:val="none"/>
        </w:rPr>
        <w:t>. LexisNexis. Available at: https://www.lexisnexis.co.uk/legal/guidance/breach-of-statutory-duty (Accessed: 14 March 2025).</w:t>
      </w:r>
    </w:p>
    <w:p w14:paraId="2F053050" w14:textId="77777777" w:rsidR="000153EC" w:rsidRPr="000153EC" w:rsidRDefault="000153EC" w:rsidP="000153EC">
      <w:pPr>
        <w:rPr>
          <w:rFonts w:ascii="Times New Roman" w:eastAsia="Times New Roman" w:hAnsi="Times New Roman" w:cs="Times New Roman"/>
          <w:kern w:val="0"/>
          <w:lang w:eastAsia="en-GB"/>
          <w14:ligatures w14:val="none"/>
        </w:rPr>
      </w:pPr>
    </w:p>
    <w:p w14:paraId="52B5704F" w14:textId="77777777" w:rsidR="000153EC" w:rsidRDefault="000153EC" w:rsidP="00CF4E60"/>
    <w:p w14:paraId="18FB2F08" w14:textId="4DFF416A" w:rsidR="000153EC" w:rsidRDefault="000153EC" w:rsidP="00CF4E60">
      <w:hyperlink r:id="rId10" w:history="1">
        <w:r w:rsidRPr="00852B5E">
          <w:rPr>
            <w:rStyle w:val="Hyperlink"/>
          </w:rPr>
          <w:t>https://www.lexisnexis.co.uk/legal/guidance/negligence-key-elements-to-establish-a-negligence-claim</w:t>
        </w:r>
      </w:hyperlink>
    </w:p>
    <w:p w14:paraId="4A889688" w14:textId="77777777" w:rsidR="000153EC" w:rsidRDefault="000153EC" w:rsidP="00CF4E60"/>
    <w:p w14:paraId="68B97BB1" w14:textId="77777777" w:rsidR="000153EC" w:rsidRPr="000153EC" w:rsidRDefault="000153EC" w:rsidP="000153EC">
      <w:pPr>
        <w:spacing w:before="100" w:beforeAutospacing="1" w:after="100" w:afterAutospacing="1"/>
        <w:rPr>
          <w:rFonts w:ascii="Helvetica Neue" w:eastAsia="Times New Roman" w:hAnsi="Helvetica Neue" w:cs="Times New Roman"/>
          <w:color w:val="000000"/>
          <w:kern w:val="0"/>
          <w:lang w:eastAsia="en-GB"/>
          <w14:ligatures w14:val="none"/>
        </w:rPr>
      </w:pPr>
      <w:r w:rsidRPr="000153EC">
        <w:rPr>
          <w:rFonts w:ascii="Helvetica Neue" w:eastAsia="Times New Roman" w:hAnsi="Helvetica Neue" w:cs="Times New Roman"/>
          <w:color w:val="000000"/>
          <w:kern w:val="0"/>
          <w:lang w:eastAsia="en-GB"/>
          <w14:ligatures w14:val="none"/>
        </w:rPr>
        <w:t>Buckley, R.A. (2019b) </w:t>
      </w:r>
      <w:r w:rsidRPr="000153EC">
        <w:rPr>
          <w:rFonts w:ascii="Helvetica Neue" w:eastAsia="Times New Roman" w:hAnsi="Helvetica Neue" w:cs="Times New Roman"/>
          <w:i/>
          <w:iCs/>
          <w:color w:val="000000"/>
          <w:kern w:val="0"/>
          <w:lang w:eastAsia="en-GB"/>
          <w14:ligatures w14:val="none"/>
        </w:rPr>
        <w:t>Negligence—key elements to establish a negligence claim</w:t>
      </w:r>
      <w:r w:rsidRPr="000153EC">
        <w:rPr>
          <w:rFonts w:ascii="Helvetica Neue" w:eastAsia="Times New Roman" w:hAnsi="Helvetica Neue" w:cs="Times New Roman"/>
          <w:color w:val="000000"/>
          <w:kern w:val="0"/>
          <w:lang w:eastAsia="en-GB"/>
          <w14:ligatures w14:val="none"/>
        </w:rPr>
        <w:t>, </w:t>
      </w:r>
      <w:r w:rsidRPr="000153EC">
        <w:rPr>
          <w:rFonts w:ascii="Helvetica Neue" w:eastAsia="Times New Roman" w:hAnsi="Helvetica Neue" w:cs="Times New Roman"/>
          <w:i/>
          <w:iCs/>
          <w:color w:val="000000"/>
          <w:kern w:val="0"/>
          <w:lang w:eastAsia="en-GB"/>
          <w14:ligatures w14:val="none"/>
        </w:rPr>
        <w:t>Lexisnexis.co.uk</w:t>
      </w:r>
      <w:r w:rsidRPr="000153EC">
        <w:rPr>
          <w:rFonts w:ascii="Helvetica Neue" w:eastAsia="Times New Roman" w:hAnsi="Helvetica Neue" w:cs="Times New Roman"/>
          <w:color w:val="000000"/>
          <w:kern w:val="0"/>
          <w:lang w:eastAsia="en-GB"/>
          <w14:ligatures w14:val="none"/>
        </w:rPr>
        <w:t xml:space="preserve">. LexisNexis. Available at: </w:t>
      </w:r>
      <w:r w:rsidRPr="000153EC">
        <w:rPr>
          <w:rFonts w:ascii="Helvetica Neue" w:eastAsia="Times New Roman" w:hAnsi="Helvetica Neue" w:cs="Times New Roman"/>
          <w:color w:val="000000"/>
          <w:kern w:val="0"/>
          <w:lang w:eastAsia="en-GB"/>
          <w14:ligatures w14:val="none"/>
        </w:rPr>
        <w:lastRenderedPageBreak/>
        <w:t>https://www.lexisnexis.co.uk/legal/guidance/negligence-key-elements-to-establish-a-negligence-claim (Accessed: 14 March 2025).</w:t>
      </w:r>
    </w:p>
    <w:p w14:paraId="2ECB30EF" w14:textId="77777777" w:rsidR="000153EC" w:rsidRPr="000153EC" w:rsidRDefault="000153EC" w:rsidP="000153EC">
      <w:pPr>
        <w:rPr>
          <w:rFonts w:ascii="Times New Roman" w:eastAsia="Times New Roman" w:hAnsi="Times New Roman" w:cs="Times New Roman"/>
          <w:kern w:val="0"/>
          <w:lang w:eastAsia="en-GB"/>
          <w14:ligatures w14:val="none"/>
        </w:rPr>
      </w:pPr>
    </w:p>
    <w:p w14:paraId="6540BF8E" w14:textId="77777777" w:rsidR="000153EC" w:rsidRDefault="000153EC" w:rsidP="00CF4E60"/>
    <w:p w14:paraId="34F310B9" w14:textId="229EDD97" w:rsidR="000153EC" w:rsidRDefault="000153EC" w:rsidP="00CF4E60">
      <w:hyperlink r:id="rId11" w:history="1">
        <w:r w:rsidRPr="00852B5E">
          <w:rPr>
            <w:rStyle w:val="Hyperlink"/>
          </w:rPr>
          <w:t>https://www.lexisnexis.co.uk/legal/glossary/duty-of-care</w:t>
        </w:r>
      </w:hyperlink>
    </w:p>
    <w:p w14:paraId="6BFBC3A5" w14:textId="77777777" w:rsidR="000153EC" w:rsidRDefault="000153EC" w:rsidP="00CF4E60"/>
    <w:p w14:paraId="09CCEF8E" w14:textId="77777777" w:rsidR="000153EC" w:rsidRPr="000153EC" w:rsidRDefault="000153EC" w:rsidP="000153EC">
      <w:pPr>
        <w:spacing w:before="100" w:beforeAutospacing="1" w:after="100" w:afterAutospacing="1"/>
        <w:rPr>
          <w:rFonts w:ascii="Helvetica Neue" w:eastAsia="Times New Roman" w:hAnsi="Helvetica Neue" w:cs="Times New Roman"/>
          <w:color w:val="000000"/>
          <w:kern w:val="0"/>
          <w:lang w:eastAsia="en-GB"/>
          <w14:ligatures w14:val="none"/>
        </w:rPr>
      </w:pPr>
      <w:r w:rsidRPr="000153EC">
        <w:rPr>
          <w:rFonts w:ascii="Helvetica Neue" w:eastAsia="Times New Roman" w:hAnsi="Helvetica Neue" w:cs="Times New Roman"/>
          <w:i/>
          <w:iCs/>
          <w:color w:val="000000"/>
          <w:kern w:val="0"/>
          <w:lang w:eastAsia="en-GB"/>
          <w14:ligatures w14:val="none"/>
        </w:rPr>
        <w:t>Duty of care definition</w:t>
      </w:r>
      <w:r w:rsidRPr="000153EC">
        <w:rPr>
          <w:rFonts w:ascii="Helvetica Neue" w:eastAsia="Times New Roman" w:hAnsi="Helvetica Neue" w:cs="Times New Roman"/>
          <w:color w:val="000000"/>
          <w:kern w:val="0"/>
          <w:lang w:eastAsia="en-GB"/>
          <w14:ligatures w14:val="none"/>
        </w:rPr>
        <w:t> (no date) </w:t>
      </w:r>
      <w:r w:rsidRPr="000153EC">
        <w:rPr>
          <w:rFonts w:ascii="Helvetica Neue" w:eastAsia="Times New Roman" w:hAnsi="Helvetica Neue" w:cs="Times New Roman"/>
          <w:i/>
          <w:iCs/>
          <w:color w:val="000000"/>
          <w:kern w:val="0"/>
          <w:lang w:eastAsia="en-GB"/>
          <w14:ligatures w14:val="none"/>
        </w:rPr>
        <w:t>Lexisnexis.co.uk</w:t>
      </w:r>
      <w:r w:rsidRPr="000153EC">
        <w:rPr>
          <w:rFonts w:ascii="Helvetica Neue" w:eastAsia="Times New Roman" w:hAnsi="Helvetica Neue" w:cs="Times New Roman"/>
          <w:color w:val="000000"/>
          <w:kern w:val="0"/>
          <w:lang w:eastAsia="en-GB"/>
          <w14:ligatures w14:val="none"/>
        </w:rPr>
        <w:t>. Available at: https://www.lexisnexis.co.uk/legal/glossary/duty-of-care (Accessed: 14 March 2025).</w:t>
      </w:r>
    </w:p>
    <w:p w14:paraId="160ED196" w14:textId="77777777" w:rsidR="000153EC" w:rsidRPr="000153EC" w:rsidRDefault="000153EC" w:rsidP="000153EC">
      <w:pPr>
        <w:rPr>
          <w:rFonts w:ascii="Times New Roman" w:eastAsia="Times New Roman" w:hAnsi="Times New Roman" w:cs="Times New Roman"/>
          <w:kern w:val="0"/>
          <w:lang w:eastAsia="en-GB"/>
          <w14:ligatures w14:val="none"/>
        </w:rPr>
      </w:pPr>
    </w:p>
    <w:p w14:paraId="1315E76B" w14:textId="77777777" w:rsidR="000153EC" w:rsidRDefault="000153EC" w:rsidP="00CF4E60"/>
    <w:p w14:paraId="4F8F3936" w14:textId="77777777" w:rsidR="000153EC" w:rsidRDefault="000153EC" w:rsidP="00CF4E60"/>
    <w:p w14:paraId="7510CB6B" w14:textId="77777777" w:rsidR="004B0DAC" w:rsidRDefault="004B0DAC" w:rsidP="00CF4E60"/>
    <w:sectPr w:rsidR="004B0D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473C6"/>
    <w:multiLevelType w:val="hybridMultilevel"/>
    <w:tmpl w:val="69B00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6235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176"/>
    <w:rsid w:val="000153EC"/>
    <w:rsid w:val="001F73E3"/>
    <w:rsid w:val="00416F5F"/>
    <w:rsid w:val="004832DC"/>
    <w:rsid w:val="004B0DAC"/>
    <w:rsid w:val="005A0B01"/>
    <w:rsid w:val="0063168F"/>
    <w:rsid w:val="006A4176"/>
    <w:rsid w:val="008E1836"/>
    <w:rsid w:val="00B50158"/>
    <w:rsid w:val="00CF4E60"/>
    <w:rsid w:val="00DA7B93"/>
    <w:rsid w:val="00F05184"/>
    <w:rsid w:val="00F54A0E"/>
    <w:rsid w:val="00F90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774EC2"/>
  <w15:chartTrackingRefBased/>
  <w15:docId w15:val="{5F501E74-6DBF-6042-85C7-1F20177C4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1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41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41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41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41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41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41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41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41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1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41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41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41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41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41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41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41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4176"/>
    <w:rPr>
      <w:rFonts w:eastAsiaTheme="majorEastAsia" w:cstheme="majorBidi"/>
      <w:color w:val="272727" w:themeColor="text1" w:themeTint="D8"/>
    </w:rPr>
  </w:style>
  <w:style w:type="paragraph" w:styleId="Title">
    <w:name w:val="Title"/>
    <w:basedOn w:val="Normal"/>
    <w:next w:val="Normal"/>
    <w:link w:val="TitleChar"/>
    <w:uiPriority w:val="10"/>
    <w:qFormat/>
    <w:rsid w:val="006A41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1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41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41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41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4176"/>
    <w:rPr>
      <w:i/>
      <w:iCs/>
      <w:color w:val="404040" w:themeColor="text1" w:themeTint="BF"/>
    </w:rPr>
  </w:style>
  <w:style w:type="paragraph" w:styleId="ListParagraph">
    <w:name w:val="List Paragraph"/>
    <w:basedOn w:val="Normal"/>
    <w:uiPriority w:val="34"/>
    <w:qFormat/>
    <w:rsid w:val="006A4176"/>
    <w:pPr>
      <w:ind w:left="720"/>
      <w:contextualSpacing/>
    </w:pPr>
  </w:style>
  <w:style w:type="character" w:styleId="IntenseEmphasis">
    <w:name w:val="Intense Emphasis"/>
    <w:basedOn w:val="DefaultParagraphFont"/>
    <w:uiPriority w:val="21"/>
    <w:qFormat/>
    <w:rsid w:val="006A4176"/>
    <w:rPr>
      <w:i/>
      <w:iCs/>
      <w:color w:val="0F4761" w:themeColor="accent1" w:themeShade="BF"/>
    </w:rPr>
  </w:style>
  <w:style w:type="paragraph" w:styleId="IntenseQuote">
    <w:name w:val="Intense Quote"/>
    <w:basedOn w:val="Normal"/>
    <w:next w:val="Normal"/>
    <w:link w:val="IntenseQuoteChar"/>
    <w:uiPriority w:val="30"/>
    <w:qFormat/>
    <w:rsid w:val="006A41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4176"/>
    <w:rPr>
      <w:i/>
      <w:iCs/>
      <w:color w:val="0F4761" w:themeColor="accent1" w:themeShade="BF"/>
    </w:rPr>
  </w:style>
  <w:style w:type="character" w:styleId="IntenseReference">
    <w:name w:val="Intense Reference"/>
    <w:basedOn w:val="DefaultParagraphFont"/>
    <w:uiPriority w:val="32"/>
    <w:qFormat/>
    <w:rsid w:val="006A4176"/>
    <w:rPr>
      <w:b/>
      <w:bCs/>
      <w:smallCaps/>
      <w:color w:val="0F4761" w:themeColor="accent1" w:themeShade="BF"/>
      <w:spacing w:val="5"/>
    </w:rPr>
  </w:style>
  <w:style w:type="character" w:styleId="Hyperlink">
    <w:name w:val="Hyperlink"/>
    <w:basedOn w:val="DefaultParagraphFont"/>
    <w:uiPriority w:val="99"/>
    <w:unhideWhenUsed/>
    <w:rsid w:val="004B0DAC"/>
    <w:rPr>
      <w:color w:val="467886" w:themeColor="hyperlink"/>
      <w:u w:val="single"/>
    </w:rPr>
  </w:style>
  <w:style w:type="character" w:styleId="UnresolvedMention">
    <w:name w:val="Unresolved Mention"/>
    <w:basedOn w:val="DefaultParagraphFont"/>
    <w:uiPriority w:val="99"/>
    <w:semiHidden/>
    <w:unhideWhenUsed/>
    <w:rsid w:val="004B0DAC"/>
    <w:rPr>
      <w:color w:val="605E5C"/>
      <w:shd w:val="clear" w:color="auto" w:fill="E1DFDD"/>
    </w:rPr>
  </w:style>
  <w:style w:type="paragraph" w:styleId="NormalWeb">
    <w:name w:val="Normal (Web)"/>
    <w:basedOn w:val="Normal"/>
    <w:uiPriority w:val="99"/>
    <w:semiHidden/>
    <w:unhideWhenUsed/>
    <w:rsid w:val="004B0DA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B0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39369">
      <w:bodyDiv w:val="1"/>
      <w:marLeft w:val="0"/>
      <w:marRight w:val="0"/>
      <w:marTop w:val="0"/>
      <w:marBottom w:val="0"/>
      <w:divBdr>
        <w:top w:val="none" w:sz="0" w:space="0" w:color="auto"/>
        <w:left w:val="none" w:sz="0" w:space="0" w:color="auto"/>
        <w:bottom w:val="none" w:sz="0" w:space="0" w:color="auto"/>
        <w:right w:val="none" w:sz="0" w:space="0" w:color="auto"/>
      </w:divBdr>
    </w:div>
    <w:div w:id="452404299">
      <w:bodyDiv w:val="1"/>
      <w:marLeft w:val="0"/>
      <w:marRight w:val="0"/>
      <w:marTop w:val="0"/>
      <w:marBottom w:val="0"/>
      <w:divBdr>
        <w:top w:val="none" w:sz="0" w:space="0" w:color="auto"/>
        <w:left w:val="none" w:sz="0" w:space="0" w:color="auto"/>
        <w:bottom w:val="none" w:sz="0" w:space="0" w:color="auto"/>
        <w:right w:val="none" w:sz="0" w:space="0" w:color="auto"/>
      </w:divBdr>
    </w:div>
    <w:div w:id="1343555923">
      <w:bodyDiv w:val="1"/>
      <w:marLeft w:val="0"/>
      <w:marRight w:val="0"/>
      <w:marTop w:val="0"/>
      <w:marBottom w:val="0"/>
      <w:divBdr>
        <w:top w:val="none" w:sz="0" w:space="0" w:color="auto"/>
        <w:left w:val="none" w:sz="0" w:space="0" w:color="auto"/>
        <w:bottom w:val="none" w:sz="0" w:space="0" w:color="auto"/>
        <w:right w:val="none" w:sz="0" w:space="0" w:color="auto"/>
      </w:divBdr>
    </w:div>
    <w:div w:id="1423141499">
      <w:bodyDiv w:val="1"/>
      <w:marLeft w:val="0"/>
      <w:marRight w:val="0"/>
      <w:marTop w:val="0"/>
      <w:marBottom w:val="0"/>
      <w:divBdr>
        <w:top w:val="none" w:sz="0" w:space="0" w:color="auto"/>
        <w:left w:val="none" w:sz="0" w:space="0" w:color="auto"/>
        <w:bottom w:val="none" w:sz="0" w:space="0" w:color="auto"/>
        <w:right w:val="none" w:sz="0" w:space="0" w:color="auto"/>
      </w:divBdr>
    </w:div>
    <w:div w:id="1539732182">
      <w:bodyDiv w:val="1"/>
      <w:marLeft w:val="0"/>
      <w:marRight w:val="0"/>
      <w:marTop w:val="0"/>
      <w:marBottom w:val="0"/>
      <w:divBdr>
        <w:top w:val="none" w:sz="0" w:space="0" w:color="auto"/>
        <w:left w:val="none" w:sz="0" w:space="0" w:color="auto"/>
        <w:bottom w:val="none" w:sz="0" w:space="0" w:color="auto"/>
        <w:right w:val="none" w:sz="0" w:space="0" w:color="auto"/>
      </w:divBdr>
    </w:div>
    <w:div w:id="1613589503">
      <w:bodyDiv w:val="1"/>
      <w:marLeft w:val="0"/>
      <w:marRight w:val="0"/>
      <w:marTop w:val="0"/>
      <w:marBottom w:val="0"/>
      <w:divBdr>
        <w:top w:val="none" w:sz="0" w:space="0" w:color="auto"/>
        <w:left w:val="none" w:sz="0" w:space="0" w:color="auto"/>
        <w:bottom w:val="none" w:sz="0" w:space="0" w:color="auto"/>
        <w:right w:val="none" w:sz="0" w:space="0" w:color="auto"/>
      </w:divBdr>
    </w:div>
    <w:div w:id="166181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snexis.co.uk/legal/guidance/causation-material-contribution-in-clinical-negligence-claim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xisnexis.co.uk/legal/glossary/caus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xisnexis.co.uk/legal/guidance/negligence-when-does-a-duty-of-care-arise" TargetMode="External"/><Relationship Id="rId11" Type="http://schemas.openxmlformats.org/officeDocument/2006/relationships/hyperlink" Target="https://www.lexisnexis.co.uk/legal/glossary/duty-of-care" TargetMode="External"/><Relationship Id="rId5" Type="http://schemas.openxmlformats.org/officeDocument/2006/relationships/hyperlink" Target="https://www.hee.nhs.uk/sites/default/files/documents/Standard-3%20Duty%20of%20care%2013.06.16.pdf" TargetMode="External"/><Relationship Id="rId10" Type="http://schemas.openxmlformats.org/officeDocument/2006/relationships/hyperlink" Target="https://www.lexisnexis.co.uk/legal/guidance/negligence-key-elements-to-establish-a-negligence-claim" TargetMode="External"/><Relationship Id="rId4" Type="http://schemas.openxmlformats.org/officeDocument/2006/relationships/webSettings" Target="webSettings.xml"/><Relationship Id="rId9" Type="http://schemas.openxmlformats.org/officeDocument/2006/relationships/hyperlink" Target="https://www.lexisnexis.co.uk/legal/guidance/breach-of-statutory-du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1407</Words>
  <Characters>8025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2</cp:revision>
  <dcterms:created xsi:type="dcterms:W3CDTF">2025-03-14T00:56:00Z</dcterms:created>
  <dcterms:modified xsi:type="dcterms:W3CDTF">2025-03-14T02:55:00Z</dcterms:modified>
</cp:coreProperties>
</file>