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5B2DDB" w14:textId="50FF2E17" w:rsidR="00F22843" w:rsidRDefault="00F22843">
      <w:pPr>
        <w:rPr>
          <w:rFonts w:cstheme="minorHAnsi"/>
          <w:lang w:val="en-GB"/>
        </w:rPr>
      </w:pPr>
    </w:p>
    <w:p w14:paraId="6DB39DC2" w14:textId="4F772DFB" w:rsidR="005A11D2" w:rsidRDefault="005A11D2">
      <w:pPr>
        <w:rPr>
          <w:rFonts w:cstheme="minorHAnsi"/>
          <w:lang w:val="en-GB"/>
        </w:rPr>
      </w:pPr>
      <w:r w:rsidRPr="00B74577">
        <w:rPr>
          <w:rFonts w:cstheme="minorHAnsi"/>
          <w:lang w:val="en-GB"/>
        </w:rPr>
        <w:t>Academic Wr</w:t>
      </w:r>
      <w:r w:rsidR="009B2248">
        <w:rPr>
          <w:rFonts w:cstheme="minorHAnsi"/>
          <w:lang w:val="en-GB"/>
        </w:rPr>
        <w:t>iting Module</w:t>
      </w:r>
    </w:p>
    <w:p w14:paraId="2A2BE5D4" w14:textId="4CCB7747" w:rsidR="009B2248" w:rsidRPr="00B74577" w:rsidRDefault="009B2248">
      <w:pPr>
        <w:rPr>
          <w:rFonts w:cstheme="minorHAnsi"/>
          <w:lang w:val="en-GB"/>
        </w:rPr>
      </w:pPr>
      <w:r>
        <w:rPr>
          <w:rFonts w:cstheme="minorHAnsi"/>
          <w:lang w:val="en-GB"/>
        </w:rPr>
        <w:t>Mary Finch (Madhu)</w:t>
      </w:r>
    </w:p>
    <w:p w14:paraId="63D793E8" w14:textId="605222A4" w:rsidR="005A11D2" w:rsidRPr="00B74577" w:rsidRDefault="005A11D2">
      <w:pPr>
        <w:rPr>
          <w:rFonts w:cstheme="minorHAnsi"/>
          <w:lang w:val="en-GB"/>
        </w:rPr>
      </w:pPr>
    </w:p>
    <w:p w14:paraId="4A07D4FB" w14:textId="77815961" w:rsidR="005A11D2" w:rsidRPr="00B74577" w:rsidRDefault="00B21012">
      <w:pPr>
        <w:rPr>
          <w:rFonts w:cstheme="minorHAnsi"/>
          <w:lang w:val="en-GB"/>
        </w:rPr>
      </w:pPr>
      <w:r w:rsidRPr="00B74577">
        <w:rPr>
          <w:rFonts w:cstheme="minorHAnsi"/>
          <w:lang w:val="en-GB"/>
        </w:rPr>
        <w:t>Critically engage with</w:t>
      </w:r>
      <w:r w:rsidR="001F5CE1" w:rsidRPr="00B74577">
        <w:rPr>
          <w:rFonts w:cstheme="minorHAnsi"/>
          <w:lang w:val="en-GB"/>
        </w:rPr>
        <w:t xml:space="preserve"> one scholarly viewpoint relevant to your essay.</w:t>
      </w:r>
    </w:p>
    <w:p w14:paraId="384ECE8E" w14:textId="42570237" w:rsidR="001F5CE1" w:rsidRPr="00B74577" w:rsidRDefault="001F5CE1">
      <w:pPr>
        <w:rPr>
          <w:rFonts w:cstheme="minorHAnsi"/>
          <w:lang w:val="en-GB"/>
        </w:rPr>
      </w:pPr>
    </w:p>
    <w:p w14:paraId="2A32758C" w14:textId="1CBC4FC4" w:rsidR="005D0B2B" w:rsidRPr="00B74577" w:rsidRDefault="001F5CE1" w:rsidP="00050105">
      <w:pPr>
        <w:rPr>
          <w:rFonts w:cstheme="minorHAnsi"/>
          <w:lang w:val="en-GB"/>
        </w:rPr>
      </w:pPr>
      <w:r w:rsidRPr="00B74577">
        <w:rPr>
          <w:rFonts w:cstheme="minorHAnsi"/>
          <w:lang w:val="en-GB"/>
        </w:rPr>
        <w:t>My essay is concerned with</w:t>
      </w:r>
      <w:r w:rsidR="00303E81" w:rsidRPr="00B74577">
        <w:rPr>
          <w:rFonts w:cstheme="minorHAnsi"/>
          <w:lang w:val="en-GB"/>
        </w:rPr>
        <w:t xml:space="preserve"> </w:t>
      </w:r>
      <w:r w:rsidR="00075C20">
        <w:rPr>
          <w:rFonts w:cstheme="minorHAnsi"/>
          <w:lang w:val="en-GB"/>
        </w:rPr>
        <w:t xml:space="preserve">examining </w:t>
      </w:r>
      <w:r w:rsidR="005D0B2B" w:rsidRPr="00B74577">
        <w:rPr>
          <w:rFonts w:cstheme="minorHAnsi"/>
          <w:lang w:val="en-GB"/>
        </w:rPr>
        <w:t xml:space="preserve">the possibility of movement of consciousness from the physical body to some other </w:t>
      </w:r>
      <w:r w:rsidR="00303E81" w:rsidRPr="00B74577">
        <w:rPr>
          <w:rFonts w:cstheme="minorHAnsi"/>
          <w:lang w:val="en-GB"/>
        </w:rPr>
        <w:t xml:space="preserve">plane or </w:t>
      </w:r>
      <w:r w:rsidR="005D0B2B" w:rsidRPr="00B74577">
        <w:rPr>
          <w:rFonts w:cstheme="minorHAnsi"/>
          <w:lang w:val="en-GB"/>
        </w:rPr>
        <w:t xml:space="preserve">destination at the time of death. This </w:t>
      </w:r>
      <w:r w:rsidR="00D10222" w:rsidRPr="00B74577">
        <w:rPr>
          <w:rFonts w:cstheme="minorHAnsi"/>
          <w:lang w:val="en-GB"/>
        </w:rPr>
        <w:t>type of subtle phenomena is likely to attract a level of scepticism</w:t>
      </w:r>
      <w:r w:rsidR="005D0B2B" w:rsidRPr="00B74577">
        <w:rPr>
          <w:rFonts w:cstheme="minorHAnsi"/>
          <w:lang w:val="en-GB"/>
        </w:rPr>
        <w:t xml:space="preserve"> from those in the scholarly </w:t>
      </w:r>
      <w:r w:rsidR="00303E81" w:rsidRPr="00B74577">
        <w:rPr>
          <w:rFonts w:cstheme="minorHAnsi"/>
          <w:lang w:val="en-GB"/>
        </w:rPr>
        <w:t xml:space="preserve">or academic </w:t>
      </w:r>
      <w:r w:rsidR="005D0B2B" w:rsidRPr="00B74577">
        <w:rPr>
          <w:rFonts w:cstheme="minorHAnsi"/>
          <w:lang w:val="en-GB"/>
        </w:rPr>
        <w:t>sector</w:t>
      </w:r>
      <w:r w:rsidR="00D10222" w:rsidRPr="00B74577">
        <w:rPr>
          <w:rFonts w:cstheme="minorHAnsi"/>
          <w:lang w:val="en-GB"/>
        </w:rPr>
        <w:t xml:space="preserve">. </w:t>
      </w:r>
      <w:r w:rsidR="00257901">
        <w:rPr>
          <w:rFonts w:cstheme="minorHAnsi"/>
          <w:lang w:val="en-GB"/>
        </w:rPr>
        <w:t>T</w:t>
      </w:r>
      <w:r w:rsidR="00D10222" w:rsidRPr="00B74577">
        <w:rPr>
          <w:rFonts w:cstheme="minorHAnsi"/>
          <w:lang w:val="en-GB"/>
        </w:rPr>
        <w:t>he topic</w:t>
      </w:r>
      <w:r w:rsidR="00303E81" w:rsidRPr="00B74577">
        <w:rPr>
          <w:rFonts w:cstheme="minorHAnsi"/>
          <w:lang w:val="en-GB"/>
        </w:rPr>
        <w:t>s</w:t>
      </w:r>
      <w:r w:rsidR="00D10222" w:rsidRPr="00B74577">
        <w:rPr>
          <w:rFonts w:cstheme="minorHAnsi"/>
          <w:lang w:val="en-GB"/>
        </w:rPr>
        <w:t xml:space="preserve"> of the soul and </w:t>
      </w:r>
      <w:r w:rsidR="00F02DA5">
        <w:rPr>
          <w:rFonts w:cstheme="minorHAnsi"/>
          <w:lang w:val="en-GB"/>
        </w:rPr>
        <w:t>life after death</w:t>
      </w:r>
      <w:r w:rsidR="00D10222" w:rsidRPr="00B74577">
        <w:rPr>
          <w:rFonts w:cstheme="minorHAnsi"/>
          <w:lang w:val="en-GB"/>
        </w:rPr>
        <w:t xml:space="preserve"> </w:t>
      </w:r>
      <w:r w:rsidR="00303E81" w:rsidRPr="00B74577">
        <w:rPr>
          <w:rFonts w:cstheme="minorHAnsi"/>
          <w:lang w:val="en-GB"/>
        </w:rPr>
        <w:t>are</w:t>
      </w:r>
      <w:r w:rsidR="00D10222" w:rsidRPr="00B74577">
        <w:rPr>
          <w:rFonts w:cstheme="minorHAnsi"/>
          <w:lang w:val="en-GB"/>
        </w:rPr>
        <w:t xml:space="preserve"> often viewed as </w:t>
      </w:r>
      <w:r w:rsidR="00303E81" w:rsidRPr="00B74577">
        <w:rPr>
          <w:rFonts w:cstheme="minorHAnsi"/>
          <w:lang w:val="en-GB"/>
        </w:rPr>
        <w:t>belonging exclusively to the domain of</w:t>
      </w:r>
      <w:r w:rsidR="00D10222" w:rsidRPr="00B74577">
        <w:rPr>
          <w:rFonts w:cstheme="minorHAnsi"/>
          <w:lang w:val="en-GB"/>
        </w:rPr>
        <w:t xml:space="preserve"> religio</w:t>
      </w:r>
      <w:r w:rsidR="00303E81" w:rsidRPr="00B74577">
        <w:rPr>
          <w:rFonts w:cstheme="minorHAnsi"/>
          <w:lang w:val="en-GB"/>
        </w:rPr>
        <w:t>n</w:t>
      </w:r>
      <w:r w:rsidR="00D10222" w:rsidRPr="00B74577">
        <w:rPr>
          <w:rFonts w:cstheme="minorHAnsi"/>
          <w:lang w:val="en-GB"/>
        </w:rPr>
        <w:t xml:space="preserve"> and </w:t>
      </w:r>
      <w:r w:rsidR="00257901">
        <w:rPr>
          <w:rFonts w:cstheme="minorHAnsi"/>
          <w:lang w:val="en-GB"/>
        </w:rPr>
        <w:t xml:space="preserve">are </w:t>
      </w:r>
      <w:r w:rsidR="00303E81" w:rsidRPr="00B74577">
        <w:rPr>
          <w:rFonts w:cstheme="minorHAnsi"/>
          <w:lang w:val="en-GB"/>
        </w:rPr>
        <w:t xml:space="preserve">therefore </w:t>
      </w:r>
      <w:r w:rsidR="00D10222" w:rsidRPr="00B74577">
        <w:rPr>
          <w:rFonts w:cstheme="minorHAnsi"/>
          <w:lang w:val="en-GB"/>
        </w:rPr>
        <w:t>associated with some kind of blind faith</w:t>
      </w:r>
      <w:r w:rsidR="00257901">
        <w:rPr>
          <w:rFonts w:cstheme="minorHAnsi"/>
          <w:lang w:val="en-GB"/>
        </w:rPr>
        <w:t xml:space="preserve"> rather than being </w:t>
      </w:r>
      <w:r w:rsidR="009A7695">
        <w:rPr>
          <w:rFonts w:cstheme="minorHAnsi"/>
          <w:lang w:val="en-GB"/>
        </w:rPr>
        <w:t>worthy</w:t>
      </w:r>
      <w:r w:rsidR="00257901">
        <w:rPr>
          <w:rFonts w:cstheme="minorHAnsi"/>
          <w:lang w:val="en-GB"/>
        </w:rPr>
        <w:t xml:space="preserve"> of standing up to scientific scrutiny.</w:t>
      </w:r>
    </w:p>
    <w:p w14:paraId="24483AFC" w14:textId="77777777" w:rsidR="005D0B2B" w:rsidRPr="00B74577" w:rsidRDefault="005D0B2B" w:rsidP="00050105">
      <w:pPr>
        <w:rPr>
          <w:rFonts w:cstheme="minorHAnsi"/>
          <w:lang w:val="en-GB"/>
        </w:rPr>
      </w:pPr>
    </w:p>
    <w:p w14:paraId="02C412CB" w14:textId="2BCA3774" w:rsidR="00050105" w:rsidRPr="00B74577" w:rsidRDefault="00185C5C" w:rsidP="00050105">
      <w:pPr>
        <w:rPr>
          <w:rFonts w:eastAsia="Times New Roman" w:cstheme="minorHAnsi"/>
          <w:lang w:eastAsia="en-GB"/>
        </w:rPr>
      </w:pPr>
      <w:r w:rsidRPr="00B74577">
        <w:rPr>
          <w:rFonts w:cstheme="minorHAnsi"/>
          <w:lang w:val="en-GB"/>
        </w:rPr>
        <w:t xml:space="preserve">In my own paradigm when I </w:t>
      </w:r>
      <w:r w:rsidR="002D792D">
        <w:rPr>
          <w:rFonts w:cstheme="minorHAnsi"/>
          <w:lang w:val="en-GB"/>
        </w:rPr>
        <w:t>use the term</w:t>
      </w:r>
      <w:r w:rsidRPr="00B74577">
        <w:rPr>
          <w:rFonts w:cstheme="minorHAnsi"/>
          <w:lang w:val="en-GB"/>
        </w:rPr>
        <w:t xml:space="preserve"> </w:t>
      </w:r>
      <w:r w:rsidR="002D792D">
        <w:rPr>
          <w:rFonts w:cstheme="minorHAnsi"/>
          <w:lang w:val="en-GB"/>
        </w:rPr>
        <w:t>‘</w:t>
      </w:r>
      <w:r w:rsidRPr="00B74577">
        <w:rPr>
          <w:rFonts w:cstheme="minorHAnsi"/>
          <w:lang w:val="en-GB"/>
        </w:rPr>
        <w:t>consciousness</w:t>
      </w:r>
      <w:r w:rsidR="002D792D">
        <w:rPr>
          <w:rFonts w:cstheme="minorHAnsi"/>
          <w:lang w:val="en-GB"/>
        </w:rPr>
        <w:t>’</w:t>
      </w:r>
      <w:r w:rsidRPr="00B74577">
        <w:rPr>
          <w:rFonts w:cstheme="minorHAnsi"/>
          <w:lang w:val="en-GB"/>
        </w:rPr>
        <w:t xml:space="preserve"> I am defining the </w:t>
      </w:r>
      <w:r w:rsidR="005D0B2B" w:rsidRPr="00B74577">
        <w:rPr>
          <w:rFonts w:cstheme="minorHAnsi"/>
          <w:lang w:val="en-GB"/>
        </w:rPr>
        <w:t xml:space="preserve">primary observable </w:t>
      </w:r>
      <w:r w:rsidRPr="00B74577">
        <w:rPr>
          <w:rFonts w:cstheme="minorHAnsi"/>
          <w:lang w:val="en-GB"/>
        </w:rPr>
        <w:t xml:space="preserve">symptom of </w:t>
      </w:r>
      <w:r w:rsidR="00104D15">
        <w:rPr>
          <w:rFonts w:cstheme="minorHAnsi"/>
          <w:lang w:val="en-GB"/>
        </w:rPr>
        <w:t xml:space="preserve">what is </w:t>
      </w:r>
      <w:r w:rsidR="002D792D">
        <w:rPr>
          <w:rFonts w:cstheme="minorHAnsi"/>
          <w:lang w:val="en-GB"/>
        </w:rPr>
        <w:t>more nebulously</w:t>
      </w:r>
      <w:r w:rsidR="00104D15">
        <w:rPr>
          <w:rFonts w:cstheme="minorHAnsi"/>
          <w:lang w:val="en-GB"/>
        </w:rPr>
        <w:t xml:space="preserve"> referred to as the</w:t>
      </w:r>
      <w:r w:rsidRPr="00B74577">
        <w:rPr>
          <w:rFonts w:cstheme="minorHAnsi"/>
          <w:lang w:val="en-GB"/>
        </w:rPr>
        <w:t xml:space="preserve"> </w:t>
      </w:r>
      <w:r w:rsidR="00352B99">
        <w:rPr>
          <w:rFonts w:cstheme="minorHAnsi"/>
          <w:lang w:val="en-GB"/>
        </w:rPr>
        <w:t xml:space="preserve">spirit or </w:t>
      </w:r>
      <w:r w:rsidRPr="00B74577">
        <w:rPr>
          <w:rFonts w:cstheme="minorHAnsi"/>
          <w:lang w:val="en-GB"/>
        </w:rPr>
        <w:t>soul.</w:t>
      </w:r>
      <w:r w:rsidR="00050105" w:rsidRPr="00B74577">
        <w:rPr>
          <w:rFonts w:cstheme="minorHAnsi"/>
          <w:lang w:val="en-GB"/>
        </w:rPr>
        <w:t xml:space="preserve"> ‘</w:t>
      </w:r>
      <w:r w:rsidR="00050105" w:rsidRPr="00B74577">
        <w:rPr>
          <w:rFonts w:eastAsia="Times New Roman" w:cstheme="minorHAnsi"/>
          <w:lang w:eastAsia="en-GB"/>
        </w:rPr>
        <w:t>The soul hypothesis’ (the belief that souls exist and humans have them) enjoys near unanimous support in the general population. Among philosophers and scientists, however, belief in the soul is far less common.’</w:t>
      </w:r>
      <w:r w:rsidR="00050105" w:rsidRPr="00B74577">
        <w:rPr>
          <w:rStyle w:val="FootnoteReference"/>
          <w:rFonts w:eastAsia="Times New Roman" w:cstheme="minorHAnsi"/>
          <w:lang w:eastAsia="en-GB"/>
        </w:rPr>
        <w:footnoteReference w:id="1"/>
      </w:r>
    </w:p>
    <w:p w14:paraId="2085E413" w14:textId="4B8B65B3" w:rsidR="005D0B2B" w:rsidRPr="00B74577" w:rsidRDefault="005D0B2B" w:rsidP="00050105">
      <w:pPr>
        <w:rPr>
          <w:rFonts w:eastAsia="Times New Roman" w:cstheme="minorHAnsi"/>
          <w:lang w:eastAsia="en-GB"/>
        </w:rPr>
      </w:pPr>
    </w:p>
    <w:p w14:paraId="3DC951BA" w14:textId="1C35133E" w:rsidR="005D0B2B" w:rsidRDefault="005D0B2B" w:rsidP="00B74577">
      <w:pPr>
        <w:rPr>
          <w:rFonts w:eastAsia="Times New Roman" w:cstheme="minorHAnsi"/>
          <w:lang w:eastAsia="en-GB"/>
        </w:rPr>
      </w:pPr>
      <w:r w:rsidRPr="00B74577">
        <w:rPr>
          <w:rFonts w:eastAsia="Times New Roman" w:cstheme="minorHAnsi"/>
          <w:lang w:eastAsia="en-GB"/>
        </w:rPr>
        <w:t xml:space="preserve">It is interesting </w:t>
      </w:r>
      <w:r w:rsidR="00B74577">
        <w:rPr>
          <w:rFonts w:eastAsia="Times New Roman" w:cstheme="minorHAnsi"/>
          <w:lang w:eastAsia="en-GB"/>
        </w:rPr>
        <w:t xml:space="preserve">to note </w:t>
      </w:r>
      <w:r w:rsidRPr="00B74577">
        <w:rPr>
          <w:rFonts w:eastAsia="Times New Roman" w:cstheme="minorHAnsi"/>
          <w:lang w:eastAsia="en-GB"/>
        </w:rPr>
        <w:t>that in the above quote, the word ‘belief’ is used</w:t>
      </w:r>
      <w:r w:rsidR="009613C9" w:rsidRPr="00B74577">
        <w:rPr>
          <w:rFonts w:eastAsia="Times New Roman" w:cstheme="minorHAnsi"/>
          <w:lang w:eastAsia="en-GB"/>
        </w:rPr>
        <w:t>,</w:t>
      </w:r>
      <w:r w:rsidRPr="00B74577">
        <w:rPr>
          <w:rFonts w:eastAsia="Times New Roman" w:cstheme="minorHAnsi"/>
          <w:lang w:eastAsia="en-GB"/>
        </w:rPr>
        <w:t xml:space="preserve"> as belief by its very definition also indicates a level of blind faith </w:t>
      </w:r>
      <w:r w:rsidR="007E060A" w:rsidRPr="00B74577">
        <w:rPr>
          <w:rFonts w:eastAsia="Times New Roman" w:cstheme="minorHAnsi"/>
          <w:lang w:eastAsia="en-GB"/>
        </w:rPr>
        <w:t>‘confidence in the truth or existence of something not immediately susceptible to rigorous proof</w:t>
      </w:r>
      <w:r w:rsidR="009613C9" w:rsidRPr="00B74577">
        <w:rPr>
          <w:rFonts w:eastAsia="Times New Roman" w:cstheme="minorHAnsi"/>
          <w:lang w:eastAsia="en-GB"/>
        </w:rPr>
        <w:t>’ is one dictionary definition.</w:t>
      </w:r>
      <w:r w:rsidR="009613C9" w:rsidRPr="00B74577">
        <w:rPr>
          <w:rStyle w:val="FootnoteReference"/>
          <w:rFonts w:eastAsia="Times New Roman" w:cstheme="minorHAnsi"/>
          <w:lang w:eastAsia="en-GB"/>
        </w:rPr>
        <w:footnoteReference w:id="2"/>
      </w:r>
      <w:r w:rsidR="00B74577">
        <w:rPr>
          <w:rFonts w:eastAsia="Times New Roman" w:cstheme="minorHAnsi"/>
          <w:lang w:eastAsia="en-GB"/>
        </w:rPr>
        <w:t xml:space="preserve"> So if I can </w:t>
      </w:r>
      <w:r w:rsidR="00645F0E">
        <w:rPr>
          <w:rFonts w:eastAsia="Times New Roman" w:cstheme="minorHAnsi"/>
          <w:lang w:eastAsia="en-GB"/>
        </w:rPr>
        <w:t>lend</w:t>
      </w:r>
      <w:r w:rsidR="00B74577">
        <w:rPr>
          <w:rFonts w:eastAsia="Times New Roman" w:cstheme="minorHAnsi"/>
          <w:lang w:eastAsia="en-GB"/>
        </w:rPr>
        <w:t xml:space="preserve"> logic and argument </w:t>
      </w:r>
      <w:r w:rsidR="00645F0E">
        <w:rPr>
          <w:rFonts w:eastAsia="Times New Roman" w:cstheme="minorHAnsi"/>
          <w:lang w:eastAsia="en-GB"/>
        </w:rPr>
        <w:t xml:space="preserve">to the proposal </w:t>
      </w:r>
      <w:r w:rsidR="00B74577">
        <w:rPr>
          <w:rFonts w:eastAsia="Times New Roman" w:cstheme="minorHAnsi"/>
          <w:lang w:eastAsia="en-GB"/>
        </w:rPr>
        <w:t xml:space="preserve">that the soul exists in the form of consciousness which is independent of the physical body, then this argument is superior to the </w:t>
      </w:r>
      <w:r w:rsidR="005525F0">
        <w:rPr>
          <w:rFonts w:eastAsia="Times New Roman" w:cstheme="minorHAnsi"/>
          <w:lang w:eastAsia="en-GB"/>
        </w:rPr>
        <w:t xml:space="preserve">unsubstantiated </w:t>
      </w:r>
      <w:r w:rsidR="00B74577">
        <w:rPr>
          <w:rFonts w:eastAsia="Times New Roman" w:cstheme="minorHAnsi"/>
          <w:lang w:eastAsia="en-GB"/>
        </w:rPr>
        <w:t>belief of scientists and philosophers</w:t>
      </w:r>
      <w:r w:rsidR="005525F0">
        <w:rPr>
          <w:rFonts w:eastAsia="Times New Roman" w:cstheme="minorHAnsi"/>
          <w:lang w:eastAsia="en-GB"/>
        </w:rPr>
        <w:t>.</w:t>
      </w:r>
    </w:p>
    <w:sectPr w:rsidR="005D0B2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81940E8" w14:textId="77777777" w:rsidR="0049509A" w:rsidRDefault="0049509A" w:rsidP="00D10222">
      <w:r>
        <w:separator/>
      </w:r>
    </w:p>
  </w:endnote>
  <w:endnote w:type="continuationSeparator" w:id="0">
    <w:p w14:paraId="58BD8CC8" w14:textId="77777777" w:rsidR="0049509A" w:rsidRDefault="0049509A" w:rsidP="00D1022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0166E4E" w14:textId="77777777" w:rsidR="0049509A" w:rsidRDefault="0049509A" w:rsidP="00D10222">
      <w:r>
        <w:separator/>
      </w:r>
    </w:p>
  </w:footnote>
  <w:footnote w:type="continuationSeparator" w:id="0">
    <w:p w14:paraId="2DA4A97B" w14:textId="77777777" w:rsidR="0049509A" w:rsidRDefault="0049509A" w:rsidP="00D10222">
      <w:r>
        <w:continuationSeparator/>
      </w:r>
    </w:p>
  </w:footnote>
  <w:footnote w:id="1">
    <w:p w14:paraId="0A597E72" w14:textId="6D176E40" w:rsidR="00050105" w:rsidRPr="00050105" w:rsidRDefault="00050105">
      <w:pPr>
        <w:pStyle w:val="FootnoteText"/>
        <w:rPr>
          <w:lang w:val="en-GB"/>
        </w:rPr>
      </w:pPr>
      <w:r>
        <w:rPr>
          <w:rStyle w:val="FootnoteReference"/>
        </w:rPr>
        <w:footnoteRef/>
      </w:r>
      <w:r>
        <w:t xml:space="preserve"> </w:t>
      </w:r>
      <w:r>
        <w:rPr>
          <w:lang w:val="en-GB"/>
        </w:rPr>
        <w:t xml:space="preserve">DK Johnson, </w:t>
      </w:r>
      <w:r>
        <w:rPr>
          <w:i/>
          <w:iCs/>
          <w:lang w:val="en-GB"/>
        </w:rPr>
        <w:t xml:space="preserve">Think </w:t>
      </w:r>
      <w:r>
        <w:rPr>
          <w:lang w:val="en-GB"/>
        </w:rPr>
        <w:t>Vol 12</w:t>
      </w:r>
      <w:r w:rsidR="00316B7B">
        <w:rPr>
          <w:lang w:val="en-GB"/>
        </w:rPr>
        <w:t xml:space="preserve">, Issue 35, </w:t>
      </w:r>
      <w:r w:rsidR="00D30A3E">
        <w:rPr>
          <w:lang w:val="en-GB"/>
        </w:rPr>
        <w:t>(</w:t>
      </w:r>
      <w:r w:rsidR="00316B7B">
        <w:rPr>
          <w:lang w:val="en-GB"/>
        </w:rPr>
        <w:t>2013</w:t>
      </w:r>
      <w:r w:rsidR="00D30A3E">
        <w:rPr>
          <w:lang w:val="en-GB"/>
        </w:rPr>
        <w:t xml:space="preserve"> Cambridge University Press)</w:t>
      </w:r>
    </w:p>
  </w:footnote>
  <w:footnote w:id="2">
    <w:p w14:paraId="490C54C7" w14:textId="3693EE06" w:rsidR="009613C9" w:rsidRPr="009613C9" w:rsidRDefault="009613C9">
      <w:pPr>
        <w:pStyle w:val="FootnoteText"/>
        <w:rPr>
          <w:lang w:val="en-GB"/>
        </w:rPr>
      </w:pPr>
      <w:r>
        <w:rPr>
          <w:rStyle w:val="FootnoteReference"/>
        </w:rPr>
        <w:footnoteRef/>
      </w:r>
      <w:r>
        <w:t xml:space="preserve"> </w:t>
      </w:r>
      <w:hyperlink r:id="rId1" w:history="1">
        <w:r w:rsidR="005C6560" w:rsidRPr="008B5D61">
          <w:rPr>
            <w:rStyle w:val="Hyperlink"/>
          </w:rPr>
          <w:t>https://www.dictionary.com/browse/belief</w:t>
        </w:r>
      </w:hyperlink>
      <w:r w:rsidR="005C6560">
        <w:t xml:space="preserve"> accessed 9th November 2021</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11D2"/>
    <w:rsid w:val="00050105"/>
    <w:rsid w:val="00075C20"/>
    <w:rsid w:val="000F5D49"/>
    <w:rsid w:val="00104D15"/>
    <w:rsid w:val="00185C5C"/>
    <w:rsid w:val="001F5CE1"/>
    <w:rsid w:val="00257901"/>
    <w:rsid w:val="002D792D"/>
    <w:rsid w:val="00303E81"/>
    <w:rsid w:val="00316B7B"/>
    <w:rsid w:val="00352B99"/>
    <w:rsid w:val="0049509A"/>
    <w:rsid w:val="005525F0"/>
    <w:rsid w:val="005A11D2"/>
    <w:rsid w:val="005C6560"/>
    <w:rsid w:val="005D0B2B"/>
    <w:rsid w:val="006233AE"/>
    <w:rsid w:val="00645F0E"/>
    <w:rsid w:val="007E060A"/>
    <w:rsid w:val="00957E21"/>
    <w:rsid w:val="009613C9"/>
    <w:rsid w:val="009A7695"/>
    <w:rsid w:val="009B2248"/>
    <w:rsid w:val="00B21012"/>
    <w:rsid w:val="00B74577"/>
    <w:rsid w:val="00BD7CEB"/>
    <w:rsid w:val="00C77E8B"/>
    <w:rsid w:val="00D10222"/>
    <w:rsid w:val="00D30A3E"/>
    <w:rsid w:val="00F02DA5"/>
    <w:rsid w:val="00F2284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ecimalSymbol w:val="."/>
  <w:listSeparator w:val=","/>
  <w14:docId w14:val="134613D2"/>
  <w15:chartTrackingRefBased/>
  <w15:docId w15:val="{9FFEC884-32D6-7A46-B5C9-3B33621FC9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IN"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D10222"/>
    <w:rPr>
      <w:sz w:val="20"/>
      <w:szCs w:val="20"/>
    </w:rPr>
  </w:style>
  <w:style w:type="character" w:customStyle="1" w:styleId="FootnoteTextChar">
    <w:name w:val="Footnote Text Char"/>
    <w:basedOn w:val="DefaultParagraphFont"/>
    <w:link w:val="FootnoteText"/>
    <w:uiPriority w:val="99"/>
    <w:semiHidden/>
    <w:rsid w:val="00D10222"/>
    <w:rPr>
      <w:sz w:val="20"/>
      <w:szCs w:val="20"/>
    </w:rPr>
  </w:style>
  <w:style w:type="character" w:styleId="FootnoteReference">
    <w:name w:val="footnote reference"/>
    <w:basedOn w:val="DefaultParagraphFont"/>
    <w:uiPriority w:val="99"/>
    <w:semiHidden/>
    <w:unhideWhenUsed/>
    <w:rsid w:val="00D10222"/>
    <w:rPr>
      <w:vertAlign w:val="superscript"/>
    </w:rPr>
  </w:style>
  <w:style w:type="character" w:customStyle="1" w:styleId="one-click-content">
    <w:name w:val="one-click-content"/>
    <w:basedOn w:val="DefaultParagraphFont"/>
    <w:rsid w:val="007E060A"/>
  </w:style>
  <w:style w:type="character" w:styleId="Hyperlink">
    <w:name w:val="Hyperlink"/>
    <w:basedOn w:val="DefaultParagraphFont"/>
    <w:uiPriority w:val="99"/>
    <w:unhideWhenUsed/>
    <w:rsid w:val="005C6560"/>
    <w:rPr>
      <w:color w:val="0563C1" w:themeColor="hyperlink"/>
      <w:u w:val="single"/>
    </w:rPr>
  </w:style>
  <w:style w:type="character" w:styleId="UnresolvedMention">
    <w:name w:val="Unresolved Mention"/>
    <w:basedOn w:val="DefaultParagraphFont"/>
    <w:uiPriority w:val="99"/>
    <w:semiHidden/>
    <w:unhideWhenUsed/>
    <w:rsid w:val="005C656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0652196">
      <w:bodyDiv w:val="1"/>
      <w:marLeft w:val="0"/>
      <w:marRight w:val="0"/>
      <w:marTop w:val="0"/>
      <w:marBottom w:val="0"/>
      <w:divBdr>
        <w:top w:val="none" w:sz="0" w:space="0" w:color="auto"/>
        <w:left w:val="none" w:sz="0" w:space="0" w:color="auto"/>
        <w:bottom w:val="none" w:sz="0" w:space="0" w:color="auto"/>
        <w:right w:val="none" w:sz="0" w:space="0" w:color="auto"/>
      </w:divBdr>
    </w:div>
    <w:div w:id="11354129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_rels/footnotes.xml.rels><?xml version="1.0" encoding="UTF-8" standalone="yes"?>
<Relationships xmlns="http://schemas.openxmlformats.org/package/2006/relationships"><Relationship Id="rId1" Type="http://schemas.openxmlformats.org/officeDocument/2006/relationships/hyperlink" Target="https://www.dictionary.com/browse/belie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ED0B76C-3AF7-0141-91EA-CC1C9CC248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67</TotalTime>
  <Pages>1</Pages>
  <Words>228</Words>
  <Characters>1302</Characters>
  <Application>Microsoft Office Word</Application>
  <DocSecurity>0</DocSecurity>
  <Lines>10</Lines>
  <Paragraphs>3</Paragraphs>
  <ScaleCrop>false</ScaleCrop>
  <Company/>
  <LinksUpToDate>false</LinksUpToDate>
  <CharactersWithSpaces>1527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Madhu</dc:creator>
  <cp:keywords/>
  <dc:description/>
  <cp:lastModifiedBy>Madhu</cp:lastModifiedBy>
  <cp:revision>32</cp:revision>
  <dcterms:created xsi:type="dcterms:W3CDTF">2021-11-09T20:13:00Z</dcterms:created>
  <dcterms:modified xsi:type="dcterms:W3CDTF">2021-11-09T21:39:00Z</dcterms:modified>
</cp:coreProperties>
</file>