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jc w:val="center"/>
        <w:rPr/>
      </w:pPr>
    </w:p>
    <w:p>
      <w:pPr>
        <w:pStyle w:val="style0"/>
        <w:jc w:val="center"/>
        <w:rPr/>
      </w:pPr>
    </w:p>
    <w:p>
      <w:pPr>
        <w:pStyle w:val="style0"/>
        <w:jc w:val="center"/>
        <w:rPr/>
      </w:pPr>
    </w:p>
    <w:p>
      <w:pPr>
        <w:pStyle w:val="style0"/>
        <w:jc w:val="center"/>
        <w:rPr/>
      </w:pPr>
    </w:p>
    <w:p>
      <w:pPr>
        <w:pStyle w:val="style0"/>
        <w:jc w:val="center"/>
        <w:rPr/>
      </w:pPr>
    </w:p>
    <w:p>
      <w:pPr>
        <w:pStyle w:val="style0"/>
        <w:jc w:val="center"/>
        <w:rPr/>
      </w:pPr>
    </w:p>
    <w:p>
      <w:pPr>
        <w:pStyle w:val="style0"/>
        <w:jc w:val="center"/>
        <w:rPr/>
      </w:pPr>
    </w:p>
    <w:p>
      <w:pPr>
        <w:pStyle w:val="style0"/>
        <w:jc w:val="center"/>
        <w:rPr/>
      </w:pPr>
    </w:p>
    <w:p>
      <w:pPr>
        <w:pStyle w:val="style0"/>
        <w:jc w:val="center"/>
        <w:rPr/>
      </w:pPr>
    </w:p>
    <w:p>
      <w:pPr>
        <w:pStyle w:val="style0"/>
        <w:jc w:val="center"/>
        <w:rPr/>
      </w:pPr>
    </w:p>
    <w:p>
      <w:pPr>
        <w:pStyle w:val="style0"/>
        <w:jc w:val="center"/>
        <w:rPr/>
      </w:pPr>
      <w:r>
        <w:t>Component 1 - Individual Report</w:t>
      </w:r>
    </w:p>
    <w:p>
      <w:pPr>
        <w:pStyle w:val="style0"/>
        <w:jc w:val="center"/>
        <w:rPr/>
      </w:pPr>
      <w:r>
        <w:t>Student Name:</w:t>
      </w:r>
      <w:r>
        <w:rPr>
          <w:lang w:val="en-US"/>
        </w:rPr>
        <w:t>Suraj Bala</w:t>
      </w:r>
    </w:p>
    <w:p>
      <w:pPr>
        <w:pStyle w:val="style0"/>
        <w:jc w:val="center"/>
        <w:rPr/>
      </w:pPr>
      <w:r>
        <w:t>Student Number:</w:t>
      </w:r>
      <w:r>
        <w:rPr>
          <w:lang w:val="en-US"/>
        </w:rPr>
        <w:t>2227794</w:t>
      </w:r>
    </w:p>
    <w:p>
      <w:pPr>
        <w:pStyle w:val="style0"/>
        <w:jc w:val="center"/>
        <w:rPr/>
      </w:pPr>
      <w:r>
        <w:t>Lecturer Name: LCBB4006_BIRM</w:t>
      </w:r>
    </w:p>
    <w:p>
      <w:pPr>
        <w:pStyle w:val="style0"/>
        <w:jc w:val="center"/>
        <w:rPr/>
      </w:pPr>
      <w:r>
        <w:t>Academic Skills</w:t>
      </w:r>
    </w:p>
    <w:p>
      <w:pPr>
        <w:pStyle w:val="style0"/>
        <w:widowControl/>
        <w:autoSpaceDE/>
        <w:autoSpaceDN/>
        <w:spacing w:after="160" w:lineRule="auto" w:line="259"/>
        <w:jc w:val="left"/>
        <w:rPr/>
      </w:pPr>
      <w:r>
        <w:br w:type="page"/>
      </w:r>
    </w:p>
    <w:p>
      <w:pPr>
        <w:pStyle w:val="style266"/>
        <w:rPr/>
      </w:pPr>
      <w:r>
        <w:rPr>
          <w:lang w:val="en-GB"/>
        </w:rPr>
        <w:t>Contents</w:t>
      </w:r>
    </w:p>
    <w:p>
      <w:pPr>
        <w:pStyle w:val="style19"/>
        <w:tabs>
          <w:tab w:val="right" w:leader="dot" w:pos="9350"/>
        </w:tabs>
        <w:rPr>
          <w:rFonts w:ascii="Calibri" w:cs="宋体" w:eastAsia="宋体" w:hAnsi="Calibri"/>
          <w:b w:val="false"/>
          <w:noProof/>
          <w:sz w:val="22"/>
          <w:u w:val="none"/>
        </w:rPr>
      </w:pPr>
      <w:r>
        <w:rPr/>
        <w:fldChar w:fldCharType="begin"/>
      </w:r>
      <w:r>
        <w:instrText xml:space="preserve"> TOC \o "1-3" \h \z \u </w:instrText>
      </w:r>
      <w:r>
        <w:rPr/>
        <w:fldChar w:fldCharType="separate"/>
      </w:r>
      <w:r>
        <w:rPr/>
        <w:fldChar w:fldCharType="begin"/>
      </w:r>
      <w:r>
        <w:instrText xml:space="preserve"> HYPERLINK \l "_Toc137492742"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_Toc137492742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rPr>
          <w:rFonts w:ascii="Calibri" w:cs="宋体" w:eastAsia="宋体" w:hAnsi="Calibri"/>
          <w:b w:val="false"/>
          <w:noProof/>
          <w:sz w:val="22"/>
          <w:u w:val="none"/>
        </w:rPr>
      </w:pPr>
      <w:r>
        <w:rPr/>
        <w:fldChar w:fldCharType="begin"/>
      </w:r>
      <w:r>
        <w:instrText xml:space="preserve"> HYPERLINK \l "_Toc137492743" </w:instrText>
      </w:r>
      <w:r>
        <w:rPr/>
        <w:fldChar w:fldCharType="separate"/>
      </w:r>
      <w:r>
        <w:rPr>
          <w:rStyle w:val="style85"/>
          <w:noProof/>
        </w:rPr>
        <w:t>Importance of Research Skills</w:t>
      </w:r>
      <w:r>
        <w:rPr>
          <w:noProof/>
          <w:webHidden/>
        </w:rPr>
        <w:tab/>
      </w:r>
      <w:r>
        <w:rPr>
          <w:noProof/>
          <w:webHidden/>
        </w:rPr>
        <w:fldChar w:fldCharType="begin"/>
      </w:r>
      <w:r>
        <w:rPr>
          <w:noProof/>
          <w:webHidden/>
        </w:rPr>
        <w:instrText xml:space="preserve"> PAGEREF _Toc137492743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350"/>
        </w:tabs>
        <w:rPr>
          <w:rFonts w:ascii="Calibri" w:cs="宋体" w:eastAsia="宋体" w:hAnsi="Calibri"/>
          <w:b w:val="false"/>
          <w:i w:val="false"/>
          <w:noProof/>
          <w:sz w:val="22"/>
        </w:rPr>
      </w:pPr>
      <w:r>
        <w:rPr/>
        <w:fldChar w:fldCharType="begin"/>
      </w:r>
      <w:r>
        <w:instrText xml:space="preserve"> HYPERLINK \l "_Toc137492744" </w:instrText>
      </w:r>
      <w:r>
        <w:rPr/>
        <w:fldChar w:fldCharType="separate"/>
      </w:r>
      <w:r>
        <w:rPr>
          <w:rStyle w:val="style85"/>
          <w:noProof/>
        </w:rPr>
        <w:t>Paraphrasing and In-text Citation:</w:t>
      </w:r>
      <w:r>
        <w:rPr>
          <w:noProof/>
          <w:webHidden/>
        </w:rPr>
        <w:tab/>
      </w:r>
      <w:r>
        <w:rPr>
          <w:noProof/>
          <w:webHidden/>
        </w:rPr>
        <w:fldChar w:fldCharType="begin"/>
      </w:r>
      <w:r>
        <w:rPr>
          <w:noProof/>
          <w:webHidden/>
        </w:rPr>
        <w:instrText xml:space="preserve"> PAGEREF _Toc137492744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ascii="Calibri" w:cs="宋体" w:eastAsia="宋体" w:hAnsi="Calibri"/>
          <w:b w:val="false"/>
          <w:i w:val="false"/>
          <w:noProof/>
          <w:sz w:val="22"/>
        </w:rPr>
      </w:pPr>
      <w:r>
        <w:rPr/>
        <w:fldChar w:fldCharType="begin"/>
      </w:r>
      <w:r>
        <w:instrText xml:space="preserve"> HYPERLINK \l "_Toc137492745" </w:instrText>
      </w:r>
      <w:r>
        <w:rPr/>
        <w:fldChar w:fldCharType="separate"/>
      </w:r>
      <w:r>
        <w:rPr>
          <w:rStyle w:val="style85"/>
          <w:noProof/>
        </w:rPr>
        <w:t>References and Citations:</w:t>
      </w:r>
      <w:r>
        <w:rPr>
          <w:noProof/>
          <w:webHidden/>
        </w:rPr>
        <w:tab/>
      </w:r>
      <w:r>
        <w:rPr>
          <w:noProof/>
          <w:webHidden/>
        </w:rPr>
        <w:fldChar w:fldCharType="begin"/>
      </w:r>
      <w:r>
        <w:rPr>
          <w:noProof/>
          <w:webHidden/>
        </w:rPr>
        <w:instrText xml:space="preserve"> PAGEREF _Toc137492745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cs="宋体" w:eastAsia="宋体" w:hAnsi="Calibri"/>
          <w:b w:val="false"/>
          <w:i w:val="false"/>
          <w:noProof/>
          <w:sz w:val="22"/>
        </w:rPr>
      </w:pPr>
      <w:r>
        <w:rPr/>
        <w:fldChar w:fldCharType="begin"/>
      </w:r>
      <w:r>
        <w:instrText xml:space="preserve"> HYPERLINK \l "_Toc137492746" </w:instrText>
      </w:r>
      <w:r>
        <w:rPr/>
        <w:fldChar w:fldCharType="separate"/>
      </w:r>
      <w:r>
        <w:rPr>
          <w:rStyle w:val="style85"/>
          <w:noProof/>
        </w:rPr>
        <w:t>Enhancing Research Skills:</w:t>
      </w:r>
      <w:r>
        <w:rPr>
          <w:noProof/>
          <w:webHidden/>
        </w:rPr>
        <w:tab/>
      </w:r>
      <w:r>
        <w:rPr>
          <w:noProof/>
          <w:webHidden/>
        </w:rPr>
        <w:fldChar w:fldCharType="begin"/>
      </w:r>
      <w:r>
        <w:rPr>
          <w:noProof/>
          <w:webHidden/>
        </w:rPr>
        <w:instrText xml:space="preserve"> PAGEREF _Toc137492746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rFonts w:ascii="Calibri" w:cs="宋体" w:eastAsia="宋体" w:hAnsi="Calibri"/>
          <w:b w:val="false"/>
          <w:noProof/>
          <w:sz w:val="22"/>
          <w:u w:val="none"/>
        </w:rPr>
      </w:pPr>
      <w:r>
        <w:rPr/>
        <w:fldChar w:fldCharType="begin"/>
      </w:r>
      <w:r>
        <w:instrText xml:space="preserve"> HYPERLINK \l "_Toc137492747" </w:instrText>
      </w:r>
      <w:r>
        <w:rPr/>
        <w:fldChar w:fldCharType="separate"/>
      </w:r>
      <w:r>
        <w:rPr>
          <w:rStyle w:val="style85"/>
          <w:noProof/>
        </w:rPr>
        <w:t>Recommendations for Students:</w:t>
      </w:r>
      <w:r>
        <w:rPr>
          <w:noProof/>
          <w:webHidden/>
        </w:rPr>
        <w:tab/>
      </w:r>
      <w:r>
        <w:rPr>
          <w:noProof/>
          <w:webHidden/>
        </w:rPr>
        <w:fldChar w:fldCharType="begin"/>
      </w:r>
      <w:r>
        <w:rPr>
          <w:noProof/>
          <w:webHidden/>
        </w:rPr>
        <w:instrText xml:space="preserve"> PAGEREF _Toc137492747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rFonts w:ascii="Calibri" w:cs="宋体" w:eastAsia="宋体" w:hAnsi="Calibri"/>
          <w:b w:val="false"/>
          <w:noProof/>
          <w:sz w:val="22"/>
          <w:u w:val="none"/>
        </w:rPr>
      </w:pPr>
      <w:r>
        <w:rPr/>
        <w:fldChar w:fldCharType="begin"/>
      </w:r>
      <w:r>
        <w:instrText xml:space="preserve"> HYPERLINK \l "_Toc137492748"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_Toc137492748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rFonts w:ascii="Calibri" w:cs="宋体" w:eastAsia="宋体" w:hAnsi="Calibri"/>
          <w:b w:val="false"/>
          <w:noProof/>
          <w:sz w:val="22"/>
          <w:u w:val="none"/>
        </w:rPr>
      </w:pPr>
      <w:r>
        <w:rPr/>
        <w:fldChar w:fldCharType="begin"/>
      </w:r>
      <w:r>
        <w:instrText xml:space="preserve"> HYPERLINK \l "_Toc137492749"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_Toc137492749 \h </w:instrText>
      </w:r>
      <w:r>
        <w:rPr>
          <w:noProof/>
          <w:webHidden/>
        </w:rPr>
        <w:fldChar w:fldCharType="separate"/>
      </w:r>
      <w:r>
        <w:rPr>
          <w:noProof/>
          <w:webHidden/>
        </w:rPr>
        <w:t>8</w:t>
      </w:r>
      <w:r>
        <w:rPr>
          <w:noProof/>
          <w:webHidden/>
        </w:rPr>
        <w:fldChar w:fldCharType="end"/>
      </w:r>
      <w:r>
        <w:rPr/>
        <w:fldChar w:fldCharType="end"/>
      </w:r>
    </w:p>
    <w:p>
      <w:pPr>
        <w:pStyle w:val="style0"/>
        <w:rPr/>
      </w:pPr>
      <w:r>
        <w:rPr>
          <w:b/>
          <w:bCs/>
          <w:lang w:val="en-GB"/>
        </w:rPr>
        <w:fldChar w:fldCharType="end"/>
      </w:r>
    </w:p>
    <w:p>
      <w:pPr>
        <w:pStyle w:val="style0"/>
        <w:widowControl/>
        <w:autoSpaceDE/>
        <w:autoSpaceDN/>
        <w:spacing w:after="160" w:lineRule="auto" w:line="259"/>
        <w:jc w:val="left"/>
        <w:rPr>
          <w:rFonts w:cs="宋体" w:eastAsia="宋体"/>
          <w:b/>
          <w:color w:val="000000"/>
          <w:sz w:val="28"/>
          <w:szCs w:val="32"/>
          <w:u w:val="single"/>
        </w:rPr>
      </w:pPr>
      <w:r>
        <w:br w:type="page"/>
      </w:r>
    </w:p>
    <w:bookmarkStart w:id="0" w:name="_Toc137492742"/>
    <w:p>
      <w:pPr>
        <w:pStyle w:val="style1"/>
        <w:rPr/>
      </w:pPr>
      <w:r>
        <w:t>Introduction</w:t>
      </w:r>
      <w:bookmarkEnd w:id="0"/>
    </w:p>
    <w:p>
      <w:pPr>
        <w:pStyle w:val="style0"/>
        <w:rPr/>
      </w:pPr>
      <w:r>
        <w:t xml:space="preserve">Students' ability to do research and properly cite their sources is crucial to their success in school because it gives them the background they need to think critically, solve problems, and learn new material. The capacity to efficiently do research and appropriately cite sources is more valuable in today's information-driven environment. In order to help </w:t>
      </w:r>
      <w:r>
        <w:t>students</w:t>
      </w:r>
      <w:r>
        <w:t xml:space="preserve"> improve their research and citation skills, this paper will examine the value of these talents in academic and professional settings. The ability to do independent research helps students not only learn more about their chosen topics, but also become more critical thinkers and more capable of studying on their own initiative. In addition, knowing how to properly cite sources is essential for legitimate academic writing, as it helps students give credit where credit is due and prevent </w:t>
      </w:r>
      <w:r>
        <w:t>plagiarising</w:t>
      </w:r>
      <w:r>
        <w:t xml:space="preserve"> the work of others. This paper will explore the value of research skills and proper referencing in both the academic and professional realms. In addition, we will provide concrete suggestions on how students might strengthen their research skills and develop better reference techniques. By adhering to these standards, students may improve their research skills and create higher-quality, more credible writing in their chosen disciplines</w:t>
      </w:r>
      <w:r>
        <w:t xml:space="preserve"> </w:t>
      </w:r>
      <w:r>
        <w:t>(Yuan et al., 2020)</w:t>
      </w:r>
      <w:r>
        <w:t>.</w:t>
      </w:r>
    </w:p>
    <w:bookmarkStart w:id="1" w:name="_Toc137492743"/>
    <w:p>
      <w:pPr>
        <w:pStyle w:val="style1"/>
        <w:rPr/>
      </w:pPr>
      <w:r>
        <w:t>Importance of Research Skills</w:t>
      </w:r>
      <w:bookmarkEnd w:id="1"/>
    </w:p>
    <w:p>
      <w:pPr>
        <w:pStyle w:val="style0"/>
        <w:rPr/>
      </w:pPr>
      <w:r>
        <w:t>Students' ability to do independent research is a vital skill in a wide range of industries. Individuals equipped with these abilities are better able to investigate their areas of study, consider other points of view, and amass a well-rounded understanding of their chosen fields. The ability to do thorough research is crucial for many reasons.</w:t>
      </w:r>
    </w:p>
    <w:p>
      <w:pPr>
        <w:pStyle w:val="style179"/>
        <w:numPr>
          <w:ilvl w:val="0"/>
          <w:numId w:val="1"/>
        </w:numPr>
        <w:rPr/>
      </w:pPr>
      <w:r>
        <w:t xml:space="preserve">Information gathering: Through research, students may learn from a variety of resources including books, journals, websites, and even interviews. Students may get a deeper, more </w:t>
      </w:r>
      <w:r>
        <w:t>nuanced grasp of their chosen profession by doing methodical research into the topic</w:t>
      </w:r>
      <w:r>
        <w:t xml:space="preserve"> </w:t>
      </w:r>
      <w:r>
        <w:t>(Agapoff, 2019)</w:t>
      </w:r>
      <w:r>
        <w:t>.</w:t>
      </w:r>
    </w:p>
    <w:p>
      <w:pPr>
        <w:pStyle w:val="style179"/>
        <w:numPr>
          <w:ilvl w:val="0"/>
          <w:numId w:val="1"/>
        </w:numPr>
        <w:rPr/>
      </w:pPr>
      <w:r>
        <w:t>Analytical and critical thinking: Students who actively pursue knowledge via research develop these skills. They are tasked with determining the reliability and accuracy of information gathered from multiple resources, filling in knowledge gaps, and developing novel perspectives. These abilities are useful in any job where addressing problems is a priority.</w:t>
      </w:r>
    </w:p>
    <w:p>
      <w:pPr>
        <w:pStyle w:val="style179"/>
        <w:numPr>
          <w:ilvl w:val="0"/>
          <w:numId w:val="1"/>
        </w:numPr>
        <w:rPr/>
      </w:pPr>
      <w:r>
        <w:t>Evidence-based decision-making: In academic and professional settings, it is preferable to base choices on evidence rather than hearsay or conjecture. Students who have developed their research abilities have a better chance of making well-informed judgements based on solid information.</w:t>
      </w:r>
    </w:p>
    <w:p>
      <w:pPr>
        <w:pStyle w:val="style179"/>
        <w:numPr>
          <w:ilvl w:val="0"/>
          <w:numId w:val="1"/>
        </w:numPr>
        <w:rPr/>
      </w:pPr>
      <w:r>
        <w:t>Lifelong learning: Research abilities are not only useful in one's academic career, but also in one's professional and personal growth throughout one's lifetime. Learning how to do research effectively sets people prepared for a lifetime of staying abreast of developments, adjusting to novel situations, and expanding their knowledge base.</w:t>
      </w:r>
    </w:p>
    <w:p>
      <w:pPr>
        <w:pStyle w:val="style0"/>
        <w:rPr/>
      </w:pPr>
      <w:r>
        <w:t>Students who are able to do independent research are better equipped to become independent learners and contribute to society. Students may become better learners and professionals by focusing on developing these abilities. They will be better prepared to solve difficult challenges and make significant contributions in their chosen professions</w:t>
      </w:r>
      <w:r>
        <w:t xml:space="preserve"> </w:t>
      </w:r>
      <w:r>
        <w:t>(</w:t>
      </w:r>
      <w:r>
        <w:t>Agapoff</w:t>
      </w:r>
      <w:r>
        <w:t>, 2019)</w:t>
      </w:r>
      <w:r>
        <w:t>.</w:t>
      </w:r>
    </w:p>
    <w:p>
      <w:pPr>
        <w:pStyle w:val="style0"/>
        <w:rPr/>
      </w:pPr>
    </w:p>
    <w:bookmarkStart w:id="2" w:name="_Toc137492744"/>
    <w:p>
      <w:pPr>
        <w:pStyle w:val="style2"/>
        <w:rPr/>
      </w:pPr>
      <w:r>
        <w:t>Paraphrasing and In-text Citation:</w:t>
      </w:r>
      <w:bookmarkEnd w:id="2"/>
    </w:p>
    <w:p>
      <w:pPr>
        <w:pStyle w:val="style0"/>
        <w:rPr/>
      </w:pPr>
    </w:p>
    <w:p>
      <w:pPr>
        <w:pStyle w:val="style0"/>
        <w:rPr/>
      </w:pPr>
      <w:r>
        <w:t xml:space="preserve">Paraphrasing is the process of rewriting someone else's words such that they sound different yet </w:t>
      </w:r>
      <w:r>
        <w:t>still convey the intended meaning of the original text. It's crucial in academic writing since it lets authors bring in outside data and ideas for more credibility and context. To paraphrase effectively, one must read the original text, extract the important ideas, then restate them in one's own words while maintaining the original meaning.</w:t>
      </w:r>
      <w:r>
        <w:t xml:space="preserve"> </w:t>
      </w:r>
      <w:r>
        <w:t>Recognising</w:t>
      </w:r>
      <w:r>
        <w:t xml:space="preserve"> the original author of paraphrased material is essential. Brief in-text citations typically found in brackets and accompanied by the author's surname and the year of publication are provided. Readers may double-check the information and find the full reference in the bibliography or reference list thanks to in-text citations</w:t>
      </w:r>
      <w:r>
        <w:t xml:space="preserve"> </w:t>
      </w:r>
      <w:r>
        <w:t>(Evans &amp; Waring, 2020)</w:t>
      </w:r>
      <w:r>
        <w:t>.</w:t>
      </w:r>
    </w:p>
    <w:p>
      <w:pPr>
        <w:pStyle w:val="style0"/>
        <w:rPr/>
      </w:pPr>
    </w:p>
    <w:bookmarkStart w:id="3" w:name="_Toc137492745"/>
    <w:p>
      <w:pPr>
        <w:pStyle w:val="style2"/>
        <w:rPr/>
      </w:pPr>
      <w:r>
        <w:t>References and Citations:</w:t>
      </w:r>
      <w:bookmarkEnd w:id="3"/>
    </w:p>
    <w:p>
      <w:pPr>
        <w:pStyle w:val="style0"/>
        <w:rPr/>
      </w:pPr>
      <w:r>
        <w:t>The UWTSD Harvard Referencing Style is a popular citation system with strict requirements for the presentation of cited materials. It offers a unified system for documenting the credibility of multiple sources, including print publications, online resources, and more. References must be correct and consistent so that readers may readily find and verify your sources.</w:t>
      </w:r>
      <w:r>
        <w:t xml:space="preserve"> </w:t>
      </w:r>
      <w:r>
        <w:t>Reference lists are listings of all the sources that were used to create the work being referenced. The author's name, publication date, title, and publisher should all be included in each entry. It is crucial to adhere to the precise criteria offered by the selected reference style, which may differ based on the kind of source used</w:t>
      </w:r>
      <w:r>
        <w:t xml:space="preserve"> </w:t>
      </w:r>
      <w:r>
        <w:t>(Evans &amp; Waring, 2020)</w:t>
      </w:r>
      <w:r>
        <w:t>.</w:t>
      </w:r>
    </w:p>
    <w:bookmarkStart w:id="4" w:name="_Toc137492746"/>
    <w:p>
      <w:pPr>
        <w:pStyle w:val="style2"/>
        <w:rPr/>
      </w:pPr>
      <w:r>
        <w:t>Enhancing Research Skills:</w:t>
      </w:r>
      <w:bookmarkEnd w:id="4"/>
    </w:p>
    <w:p>
      <w:pPr>
        <w:pStyle w:val="style0"/>
        <w:rPr/>
      </w:pPr>
      <w:r>
        <w:t xml:space="preserve">Developing essential abilities is necessary for productive research. Students must be able to locate credible sources, assess their reliability, and use that knowledge effectively, therefore information literacy is a must. Research, data analysis, and information synthesis all need competent time management, </w:t>
      </w:r>
      <w:r>
        <w:t>organisation</w:t>
      </w:r>
      <w:r>
        <w:t>, and critical thinking.</w:t>
      </w:r>
      <w:r>
        <w:t xml:space="preserve"> </w:t>
      </w:r>
      <w:r>
        <w:t xml:space="preserve">In order to do well in school, kids must be able </w:t>
      </w:r>
      <w:r>
        <w:t>to do research that is both productive and comprehensive. Students with these abilities can find their way through information troves, make informed decisions about the reliability of various sources, and write convincing, well-researched papers. Students may greatly improve their research ability by mastering the following techniques.</w:t>
      </w:r>
      <w:r>
        <w:t xml:space="preserve"> </w:t>
      </w:r>
      <w:r>
        <w:t>The capacity to seek out, appraise, and make useful application of knowledge from a variety of sources. Learning to locate appropriate resources, evaluate their reliability and usefulness, and incorporate their findings into one's own work constitutes this skill. To improve their information literacy, students should spend time exploring library databases, using search engines, and reading academic materials</w:t>
      </w:r>
      <w:r>
        <w:t xml:space="preserve"> </w:t>
      </w:r>
      <w:r>
        <w:t>(McCartney, 2017)</w:t>
      </w:r>
      <w:r>
        <w:t>.</w:t>
      </w:r>
    </w:p>
    <w:p>
      <w:pPr>
        <w:pStyle w:val="style0"/>
        <w:keepNext/>
        <w:rPr/>
      </w:pPr>
      <w:r>
        <w:rPr/>
        <w:drawing>
          <wp:inline distL="0" distT="0" distB="0" distR="0">
            <wp:extent cx="5943600" cy="5267325"/>
            <wp:effectExtent l="0" t="0" r="0" b="952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943600" cy="5267325"/>
                    </a:xfrm>
                    <a:prstGeom prst="rect"/>
                  </pic:spPr>
                </pic:pic>
              </a:graphicData>
            </a:graphic>
          </wp:inline>
        </w:drawing>
      </w:r>
    </w:p>
    <w:p>
      <w:pPr>
        <w:pStyle w:val="style34"/>
        <w:jc w:val="center"/>
        <w:rPr/>
      </w:pPr>
      <w:r>
        <w:t xml:space="preserve">Figure </w:t>
      </w:r>
      <w:r>
        <w:rPr/>
        <w:fldChar w:fldCharType="begin"/>
      </w:r>
      <w:r>
        <w:instrText xml:space="preserve"> SEQ Figure \* ARABIC </w:instrText>
      </w:r>
      <w:r>
        <w:rPr/>
        <w:fldChar w:fldCharType="separate"/>
      </w:r>
      <w:r>
        <w:rPr>
          <w:noProof/>
        </w:rPr>
        <w:t>1</w:t>
      </w:r>
      <w:r>
        <w:rPr/>
        <w:fldChar w:fldCharType="end"/>
      </w:r>
      <w:r>
        <w:t>: Resear</w:t>
      </w:r>
      <w:r>
        <w:t>ch</w:t>
      </w:r>
      <w:r>
        <w:t xml:space="preserve"> Skills</w:t>
      </w:r>
    </w:p>
    <w:p>
      <w:pPr>
        <w:pStyle w:val="style0"/>
        <w:rPr/>
      </w:pPr>
      <w:r>
        <w:t>Researching effectively requires the ability to think critically. In order to do this, you must examine data, search for any biases or holes in reasoning, and assess the quality of your sources. It is important for students to develop the skills necessary to critically evaluate information, weigh the merits of competing arguments, and reach their own well-informed opinions.</w:t>
      </w:r>
      <w:r>
        <w:t xml:space="preserve"> </w:t>
      </w:r>
      <w:r>
        <w:t xml:space="preserve">Time management is essential in research because it guarantees that available time is used effectively and that deadlines are met. Students need to learn to plan their research effectively, establish attainable objectives, and </w:t>
      </w:r>
      <w:r>
        <w:t>prioritise</w:t>
      </w:r>
      <w:r>
        <w:t xml:space="preserve"> their assignments. Students may remain on track and prevent last-minute </w:t>
      </w:r>
      <w:r>
        <w:t>panic by breaking down the research process into small phases and making a schedule</w:t>
      </w:r>
      <w:r>
        <w:t xml:space="preserve"> </w:t>
      </w:r>
      <w:r>
        <w:t>(Schwartz, 2021)</w:t>
      </w:r>
      <w:r>
        <w:t>.</w:t>
      </w:r>
      <w:r>
        <w:t xml:space="preserve"> </w:t>
      </w:r>
      <w:r>
        <w:t xml:space="preserve">It is crucial to examine the credibility of the sources you </w:t>
      </w:r>
      <w:r>
        <w:t>utilise</w:t>
      </w:r>
      <w:r>
        <w:t xml:space="preserve"> in your study. Students need to think about how reliable, authoritative, up-to-date, and relevant their sources are. To assure the legitimacy and correctness of the material, they should seek for peer-reviewed studies, trustworthy books, and reliable websites.</w:t>
      </w:r>
      <w:r>
        <w:t xml:space="preserve"> </w:t>
      </w:r>
      <w:r>
        <w:t>Working with others and asking advice from academics, librarians, and topic specialists may enrich research efforts with new perspectives and helpful pointers. A person's research abilities and worldview may benefit by participation in conversations, attendance at workshops or research seminars, and the use of academic materials.</w:t>
      </w:r>
      <w:r>
        <w:t xml:space="preserve"> </w:t>
      </w:r>
      <w:r>
        <w:t xml:space="preserve">Students may make significant contributions to the progress of knowledge in their subjects and improve the quality of their own academic work by mastering these essential research skills. Honing these abilities requires constant </w:t>
      </w:r>
      <w:r>
        <w:t>practise</w:t>
      </w:r>
      <w:r>
        <w:t>, involvement with academic materials, and a proactive commitment to learning</w:t>
      </w:r>
      <w:r>
        <w:t xml:space="preserve"> </w:t>
      </w:r>
      <w:r>
        <w:t>(Schwartz, 2021)</w:t>
      </w:r>
      <w:r>
        <w:t>.</w:t>
      </w:r>
    </w:p>
    <w:bookmarkStart w:id="5" w:name="_Toc137492747"/>
    <w:p>
      <w:pPr>
        <w:pStyle w:val="style1"/>
        <w:rPr/>
      </w:pPr>
      <w:r>
        <w:t>Recommendations for Students:</w:t>
      </w:r>
      <w:bookmarkEnd w:id="5"/>
    </w:p>
    <w:p>
      <w:pPr>
        <w:pStyle w:val="style0"/>
        <w:rPr/>
      </w:pPr>
      <w:r>
        <w:t xml:space="preserve">There are a variety of approaches students may use to improve their research abilities and citation techniques. Effective information searching procedures, systematic note-taking </w:t>
      </w:r>
      <w:r>
        <w:t>practises</w:t>
      </w:r>
      <w:r>
        <w:t>, and the use of appropriate data analysis instruments all fall under this category. Consulting academic resources and librarians may help you learn how to do research and comply with citation styles</w:t>
      </w:r>
      <w:r>
        <w:t xml:space="preserve"> </w:t>
      </w:r>
      <w:r>
        <w:t>(Yuan et al., 2020)</w:t>
      </w:r>
      <w:r>
        <w:t>.</w:t>
      </w:r>
    </w:p>
    <w:bookmarkStart w:id="6" w:name="_Toc137492748"/>
    <w:p>
      <w:pPr>
        <w:pStyle w:val="style1"/>
        <w:rPr/>
      </w:pPr>
      <w:r>
        <w:t>Conclusion:</w:t>
      </w:r>
      <w:bookmarkEnd w:id="6"/>
    </w:p>
    <w:p>
      <w:pPr>
        <w:pStyle w:val="style0"/>
        <w:rPr/>
      </w:pPr>
      <w:r>
        <w:t xml:space="preserve">Academic writing requires strong research abilities and proper citation. Using correct citations and footnotes helps students stay away from plagiarism. Both the originality and readability of a piece of writing benefit from the use of paraphrasing and in-text citations. Using the UWTSD Harvard Referencing Style ensures that citations are consistently formatted. Students can do more in-depth </w:t>
      </w:r>
      <w:r>
        <w:t xml:space="preserve">and reliable research if they are equipped with research skills such as information literacy, time management, </w:t>
      </w:r>
      <w:r>
        <w:t>organisation</w:t>
      </w:r>
      <w:r>
        <w:t xml:space="preserve">, and critical thinking. Students may increase the quality and impact of their academic writing by adopting the </w:t>
      </w:r>
      <w:r>
        <w:t>practises</w:t>
      </w:r>
      <w:r>
        <w:t xml:space="preserve"> recommended in this paper, including developing strong research skills and good reference </w:t>
      </w:r>
      <w:r>
        <w:t>practises</w:t>
      </w:r>
      <w:r>
        <w:t>.</w:t>
      </w:r>
    </w:p>
    <w:p>
      <w:pPr>
        <w:pStyle w:val="style0"/>
        <w:widowControl/>
        <w:autoSpaceDE/>
        <w:autoSpaceDN/>
        <w:spacing w:after="160" w:lineRule="auto" w:line="259"/>
        <w:jc w:val="left"/>
        <w:rPr/>
      </w:pPr>
      <w:r>
        <w:br w:type="page"/>
      </w:r>
    </w:p>
    <w:bookmarkStart w:id="7" w:name="_Toc137492749"/>
    <w:p>
      <w:pPr>
        <w:pStyle w:val="style1"/>
        <w:rPr/>
      </w:pPr>
      <w:r>
        <w:t>References</w:t>
      </w:r>
      <w:bookmarkEnd w:id="7"/>
    </w:p>
    <w:p>
      <w:pPr>
        <w:pStyle w:val="style94"/>
        <w:ind w:left="567" w:hanging="567"/>
        <w:rPr/>
      </w:pPr>
      <w:r>
        <w:t>Agapoff</w:t>
      </w:r>
      <w:r>
        <w:t xml:space="preserve">, J.R. (2019) ‘How may I help you?’, </w:t>
      </w:r>
      <w:r>
        <w:rPr>
          <w:i/>
          <w:iCs/>
        </w:rPr>
        <w:t>Academic Medicine</w:t>
      </w:r>
      <w:r>
        <w:t xml:space="preserve">, 94(7), p. 962. doi:10.1097/acm.0000000000002666. </w:t>
      </w:r>
    </w:p>
    <w:p>
      <w:pPr>
        <w:pStyle w:val="style94"/>
        <w:ind w:left="567" w:hanging="567"/>
        <w:rPr/>
      </w:pPr>
      <w:r>
        <w:t xml:space="preserve">Evans, C. and Waring, M. (2020) ‘Enhancing students’ assessment feedback skills within Higher Education’, </w:t>
      </w:r>
      <w:r>
        <w:rPr>
          <w:i/>
          <w:iCs/>
        </w:rPr>
        <w:t>Oxford Research Encyclopedia of Education</w:t>
      </w:r>
      <w:r>
        <w:t xml:space="preserve"> [Preprint]. doi:10.1093/</w:t>
      </w:r>
      <w:r>
        <w:t>acrefore</w:t>
      </w:r>
      <w:r>
        <w:t xml:space="preserve">/9780190264093.013.932. </w:t>
      </w:r>
    </w:p>
    <w:p>
      <w:pPr>
        <w:pStyle w:val="style94"/>
        <w:ind w:left="567" w:hanging="567"/>
        <w:rPr/>
      </w:pPr>
      <w:r>
        <w:t xml:space="preserve">McCartney, G. (2017) ‘Text citations’, </w:t>
      </w:r>
      <w:r>
        <w:rPr>
          <w:i/>
          <w:iCs/>
        </w:rPr>
        <w:t>Evelyn Waugh and the Modernist Tradition</w:t>
      </w:r>
      <w:r>
        <w:t xml:space="preserve">, pp. 1–1. doi:10.4324/9781351311045-1. </w:t>
      </w:r>
    </w:p>
    <w:p>
      <w:pPr>
        <w:pStyle w:val="style94"/>
        <w:ind w:left="567" w:hanging="567"/>
        <w:rPr/>
      </w:pPr>
      <w:r>
        <w:t xml:space="preserve">Schwartz, S.J. (2021) ‘Plagiarism, citations, and paraphrasing’, </w:t>
      </w:r>
      <w:r>
        <w:rPr>
          <w:i/>
          <w:iCs/>
        </w:rPr>
        <w:t>The Savvy Academic</w:t>
      </w:r>
      <w:r>
        <w:t>, pp. 202–225. doi:10.1093/</w:t>
      </w:r>
      <w:r>
        <w:t>oso</w:t>
      </w:r>
      <w:r>
        <w:t xml:space="preserve">/9780190095918.003.0008. </w:t>
      </w:r>
    </w:p>
    <w:p>
      <w:pPr>
        <w:pStyle w:val="style94"/>
        <w:ind w:left="567" w:hanging="567"/>
        <w:rPr/>
      </w:pPr>
      <w:r>
        <w:t xml:space="preserve">Yuan, R., Yang, M. and Stapleton, P. (2020) ‘Enhancing undergraduates’ critical thinking through research engagement: A practitioner research approach’, </w:t>
      </w:r>
      <w:r>
        <w:rPr>
          <w:i/>
          <w:iCs/>
        </w:rPr>
        <w:t>Thinking Skills and Creativity</w:t>
      </w:r>
      <w:r>
        <w:t xml:space="preserve">, 38, p. 100737. </w:t>
      </w:r>
      <w:r>
        <w:t>doi:10.1016/j.tsc</w:t>
      </w:r>
      <w:r>
        <w:t xml:space="preserve">.2020.100737. </w:t>
      </w:r>
    </w:p>
    <w:p>
      <w:pPr>
        <w:pStyle w:val="style0"/>
        <w:rPr/>
      </w:pPr>
    </w:p>
    <w:p>
      <w:pPr>
        <w:pStyle w:val="style0"/>
        <w:rPr/>
      </w:pPr>
    </w:p>
    <w:p>
      <w:pPr>
        <w:pStyle w:val="style0"/>
        <w:rPr/>
      </w:pPr>
    </w:p>
    <w:p>
      <w:pPr>
        <w:pStyle w:val="style0"/>
        <w:widowControl/>
        <w:autoSpaceDE/>
        <w:autoSpaceDN/>
        <w:spacing w:after="160" w:lineRule="auto" w:line="259"/>
        <w:jc w:val="left"/>
        <w:rPr/>
      </w:pPr>
      <w:r>
        <w:br w:type="page"/>
      </w:r>
    </w:p>
    <w:p>
      <w:pPr>
        <w:pStyle w:val="style1"/>
        <w:rPr/>
      </w:pPr>
      <w:r>
        <w:t>Appendix A – Any relevant supporting documents/ information</w:t>
      </w:r>
    </w:p>
    <w:p>
      <w:pPr>
        <w:pStyle w:val="style2"/>
        <w:rPr/>
      </w:pPr>
      <w:r>
        <w:t>UWTSD Harvard Referencing Guide</w:t>
      </w:r>
    </w:p>
    <w:p>
      <w:pPr>
        <w:pStyle w:val="style0"/>
        <w:rPr/>
      </w:pPr>
      <w:r>
        <w:rPr/>
        <w:drawing>
          <wp:inline distL="0" distT="0" distB="0" distR="0">
            <wp:extent cx="4258269" cy="6039693"/>
            <wp:effectExtent l="0" t="0" r="9525" b="0"/>
            <wp:docPr id="1027"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3" cstate="print"/>
                    <a:srcRect l="0" t="0" r="0" b="0"/>
                    <a:stretch/>
                  </pic:blipFill>
                  <pic:spPr>
                    <a:xfrm rot="0">
                      <a:off x="0" y="0"/>
                      <a:ext cx="4258269" cy="6039693"/>
                    </a:xfrm>
                    <a:prstGeom prst="rect"/>
                  </pic:spPr>
                </pic:pic>
              </a:graphicData>
            </a:graphic>
          </wp:inline>
        </w:drawing>
      </w:r>
    </w:p>
    <w:p>
      <w:pPr>
        <w:pStyle w:val="style0"/>
        <w:rPr/>
      </w:pPr>
      <w:r>
        <w:rPr/>
        <w:drawing>
          <wp:inline distL="0" distT="0" distB="0" distR="0">
            <wp:extent cx="4134427" cy="5868219"/>
            <wp:effectExtent l="0" t="0" r="0" b="0"/>
            <wp:docPr id="1028"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4" cstate="print"/>
                    <a:srcRect l="0" t="0" r="0" b="0"/>
                    <a:stretch/>
                  </pic:blipFill>
                  <pic:spPr>
                    <a:xfrm rot="0">
                      <a:off x="0" y="0"/>
                      <a:ext cx="4134427" cy="5868219"/>
                    </a:xfrm>
                    <a:prstGeom prst="rect"/>
                  </pic:spPr>
                </pic:pic>
              </a:graphicData>
            </a:graphic>
          </wp:inline>
        </w:drawing>
      </w:r>
    </w:p>
    <w:p>
      <w:pPr>
        <w:pStyle w:val="style0"/>
        <w:rPr/>
      </w:pPr>
      <w:r>
        <w:rPr/>
        <w:drawing>
          <wp:inline distL="0" distT="0" distB="0" distR="0">
            <wp:extent cx="4210638" cy="5925377"/>
            <wp:effectExtent l="0" t="0" r="0" b="0"/>
            <wp:docPr id="1029"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5"/>
                    <pic:cNvPicPr/>
                  </pic:nvPicPr>
                  <pic:blipFill>
                    <a:blip r:embed="rId5" cstate="print"/>
                    <a:srcRect l="0" t="0" r="0" b="0"/>
                    <a:stretch/>
                  </pic:blipFill>
                  <pic:spPr>
                    <a:xfrm rot="0">
                      <a:off x="0" y="0"/>
                      <a:ext cx="4210638" cy="5925377"/>
                    </a:xfrm>
                    <a:prstGeom prst="rect"/>
                  </pic:spPr>
                </pic:pic>
              </a:graphicData>
            </a:graphic>
          </wp:inline>
        </w:drawing>
      </w:r>
    </w:p>
    <w:p>
      <w:pPr>
        <w:pStyle w:val="style0"/>
        <w:rPr/>
      </w:pPr>
      <w:r>
        <w:rPr/>
        <w:drawing>
          <wp:inline distL="0" distT="0" distB="0" distR="0">
            <wp:extent cx="4305901" cy="6049219"/>
            <wp:effectExtent l="0" t="0" r="0" b="8890"/>
            <wp:docPr id="1030"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6"/>
                    <pic:cNvPicPr/>
                  </pic:nvPicPr>
                  <pic:blipFill>
                    <a:blip r:embed="rId6" cstate="print"/>
                    <a:srcRect l="0" t="0" r="0" b="0"/>
                    <a:stretch/>
                  </pic:blipFill>
                  <pic:spPr>
                    <a:xfrm rot="0">
                      <a:off x="0" y="0"/>
                      <a:ext cx="4305901" cy="6049219"/>
                    </a:xfrm>
                    <a:prstGeom prst="rect"/>
                  </pic:spPr>
                </pic:pic>
              </a:graphicData>
            </a:graphic>
          </wp:inline>
        </w:drawing>
      </w:r>
    </w:p>
    <w:p>
      <w:pPr>
        <w:pStyle w:val="style0"/>
        <w:rPr/>
      </w:pPr>
      <w:r>
        <w:rPr/>
        <w:drawing>
          <wp:inline distL="0" distT="0" distB="0" distR="0">
            <wp:extent cx="4315427" cy="6058746"/>
            <wp:effectExtent l="0" t="0" r="9525" b="0"/>
            <wp:docPr id="1031"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7"/>
                    <pic:cNvPicPr/>
                  </pic:nvPicPr>
                  <pic:blipFill>
                    <a:blip r:embed="rId7" cstate="print"/>
                    <a:srcRect l="0" t="0" r="0" b="0"/>
                    <a:stretch/>
                  </pic:blipFill>
                  <pic:spPr>
                    <a:xfrm rot="0">
                      <a:off x="0" y="0"/>
                      <a:ext cx="4315427" cy="6058746"/>
                    </a:xfrm>
                    <a:prstGeom prst="rect"/>
                  </pic:spPr>
                </pic:pic>
              </a:graphicData>
            </a:graphic>
          </wp:inline>
        </w:drawing>
      </w:r>
    </w:p>
    <w:p>
      <w:pPr>
        <w:pStyle w:val="style0"/>
        <w:rPr/>
      </w:pPr>
      <w:r>
        <w:rPr/>
        <w:drawing>
          <wp:inline distL="0" distT="0" distB="0" distR="0">
            <wp:extent cx="4344006" cy="6087325"/>
            <wp:effectExtent l="0" t="0" r="0" b="8890"/>
            <wp:docPr id="1032"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8"/>
                    <pic:cNvPicPr/>
                  </pic:nvPicPr>
                  <pic:blipFill>
                    <a:blip r:embed="rId8" cstate="print"/>
                    <a:srcRect l="0" t="0" r="0" b="0"/>
                    <a:stretch/>
                  </pic:blipFill>
                  <pic:spPr>
                    <a:xfrm rot="0">
                      <a:off x="0" y="0"/>
                      <a:ext cx="4344006" cy="6087325"/>
                    </a:xfrm>
                    <a:prstGeom prst="rect"/>
                  </pic:spPr>
                </pic:pic>
              </a:graphicData>
            </a:graphic>
          </wp:inline>
        </w:drawing>
      </w:r>
    </w:p>
    <w:p>
      <w:pPr>
        <w:pStyle w:val="style0"/>
        <w:rPr/>
      </w:pPr>
      <w:r>
        <w:rPr/>
        <w:drawing>
          <wp:inline distL="0" distT="0" distB="0" distR="0">
            <wp:extent cx="4258269" cy="6039693"/>
            <wp:effectExtent l="0" t="0" r="9525" b="0"/>
            <wp:docPr id="1033" name="Picture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9"/>
                    <pic:cNvPicPr/>
                  </pic:nvPicPr>
                  <pic:blipFill>
                    <a:blip r:embed="rId9" cstate="print"/>
                    <a:srcRect l="0" t="0" r="0" b="0"/>
                    <a:stretch/>
                  </pic:blipFill>
                  <pic:spPr>
                    <a:xfrm rot="0">
                      <a:off x="0" y="0"/>
                      <a:ext cx="4258269" cy="6039693"/>
                    </a:xfrm>
                    <a:prstGeom prst="rect"/>
                  </pic:spPr>
                </pic:pic>
              </a:graphicData>
            </a:graphic>
          </wp:inline>
        </w:drawing>
      </w:r>
    </w:p>
    <w:p>
      <w:pPr>
        <w:pStyle w:val="style0"/>
        <w:rPr/>
      </w:pPr>
      <w:r>
        <w:rPr/>
        <w:drawing>
          <wp:inline distL="0" distT="0" distB="0" distR="0">
            <wp:extent cx="4391638" cy="6077798"/>
            <wp:effectExtent l="0" t="0" r="9525" b="0"/>
            <wp:docPr id="1034" name="Picture 10"/>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10"/>
                    <pic:cNvPicPr/>
                  </pic:nvPicPr>
                  <pic:blipFill>
                    <a:blip r:embed="rId10" cstate="print"/>
                    <a:srcRect l="0" t="0" r="0" b="0"/>
                    <a:stretch/>
                  </pic:blipFill>
                  <pic:spPr>
                    <a:xfrm rot="0">
                      <a:off x="0" y="0"/>
                      <a:ext cx="4391638" cy="6077798"/>
                    </a:xfrm>
                    <a:prstGeom prst="rect"/>
                  </pic:spPr>
                </pic:pic>
              </a:graphicData>
            </a:graphic>
          </wp:inline>
        </w:drawing>
      </w:r>
    </w:p>
    <w:p>
      <w:pPr>
        <w:pStyle w:val="style0"/>
        <w:rPr/>
      </w:pPr>
    </w:p>
    <w:sectPr>
      <w:pgSz w:w="12240" w:h="15840" w:orient="portrait"/>
      <w:pgMar w:top="1440" w:right="1440" w:bottom="1440" w:left="1440" w:header="720" w:footer="720" w:gutter="0"/>
      <w:pgBorders w:zOrder="front" w:display="allPage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AFF" w:usb1="C0007843"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0002AFF" w:usb1="4000ACFF" w:usb2="00000001"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libri Light">
    <w:altName w:val="Calibri Light"/>
    <w:panose1 w:val="020f0302020002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22E87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1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Tahoma" w:hAnsi="Calibri"/>
        <w:sz w:val="22"/>
        <w:szCs w:val="22"/>
        <w:lang w:val="en-US" w:bidi="ar-SA" w:eastAsia="en-US"/>
      </w:rPr>
    </w:rPrDefault>
    <w:pPrDefault>
      <w:pPr>
        <w:spacing w:after="160" w:lineRule="auto" w:line="259"/>
      </w:pPr>
    </w:pPrDefault>
  </w:docDefaults>
  <w:style w:type="paragraph" w:default="1" w:styleId="style0">
    <w:name w:val="Normal"/>
    <w:next w:val="style0"/>
    <w:qFormat/>
    <w:uiPriority w:val="1"/>
    <w:pPr>
      <w:widowControl w:val="false"/>
      <w:autoSpaceDE w:val="false"/>
      <w:autoSpaceDN w:val="false"/>
      <w:spacing w:after="0" w:lineRule="auto" w:line="480"/>
      <w:jc w:val="both"/>
    </w:pPr>
    <w:rPr>
      <w:rFonts w:ascii="Times New Roman" w:cs="Tahoma" w:hAnsi="Times New Roman"/>
      <w:sz w:val="24"/>
    </w:rPr>
  </w:style>
  <w:style w:type="paragraph" w:styleId="style1">
    <w:name w:val="heading 1"/>
    <w:basedOn w:val="style0"/>
    <w:next w:val="style0"/>
    <w:link w:val="style4097"/>
    <w:qFormat/>
    <w:uiPriority w:val="9"/>
    <w:pPr>
      <w:keepNext/>
      <w:keepLines/>
      <w:outlineLvl w:val="0"/>
    </w:pPr>
    <w:rPr>
      <w:rFonts w:cs="宋体" w:eastAsia="宋体"/>
      <w:b/>
      <w:color w:val="000000"/>
      <w:sz w:val="28"/>
      <w:szCs w:val="32"/>
      <w:u w:val="single"/>
    </w:rPr>
  </w:style>
  <w:style w:type="paragraph" w:styleId="style2">
    <w:name w:val="heading 2"/>
    <w:basedOn w:val="style0"/>
    <w:next w:val="style0"/>
    <w:link w:val="style4098"/>
    <w:qFormat/>
    <w:uiPriority w:val="9"/>
    <w:pPr>
      <w:keepNext/>
      <w:keepLines/>
      <w:spacing w:before="40"/>
      <w:outlineLvl w:val="1"/>
    </w:pPr>
    <w:rPr>
      <w:rFonts w:cs="宋体" w:eastAsia="宋体"/>
      <w:b/>
      <w:i/>
      <w:color w:val="2f5496"/>
      <w:sz w:val="26"/>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05eae648-fa2e-4e65-8820-e203e64f0502"/>
    <w:basedOn w:val="style65"/>
    <w:next w:val="style4097"/>
    <w:link w:val="style1"/>
    <w:uiPriority w:val="9"/>
    <w:rPr>
      <w:rFonts w:ascii="Times New Roman" w:cs="宋体" w:eastAsia="宋体" w:hAnsi="Times New Roman"/>
      <w:b/>
      <w:color w:val="000000"/>
      <w:sz w:val="28"/>
      <w:szCs w:val="32"/>
      <w:u w:val="single"/>
    </w:rPr>
  </w:style>
  <w:style w:type="character" w:customStyle="1" w:styleId="style4098">
    <w:name w:val="Heading 2 Char_47122f74-9945-4bfe-8c7f-a45f44bdbbe5"/>
    <w:basedOn w:val="style65"/>
    <w:next w:val="style4098"/>
    <w:link w:val="style2"/>
    <w:uiPriority w:val="9"/>
    <w:rPr>
      <w:rFonts w:ascii="Times New Roman" w:cs="宋体" w:eastAsia="宋体" w:hAnsi="Times New Roman"/>
      <w:b/>
      <w:i/>
      <w:color w:val="2f5496"/>
      <w:sz w:val="26"/>
      <w:szCs w:val="26"/>
    </w:rPr>
  </w:style>
  <w:style w:type="paragraph" w:styleId="style19">
    <w:name w:val="toc 1"/>
    <w:basedOn w:val="style0"/>
    <w:next w:val="style0"/>
    <w:uiPriority w:val="39"/>
    <w:pPr>
      <w:spacing w:after="100"/>
    </w:pPr>
    <w:rPr>
      <w:b/>
      <w:u w:val="single"/>
    </w:rPr>
  </w:style>
  <w:style w:type="paragraph" w:styleId="style20">
    <w:name w:val="toc 2"/>
    <w:basedOn w:val="style0"/>
    <w:next w:val="style0"/>
    <w:uiPriority w:val="39"/>
    <w:pPr>
      <w:spacing w:after="100"/>
      <w:ind w:left="240"/>
    </w:pPr>
    <w:rPr>
      <w:b/>
      <w:i/>
    </w:rPr>
  </w:style>
  <w:style w:type="paragraph" w:styleId="style179">
    <w:name w:val="List Paragraph"/>
    <w:basedOn w:val="style0"/>
    <w:next w:val="style179"/>
    <w:qFormat/>
    <w:uiPriority w:val="34"/>
    <w:pPr>
      <w:widowControl/>
      <w:autoSpaceDE/>
      <w:autoSpaceDN/>
      <w:ind w:left="720"/>
      <w:contextualSpacing/>
    </w:pPr>
    <w:rPr>
      <w:rFonts w:cs="宋体" w:eastAsia="宋体"/>
      <w:noProof/>
      <w:szCs w:val="24"/>
      <w:lang w:val="en-GB"/>
    </w:rPr>
  </w:style>
  <w:style w:type="paragraph" w:styleId="style266">
    <w:name w:val="TOC Heading"/>
    <w:basedOn w:val="style1"/>
    <w:next w:val="style0"/>
    <w:qFormat/>
    <w:uiPriority w:val="39"/>
    <w:pPr>
      <w:widowControl/>
      <w:autoSpaceDE/>
      <w:autoSpaceDN/>
      <w:spacing w:before="240" w:lineRule="auto" w:line="259"/>
      <w:jc w:val="left"/>
      <w:outlineLvl w:val="9"/>
    </w:pPr>
    <w:rPr>
      <w:rFonts w:ascii="Calibri Light" w:hAnsi="Calibri Light"/>
      <w:b w:val="false"/>
      <w:color w:val="2f5496"/>
      <w:sz w:val="32"/>
      <w:u w:val="none"/>
    </w:rPr>
  </w:style>
  <w:style w:type="character" w:styleId="style85">
    <w:name w:val="Hyperlink"/>
    <w:basedOn w:val="style65"/>
    <w:next w:val="style85"/>
    <w:uiPriority w:val="99"/>
    <w:rPr>
      <w:color w:val="0563c1"/>
      <w:u w:val="single"/>
    </w:rPr>
  </w:style>
  <w:style w:type="paragraph" w:styleId="style34">
    <w:name w:val="caption"/>
    <w:basedOn w:val="style0"/>
    <w:next w:val="style0"/>
    <w:qFormat/>
    <w:uiPriority w:val="35"/>
    <w:pPr>
      <w:spacing w:after="200" w:lineRule="auto" w:line="240"/>
    </w:pPr>
    <w:rPr>
      <w:i/>
      <w:iCs/>
      <w:color w:val="44546a"/>
      <w:sz w:val="18"/>
      <w:szCs w:val="18"/>
    </w:rPr>
  </w:style>
  <w:style w:type="paragraph" w:styleId="style94">
    <w:name w:val="Normal (Web)"/>
    <w:basedOn w:val="style0"/>
    <w:next w:val="style94"/>
    <w:uiPriority w:val="99"/>
    <w:pPr>
      <w:widowControl/>
      <w:autoSpaceDE/>
      <w:autoSpaceDN/>
      <w:spacing w:before="100" w:beforeAutospacing="true" w:after="100" w:afterAutospacing="true" w:lineRule="auto" w:line="240"/>
      <w:jc w:val="left"/>
    </w:pPr>
    <w:rPr>
      <w:rFonts w:cs="Times New Roman" w:eastAsia="Times New Roman"/>
      <w:szCs w:val="24"/>
    </w:rPr>
  </w:style>
</w:styles>
</file>

<file path=word/_rels/document.xml.rels><?xml version="1.0" encoding="UTF-8"?>
<Relationships xmlns="http://schemas.openxmlformats.org/package/2006/relationships"><Relationship Id="rId11" Type="http://schemas.openxmlformats.org/officeDocument/2006/relationships/styles" Target="styles.xml"/><Relationship Id="rId10" Type="http://schemas.openxmlformats.org/officeDocument/2006/relationships/image" Target="media/image9.png"/><Relationship Id="rId13" Type="http://schemas.openxmlformats.org/officeDocument/2006/relationships/settings" Target="settings.xml"/><Relationship Id="rId12"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customXml" Target="../customXml/item1.xml"/><Relationship Id="rId14" Type="http://schemas.openxmlformats.org/officeDocument/2006/relationships/theme" Target="theme/theme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4AD451-1AA3-47E1-AB8A-6E2EA3B38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1476</Words>
  <Pages>18</Pages>
  <Characters>8903</Characters>
  <Application>WPS Office</Application>
  <DocSecurity>0</DocSecurity>
  <Paragraphs>74</Paragraphs>
  <ScaleCrop>false</ScaleCrop>
  <LinksUpToDate>false</LinksUpToDate>
  <CharactersWithSpaces>10340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2023-06-14T13:24:45Z</dcterms:created>
  <dc:creator>MK</dc:creator>
  <lastModifiedBy>CPH2015</lastModifiedBy>
  <dcterms:modified xsi:type="dcterms:W3CDTF">2023-06-14T13:24:45Z</dcterms:modified>
  <revision>51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e0859a39873743e2b99775977fc3356d</vt:lpwstr>
  </property>
</Properties>
</file>