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BF0F2AF" w:rsidRDefault="3BF0F2AF" w14:paraId="57D7AEC4" w14:textId="561B3DE9">
      <w:r w:rsidR="3BF0F2AF">
        <w:rPr/>
        <w:t xml:space="preserve">Check it all </w:t>
      </w:r>
      <w:r w:rsidR="1C43CCF1">
        <w:rPr/>
        <w:t>for repetition</w:t>
      </w:r>
    </w:p>
    <w:p xmlns:wp14="http://schemas.microsoft.com/office/word/2010/wordml" wp14:paraId="2C078E63" wp14:textId="3ADB42C0">
      <w:r w:rsidR="4D263971">
        <w:rPr/>
        <w:t>Title</w:t>
      </w:r>
    </w:p>
    <w:p w:rsidR="4D263971" w:rsidRDefault="4D263971" w14:paraId="409BE0C9" w14:textId="07E90016">
      <w:r w:rsidR="4D263971">
        <w:rPr/>
        <w:t>Critical Evaluation: The Effectiveness of Emerging Technolog</w:t>
      </w:r>
      <w:r w:rsidR="1765683F">
        <w:rPr/>
        <w:t>ies to Enhance Pedagogy</w:t>
      </w:r>
    </w:p>
    <w:p w:rsidR="02D336C9" w:rsidP="7F3194C4" w:rsidRDefault="02D336C9" w14:paraId="7F1C05E3" w14:textId="314B0141">
      <w:pPr>
        <w:spacing w:before="240" w:beforeAutospacing="off" w:after="240" w:afterAutospacing="off"/>
      </w:pPr>
      <w:r w:rsidR="1765683F">
        <w:rPr/>
        <w:t>Introduction</w:t>
      </w:r>
      <w:r w:rsidR="1ADCE97A">
        <w:rPr/>
        <w:t xml:space="preserve"> (348 words</w:t>
      </w:r>
      <w:r w:rsidR="2B4D2534">
        <w:rPr/>
        <w:t xml:space="preserve"> – needs to be condensed</w:t>
      </w:r>
      <w:r w:rsidR="1ADCE97A">
        <w:rPr/>
        <w:t>)</w:t>
      </w:r>
    </w:p>
    <w:p w:rsidR="02D336C9" w:rsidP="2D4607AB" w:rsidRDefault="02D336C9" w14:paraId="7D7AD13F" w14:textId="23773E58">
      <w:pPr>
        <w:pStyle w:val="Normal"/>
        <w:spacing w:before="240" w:beforeAutospacing="off" w:after="240" w:afterAutospacing="off"/>
      </w:pPr>
      <w:r w:rsidRPr="2D4607AB" w:rsidR="7353F070">
        <w:rPr>
          <w:rFonts w:ascii="Calibri" w:hAnsi="Calibri" w:eastAsia="Calibri" w:cs="Calibri"/>
          <w:noProof w:val="0"/>
          <w:sz w:val="22"/>
          <w:szCs w:val="22"/>
          <w:lang w:val="en-GB"/>
        </w:rPr>
        <w:t xml:space="preserve">The evolution of teaching in the digital age has undergone significant transformations, particularly with the advent of emerging technologies that have reshaped both the pedagogy and the learner's experience. This evolution can be traced from Education 1.0, which </w:t>
      </w:r>
      <w:r w:rsidRPr="2D4607AB" w:rsidR="7353F070">
        <w:rPr>
          <w:rFonts w:ascii="Calibri" w:hAnsi="Calibri" w:eastAsia="Calibri" w:cs="Calibri"/>
          <w:noProof w:val="0"/>
          <w:sz w:val="22"/>
          <w:szCs w:val="22"/>
          <w:lang w:val="en-GB"/>
        </w:rPr>
        <w:t>largely relied</w:t>
      </w:r>
      <w:r w:rsidRPr="2D4607AB" w:rsidR="7353F070">
        <w:rPr>
          <w:rFonts w:ascii="Calibri" w:hAnsi="Calibri" w:eastAsia="Calibri" w:cs="Calibri"/>
          <w:noProof w:val="0"/>
          <w:sz w:val="22"/>
          <w:szCs w:val="22"/>
          <w:lang w:val="en-GB"/>
        </w:rPr>
        <w:t xml:space="preserve"> on traditional, one-size-fits-all methods of teaching, to Education 4.0, where learning environments are increasingly characterized by personalization, interactivity, and technology integration (Bates, 2015)</w:t>
      </w:r>
      <w:r w:rsidRPr="2D4607AB" w:rsidR="516B71BE">
        <w:rPr>
          <w:rFonts w:ascii="Calibri" w:hAnsi="Calibri" w:eastAsia="Calibri" w:cs="Calibri"/>
          <w:noProof w:val="0"/>
          <w:sz w:val="22"/>
          <w:szCs w:val="22"/>
          <w:lang w:val="en-GB"/>
        </w:rPr>
        <w:t xml:space="preserve">. </w:t>
      </w:r>
      <w:r w:rsidRPr="2D4607AB" w:rsidR="02D336C9">
        <w:rPr>
          <w:rFonts w:ascii="Calibri" w:hAnsi="Calibri" w:eastAsia="Calibri" w:cs="Calibri"/>
          <w:noProof w:val="0"/>
          <w:sz w:val="22"/>
          <w:szCs w:val="22"/>
          <w:lang w:val="en-GB"/>
        </w:rPr>
        <w:t xml:space="preserve">As the educational landscape shifts to accommodate the digital age, the integration of emerging technologies has </w:t>
      </w:r>
      <w:r w:rsidRPr="2D4607AB" w:rsidR="02D336C9">
        <w:rPr>
          <w:rFonts w:ascii="Calibri" w:hAnsi="Calibri" w:eastAsia="Calibri" w:cs="Calibri"/>
          <w:noProof w:val="0"/>
          <w:sz w:val="22"/>
          <w:szCs w:val="22"/>
          <w:lang w:val="en-GB"/>
        </w:rPr>
        <w:t>opened up</w:t>
      </w:r>
      <w:r w:rsidRPr="2D4607AB" w:rsidR="02D336C9">
        <w:rPr>
          <w:rFonts w:ascii="Calibri" w:hAnsi="Calibri" w:eastAsia="Calibri" w:cs="Calibri"/>
          <w:noProof w:val="0"/>
          <w:sz w:val="22"/>
          <w:szCs w:val="22"/>
          <w:lang w:val="en-GB"/>
        </w:rPr>
        <w:t xml:space="preserve"> new avenues for enhancing pedagogy and improving learning outcomes. Technologies such as Artificial Intelligence (AI), Virtual Reality (VR), Augmented Reality (AR), blockchain, and adaptive learning platforms are transforming the way teachers and students engage in the learning process. These innovations promise to provide more personalized, interactive, and effective learning environments that cater to diverse learner needs (Bates, 2015</w:t>
      </w:r>
      <w:r w:rsidRPr="2D4607AB" w:rsidR="02D336C9">
        <w:rPr>
          <w:rFonts w:ascii="Calibri" w:hAnsi="Calibri" w:eastAsia="Calibri" w:cs="Calibri"/>
          <w:noProof w:val="0"/>
          <w:sz w:val="22"/>
          <w:szCs w:val="22"/>
          <w:lang w:val="en-GB"/>
        </w:rPr>
        <w:t xml:space="preserve">; </w:t>
      </w:r>
      <w:r w:rsidRPr="2D4607AB" w:rsidR="02D336C9">
        <w:rPr>
          <w:rFonts w:ascii="Calibri" w:hAnsi="Calibri" w:eastAsia="Calibri" w:cs="Calibri"/>
          <w:noProof w:val="0"/>
          <w:sz w:val="22"/>
          <w:szCs w:val="22"/>
          <w:lang w:val="en-GB"/>
        </w:rPr>
        <w:t>Luck</w:t>
      </w:r>
      <w:r w:rsidRPr="2D4607AB" w:rsidR="02D336C9">
        <w:rPr>
          <w:rFonts w:ascii="Calibri" w:hAnsi="Calibri" w:eastAsia="Calibri" w:cs="Calibri"/>
          <w:noProof w:val="0"/>
          <w:sz w:val="22"/>
          <w:szCs w:val="22"/>
          <w:lang w:val="en-GB"/>
        </w:rPr>
        <w:t>in</w:t>
      </w:r>
      <w:r w:rsidRPr="2D4607AB" w:rsidR="02D336C9">
        <w:rPr>
          <w:rFonts w:ascii="Calibri" w:hAnsi="Calibri" w:eastAsia="Calibri" w:cs="Calibri"/>
          <w:noProof w:val="0"/>
          <w:sz w:val="22"/>
          <w:szCs w:val="22"/>
          <w:lang w:val="en-GB"/>
        </w:rPr>
        <w:t xml:space="preserve"> </w:t>
      </w:r>
      <w:r w:rsidRPr="2D4607AB" w:rsidR="02D336C9">
        <w:rPr>
          <w:rFonts w:ascii="Calibri" w:hAnsi="Calibri" w:eastAsia="Calibri" w:cs="Calibri"/>
          <w:noProof w:val="0"/>
          <w:sz w:val="22"/>
          <w:szCs w:val="22"/>
          <w:lang w:val="en-GB"/>
        </w:rPr>
        <w:t xml:space="preserve">&amp; </w:t>
      </w:r>
      <w:r w:rsidRPr="2D4607AB" w:rsidR="02D336C9">
        <w:rPr>
          <w:rFonts w:ascii="Calibri" w:hAnsi="Calibri" w:eastAsia="Calibri" w:cs="Calibri"/>
          <w:noProof w:val="0"/>
          <w:sz w:val="22"/>
          <w:szCs w:val="22"/>
          <w:lang w:val="en-GB"/>
        </w:rPr>
        <w:t>Cukuro</w:t>
      </w:r>
      <w:r w:rsidRPr="2D4607AB" w:rsidR="02D336C9">
        <w:rPr>
          <w:rFonts w:ascii="Calibri" w:hAnsi="Calibri" w:eastAsia="Calibri" w:cs="Calibri"/>
          <w:noProof w:val="0"/>
          <w:sz w:val="22"/>
          <w:szCs w:val="22"/>
          <w:lang w:val="en-GB"/>
        </w:rPr>
        <w:t>va</w:t>
      </w:r>
      <w:r w:rsidRPr="2D4607AB" w:rsidR="02D336C9">
        <w:rPr>
          <w:rFonts w:ascii="Calibri" w:hAnsi="Calibri" w:eastAsia="Calibri" w:cs="Calibri"/>
          <w:noProof w:val="0"/>
          <w:sz w:val="22"/>
          <w:szCs w:val="22"/>
          <w:lang w:val="en-GB"/>
        </w:rPr>
        <w:t>, 2020). AI, for example, enables adaptive learning platforms to deliver tailored educational experiences by adjusting the pace and difficulty of lessons based on individual student performance</w:t>
      </w:r>
      <w:r w:rsidRPr="2D4607AB" w:rsidR="02D336C9">
        <w:rPr>
          <w:rFonts w:ascii="Calibri" w:hAnsi="Calibri" w:eastAsia="Calibri" w:cs="Calibri"/>
          <w:noProof w:val="0"/>
          <w:sz w:val="22"/>
          <w:szCs w:val="22"/>
          <w:lang w:val="en-GB"/>
        </w:rPr>
        <w:t xml:space="preserve"> (</w:t>
      </w:r>
      <w:r w:rsidRPr="2D4607AB" w:rsidR="02D336C9">
        <w:rPr>
          <w:rFonts w:ascii="Calibri" w:hAnsi="Calibri" w:eastAsia="Calibri" w:cs="Calibri"/>
          <w:noProof w:val="0"/>
          <w:sz w:val="22"/>
          <w:szCs w:val="22"/>
          <w:lang w:val="en-GB"/>
        </w:rPr>
        <w:t>Luck</w:t>
      </w:r>
      <w:r w:rsidRPr="2D4607AB" w:rsidR="02D336C9">
        <w:rPr>
          <w:rFonts w:ascii="Calibri" w:hAnsi="Calibri" w:eastAsia="Calibri" w:cs="Calibri"/>
          <w:noProof w:val="0"/>
          <w:sz w:val="22"/>
          <w:szCs w:val="22"/>
          <w:lang w:val="en-GB"/>
        </w:rPr>
        <w:t>in</w:t>
      </w:r>
      <w:r w:rsidRPr="2D4607AB" w:rsidR="02D336C9">
        <w:rPr>
          <w:rFonts w:ascii="Calibri" w:hAnsi="Calibri" w:eastAsia="Calibri" w:cs="Calibri"/>
          <w:noProof w:val="0"/>
          <w:sz w:val="22"/>
          <w:szCs w:val="22"/>
          <w:lang w:val="en-GB"/>
        </w:rPr>
        <w:t>, 2017). Similarly, VR and AR allow for immersive learning experiences that offer a deeper understanding of complex subjects through interactive, 3D simulations (Yuan &amp; Chia, 2020). Blockchain technology is increasingly being explored for its potential in securing digital credentials and enhancing the transparency of academic records (Li &amp; Ma, 2020).</w:t>
      </w:r>
    </w:p>
    <w:p w:rsidR="02D336C9" w:rsidP="7F3194C4" w:rsidRDefault="02D336C9" w14:paraId="628B15D2" w14:textId="4E4EE163">
      <w:pPr>
        <w:spacing w:before="240" w:beforeAutospacing="off" w:after="240" w:afterAutospacing="off"/>
      </w:pPr>
      <w:r w:rsidRPr="2D4607AB" w:rsidR="02D336C9">
        <w:rPr>
          <w:rFonts w:ascii="Calibri" w:hAnsi="Calibri" w:eastAsia="Calibri" w:cs="Calibri"/>
          <w:noProof w:val="0"/>
          <w:sz w:val="22"/>
          <w:szCs w:val="22"/>
          <w:lang w:val="en-GB"/>
        </w:rPr>
        <w:t xml:space="preserve">This critical evaluation explores the role of emerging technologies in enhancing pedagogy. It considers how digital innovation can complement teaching and learning in professional practice and how emerging tools can shape the future of education. Through the examination of key learning theories, such as constructivism and connectivism, this evaluation highlights the integration of digital pedagogy with technological tools, </w:t>
      </w:r>
      <w:r w:rsidRPr="2D4607AB" w:rsidR="02D336C9">
        <w:rPr>
          <w:rFonts w:ascii="Calibri" w:hAnsi="Calibri" w:eastAsia="Calibri" w:cs="Calibri"/>
          <w:noProof w:val="0"/>
          <w:sz w:val="22"/>
          <w:szCs w:val="22"/>
          <w:lang w:val="en-GB"/>
        </w:rPr>
        <w:t>focusing</w:t>
      </w:r>
      <w:r w:rsidRPr="2D4607AB" w:rsidR="02D336C9">
        <w:rPr>
          <w:rFonts w:ascii="Calibri" w:hAnsi="Calibri" w:eastAsia="Calibri" w:cs="Calibri"/>
          <w:noProof w:val="0"/>
          <w:sz w:val="22"/>
          <w:szCs w:val="22"/>
          <w:lang w:val="en-GB"/>
        </w:rPr>
        <w:t xml:space="preserve"> specifically on AI. It explores the design, implementation, and testing of AI as a digital learning tool and reflects on its potential to enhance teaching practices for both teachers and students (Piaget, 1976; Siemens, 2005).</w:t>
      </w:r>
      <w:r w:rsidRPr="2D4607AB" w:rsidR="02D336C9">
        <w:rPr>
          <w:rFonts w:ascii="Calibri" w:hAnsi="Calibri" w:eastAsia="Calibri" w:cs="Calibri"/>
          <w:noProof w:val="0"/>
          <w:sz w:val="22"/>
          <w:szCs w:val="22"/>
          <w:lang w:val="en-GB"/>
        </w:rPr>
        <w:t xml:space="preserve"> Additionally, this evaluation considers the ethical implications of digital technologies in education and the challenges of ensuring </w:t>
      </w:r>
      <w:r w:rsidRPr="2D4607AB" w:rsidR="02D336C9">
        <w:rPr>
          <w:rFonts w:ascii="Calibri" w:hAnsi="Calibri" w:eastAsia="Calibri" w:cs="Calibri"/>
          <w:noProof w:val="0"/>
          <w:sz w:val="22"/>
          <w:szCs w:val="22"/>
          <w:lang w:val="en-GB"/>
        </w:rPr>
        <w:t>equitable</w:t>
      </w:r>
      <w:r w:rsidRPr="2D4607AB" w:rsidR="02D336C9">
        <w:rPr>
          <w:rFonts w:ascii="Calibri" w:hAnsi="Calibri" w:eastAsia="Calibri" w:cs="Calibri"/>
          <w:noProof w:val="0"/>
          <w:sz w:val="22"/>
          <w:szCs w:val="22"/>
          <w:lang w:val="en-GB"/>
        </w:rPr>
        <w:t xml:space="preserve"> access and effectiveness, particularly </w:t>
      </w:r>
      <w:r w:rsidRPr="2D4607AB" w:rsidR="488ED2A0">
        <w:rPr>
          <w:rFonts w:ascii="Calibri" w:hAnsi="Calibri" w:eastAsia="Calibri" w:cs="Calibri"/>
          <w:noProof w:val="0"/>
          <w:sz w:val="22"/>
          <w:szCs w:val="22"/>
          <w:lang w:val="en-GB"/>
        </w:rPr>
        <w:t>considering</w:t>
      </w:r>
      <w:r w:rsidRPr="2D4607AB" w:rsidR="02D336C9">
        <w:rPr>
          <w:rFonts w:ascii="Calibri" w:hAnsi="Calibri" w:eastAsia="Calibri" w:cs="Calibri"/>
          <w:noProof w:val="0"/>
          <w:sz w:val="22"/>
          <w:szCs w:val="22"/>
          <w:lang w:val="en-GB"/>
        </w:rPr>
        <w:t xml:space="preserve"> the digital divide and concerns around data privacy (Selwyn, 2016; OECD, 2020).</w:t>
      </w:r>
      <w:r w:rsidRPr="2D4607AB" w:rsidR="2B8F7EE8">
        <w:rPr>
          <w:rFonts w:ascii="Calibri" w:hAnsi="Calibri" w:eastAsia="Calibri" w:cs="Calibri"/>
          <w:noProof w:val="0"/>
          <w:sz w:val="22"/>
          <w:szCs w:val="22"/>
          <w:lang w:val="en-GB"/>
        </w:rPr>
        <w:t xml:space="preserve"> </w:t>
      </w:r>
      <w:r w:rsidRPr="2D4607AB" w:rsidR="726BA9B8">
        <w:rPr>
          <w:rFonts w:ascii="Calibri" w:hAnsi="Calibri" w:eastAsia="Calibri" w:cs="Calibri"/>
          <w:noProof w:val="0"/>
          <w:sz w:val="22"/>
          <w:szCs w:val="22"/>
          <w:lang w:val="en-GB"/>
        </w:rPr>
        <w:t xml:space="preserve"> </w:t>
      </w:r>
    </w:p>
    <w:p w:rsidR="7F3194C4" w:rsidP="2D4607AB" w:rsidRDefault="7F3194C4" w14:paraId="5FEDC56A" w14:textId="56D3713D">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The Role of Creativity and Digital Innovation in Education</w:t>
      </w:r>
      <w:r w:rsidRPr="2D4607AB" w:rsidR="6EA311EE">
        <w:rPr>
          <w:rFonts w:ascii="Calibri" w:hAnsi="Calibri" w:eastAsia="Calibri" w:cs="Calibri"/>
          <w:b w:val="1"/>
          <w:bCs w:val="1"/>
          <w:noProof w:val="0"/>
          <w:sz w:val="28"/>
          <w:szCs w:val="28"/>
          <w:lang w:val="en-GB"/>
        </w:rPr>
        <w:t xml:space="preserve"> (1780 words)</w:t>
      </w:r>
    </w:p>
    <w:p w:rsidR="7F3194C4" w:rsidP="2D4607AB" w:rsidRDefault="7F3194C4" w14:paraId="130BF2DB" w14:textId="3C2304A0">
      <w:pPr>
        <w:spacing w:before="240" w:beforeAutospacing="off" w:after="240" w:afterAutospacing="off"/>
      </w:pPr>
      <w:r w:rsidRPr="2D4607AB" w:rsidR="01D934AF">
        <w:rPr>
          <w:rFonts w:ascii="Calibri" w:hAnsi="Calibri" w:eastAsia="Calibri" w:cs="Calibri"/>
          <w:noProof w:val="0"/>
          <w:sz w:val="22"/>
          <w:szCs w:val="22"/>
          <w:lang w:val="en-GB"/>
        </w:rPr>
        <w:t>In today's digital age, educational practices are increasingly influenced by technological advancements, transforming teaching methodologies and learning outcomes. Digital innovation in education offers numerous opportunities to reimagine traditional pedagogies, creating more flexible, interactive, and personalized learning experiences. Technologies such as Artificial Intelligence (AI), Virtual Reality (VR), and Augmented Reality (AR) enable educators to design more engaging and dynamic learning environments, shifting from traditional models to learner-centered, digital-integrated approaches (Bates, 2015; Luckin &amp; Cukurova, 2020). However, while the potential benefits are significant, the integration of technology must be done with caution, addressing ethical concerns, equity issues, and ensuring the well-being of both educators and learners.</w:t>
      </w:r>
    </w:p>
    <w:p w:rsidR="7F3194C4" w:rsidP="2D4607AB" w:rsidRDefault="7F3194C4" w14:paraId="72447D46" w14:textId="02265137">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The Complementary Nature of Technology and Pedagogy</w:t>
      </w:r>
    </w:p>
    <w:p w:rsidR="7F3194C4" w:rsidP="2D4607AB" w:rsidRDefault="7F3194C4" w14:paraId="21DB5FB0" w14:textId="7F519C27">
      <w:pPr>
        <w:spacing w:before="240" w:beforeAutospacing="off" w:after="240" w:afterAutospacing="off"/>
      </w:pPr>
      <w:r w:rsidRPr="2D4607AB" w:rsidR="01D934AF">
        <w:rPr>
          <w:rFonts w:ascii="Calibri" w:hAnsi="Calibri" w:eastAsia="Calibri" w:cs="Calibri"/>
          <w:noProof w:val="0"/>
          <w:sz w:val="22"/>
          <w:szCs w:val="22"/>
          <w:lang w:val="en-GB"/>
        </w:rPr>
        <w:t xml:space="preserve">Technology and pedagogy are often seen as complementary, enhancing each other to improve educational outcomes. Traditional teaching methods have been critiqued for being rigid and one-dimensional, while technology offers the potential to foster creativity, flexibility, and personalization in teaching (Bates, 2015). According to the Welsh Government's </w:t>
      </w:r>
      <w:r w:rsidRPr="2D4607AB" w:rsidR="01D934AF">
        <w:rPr>
          <w:rFonts w:ascii="Calibri" w:hAnsi="Calibri" w:eastAsia="Calibri" w:cs="Calibri"/>
          <w:i w:val="1"/>
          <w:iCs w:val="1"/>
          <w:noProof w:val="0"/>
          <w:sz w:val="22"/>
          <w:szCs w:val="22"/>
          <w:lang w:val="en-GB"/>
        </w:rPr>
        <w:t>Digital 2030</w:t>
      </w:r>
      <w:r w:rsidRPr="2D4607AB" w:rsidR="01D934AF">
        <w:rPr>
          <w:rFonts w:ascii="Calibri" w:hAnsi="Calibri" w:eastAsia="Calibri" w:cs="Calibri"/>
          <w:noProof w:val="0"/>
          <w:sz w:val="22"/>
          <w:szCs w:val="22"/>
          <w:lang w:val="en-GB"/>
        </w:rPr>
        <w:t xml:space="preserve"> framework (2019), integrating digital skills into the post-16 education sector aims to support personalized and inclusive learning that equips students with the necessary digital literacy to succeed in the modern workforce. AI, for example, can provide adaptive learning experiences, tailoring content based on each student's progress and needs, which aligns with learning theories like constructivism (Luckin &amp; Cukurova, 2020). Such platforms can help bridge the gap between learners' diverse abilities, offering real-time adjustments to lessons and feedback (Luckin, 2017).</w:t>
      </w:r>
    </w:p>
    <w:p w:rsidR="7F3194C4" w:rsidP="2D4607AB" w:rsidRDefault="7F3194C4" w14:paraId="7333E7ED" w14:textId="778367DE">
      <w:pPr>
        <w:spacing w:before="240" w:beforeAutospacing="off" w:after="240" w:afterAutospacing="off"/>
      </w:pPr>
      <w:r w:rsidRPr="2D4607AB" w:rsidR="01D934AF">
        <w:rPr>
          <w:rFonts w:ascii="Calibri" w:hAnsi="Calibri" w:eastAsia="Calibri" w:cs="Calibri"/>
          <w:noProof w:val="0"/>
          <w:sz w:val="22"/>
          <w:szCs w:val="22"/>
          <w:lang w:val="en-GB"/>
        </w:rPr>
        <w:t>Moreover, technologies such as VR and AR offer immersive learning experiences, allowing students to interact with content in a dynamic and experiential manner. For instance, VR can be used to simulate complex scientific experiments or historical events, providing students with opportunities for hands-on learning and deeper understanding (Yuan &amp; Chia, 2020). These innovations contribute to the personalization of education by allowing learners to engage with content in a way that meets their individual needs, enhancing both understanding and retention.</w:t>
      </w:r>
    </w:p>
    <w:p w:rsidR="7F3194C4" w:rsidP="2D4607AB" w:rsidRDefault="7F3194C4" w14:paraId="3E37E739" w14:textId="2D1A5B96">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Ethical Considerations in Digital Innovation</w:t>
      </w:r>
    </w:p>
    <w:p w:rsidR="7F3194C4" w:rsidP="2D4607AB" w:rsidRDefault="7F3194C4" w14:paraId="01D1B6CF" w14:textId="6454C220">
      <w:pPr>
        <w:spacing w:before="240" w:beforeAutospacing="off" w:after="240" w:afterAutospacing="off"/>
      </w:pPr>
      <w:r w:rsidRPr="2D4607AB" w:rsidR="01D934AF">
        <w:rPr>
          <w:rFonts w:ascii="Calibri" w:hAnsi="Calibri" w:eastAsia="Calibri" w:cs="Calibri"/>
          <w:noProof w:val="0"/>
          <w:sz w:val="22"/>
          <w:szCs w:val="22"/>
          <w:lang w:val="en-GB"/>
        </w:rPr>
        <w:t xml:space="preserve">While the integration of emerging technologies into education has numerous benefits, it also raises ethical concerns, particularly related to data privacy, security, and bias. The Welsh Government's </w:t>
      </w:r>
      <w:r w:rsidRPr="2D4607AB" w:rsidR="01D934AF">
        <w:rPr>
          <w:rFonts w:ascii="Calibri" w:hAnsi="Calibri" w:eastAsia="Calibri" w:cs="Calibri"/>
          <w:i w:val="1"/>
          <w:iCs w:val="1"/>
          <w:noProof w:val="0"/>
          <w:sz w:val="22"/>
          <w:szCs w:val="22"/>
          <w:lang w:val="en-GB"/>
        </w:rPr>
        <w:t>Digital Strategy</w:t>
      </w:r>
      <w:r w:rsidRPr="2D4607AB" w:rsidR="01D934AF">
        <w:rPr>
          <w:rFonts w:ascii="Calibri" w:hAnsi="Calibri" w:eastAsia="Calibri" w:cs="Calibri"/>
          <w:noProof w:val="0"/>
          <w:sz w:val="22"/>
          <w:szCs w:val="22"/>
          <w:lang w:val="en-GB"/>
        </w:rPr>
        <w:t xml:space="preserve"> emphasizes the need for digital inclusion and equitable access to digital tools, ensuring that all learners, regardless of their socioeconomic background, have the opportunity to benefit from digital advancements (2020). One of the significant challenges lies in ensuring that educators and institutions protect student data and use it responsibly. As AI technologies become more prevalent in educational settings, concerns around data privacy intensify. Educational tools that rely on large-scale data collection must adhere to strict privacy standards to safeguard students' personal and academic information.</w:t>
      </w:r>
    </w:p>
    <w:p w:rsidR="7F3194C4" w:rsidP="2D4607AB" w:rsidRDefault="7F3194C4" w14:paraId="2F677BE4" w14:textId="279905CA">
      <w:pPr>
        <w:spacing w:before="240" w:beforeAutospacing="off" w:after="240" w:afterAutospacing="off"/>
      </w:pPr>
      <w:r w:rsidRPr="2D4607AB" w:rsidR="01D934AF">
        <w:rPr>
          <w:rFonts w:ascii="Calibri" w:hAnsi="Calibri" w:eastAsia="Calibri" w:cs="Calibri"/>
          <w:noProof w:val="0"/>
          <w:sz w:val="22"/>
          <w:szCs w:val="22"/>
          <w:lang w:val="en-GB"/>
        </w:rPr>
        <w:t xml:space="preserve">Additionally, AI systems may inadvertently perpetuate biases, especially if the data they are trained on reflects societal inequalities. As noted by </w:t>
      </w:r>
      <w:r w:rsidRPr="2D4607AB" w:rsidR="01D934AF">
        <w:rPr>
          <w:rFonts w:ascii="Calibri" w:hAnsi="Calibri" w:eastAsia="Calibri" w:cs="Calibri"/>
          <w:i w:val="1"/>
          <w:iCs w:val="1"/>
          <w:noProof w:val="0"/>
          <w:sz w:val="22"/>
          <w:szCs w:val="22"/>
          <w:lang w:val="en-GB"/>
        </w:rPr>
        <w:t>Selwyn (2016)</w:t>
      </w:r>
      <w:r w:rsidRPr="2D4607AB" w:rsidR="01D934AF">
        <w:rPr>
          <w:rFonts w:ascii="Calibri" w:hAnsi="Calibri" w:eastAsia="Calibri" w:cs="Calibri"/>
          <w:noProof w:val="0"/>
          <w:sz w:val="22"/>
          <w:szCs w:val="22"/>
          <w:lang w:val="en-GB"/>
        </w:rPr>
        <w:t>, the use of AI in education raises questions about fairness and equity. It is crucial for educators and developers to ensure that AI algorithms are free from bias, promoting fairness and inclusivity in educational settings. Implementing frameworks that guarantee the ethical use of digital tools will help address these concerns and ensure that the benefits of digital innovation are equitably distributed among all students (Zhao et al., 2002).</w:t>
      </w:r>
    </w:p>
    <w:p w:rsidR="7F3194C4" w:rsidP="2D4607AB" w:rsidRDefault="7F3194C4" w14:paraId="2C4DD895" w14:textId="2794A299">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Emerging Technologies and Their Impact on Pedagogy</w:t>
      </w:r>
    </w:p>
    <w:p w:rsidR="7F3194C4" w:rsidP="2D4607AB" w:rsidRDefault="7F3194C4" w14:paraId="21E1F6E6" w14:textId="4790C292">
      <w:pPr>
        <w:spacing w:before="240" w:beforeAutospacing="off" w:after="240" w:afterAutospacing="off"/>
      </w:pPr>
      <w:r w:rsidRPr="2D4607AB" w:rsidR="01D934AF">
        <w:rPr>
          <w:rFonts w:ascii="Calibri" w:hAnsi="Calibri" w:eastAsia="Calibri" w:cs="Calibri"/>
          <w:noProof w:val="0"/>
          <w:sz w:val="22"/>
          <w:szCs w:val="22"/>
          <w:lang w:val="en-GB"/>
        </w:rPr>
        <w:t>The future of pedagogy will be shaped by the continued advancement of emerging technologies. As AI, VR, and AR technologies become more embedded in educational practices, they will likely redefine the roles of both educators and learners. AI tools can support adaptive learning by providing personalized learning paths that adjust to the unique needs and pace of each student. These platforms provide real-time feedback, enabling teachers to monitor progress and tailor their instruction accordingly (Bower, 2019).</w:t>
      </w:r>
    </w:p>
    <w:p w:rsidR="7F3194C4" w:rsidP="2D4607AB" w:rsidRDefault="7F3194C4" w14:paraId="1508B271" w14:textId="49BBB832">
      <w:pPr>
        <w:spacing w:before="240" w:beforeAutospacing="off" w:after="240" w:afterAutospacing="off"/>
      </w:pPr>
      <w:r w:rsidRPr="2D4607AB" w:rsidR="01D934AF">
        <w:rPr>
          <w:rFonts w:ascii="Calibri" w:hAnsi="Calibri" w:eastAsia="Calibri" w:cs="Calibri"/>
          <w:noProof w:val="0"/>
          <w:sz w:val="22"/>
          <w:szCs w:val="22"/>
          <w:lang w:val="en-GB"/>
        </w:rPr>
        <w:t>In addition, VR and AR allow for immersive, experiential learning, where students can engage with complex subject matter in a way that traditional teaching methods cannot replicate. For example, VR in medical education allows students to simulate surgeries, while AR can bring historical events to life through interactive experiences (Yuan &amp; Chia, 2020). Such tools can enhance critical thinking and problem-solving skills by providing learners with a more engaging and hands-on approach to learning.</w:t>
      </w:r>
    </w:p>
    <w:p w:rsidR="7F3194C4" w:rsidP="2D4607AB" w:rsidRDefault="7F3194C4" w14:paraId="0EF4A3C7" w14:textId="065B41BF">
      <w:pPr>
        <w:spacing w:before="240" w:beforeAutospacing="off" w:after="240" w:afterAutospacing="off"/>
      </w:pPr>
      <w:r w:rsidRPr="2D4607AB" w:rsidR="01D934AF">
        <w:rPr>
          <w:rFonts w:ascii="Calibri" w:hAnsi="Calibri" w:eastAsia="Calibri" w:cs="Calibri"/>
          <w:noProof w:val="0"/>
          <w:sz w:val="22"/>
          <w:szCs w:val="22"/>
          <w:lang w:val="en-GB"/>
        </w:rPr>
        <w:t xml:space="preserve">However, the implementation of these technologies must be accompanied by adequate teacher training and the availability of resources. As noted in the </w:t>
      </w:r>
      <w:r w:rsidRPr="2D4607AB" w:rsidR="01D934AF">
        <w:rPr>
          <w:rFonts w:ascii="Calibri" w:hAnsi="Calibri" w:eastAsia="Calibri" w:cs="Calibri"/>
          <w:i w:val="1"/>
          <w:iCs w:val="1"/>
          <w:noProof w:val="0"/>
          <w:sz w:val="22"/>
          <w:szCs w:val="22"/>
          <w:lang w:val="en-GB"/>
        </w:rPr>
        <w:t>Digital 2030 Wales Framework</w:t>
      </w:r>
      <w:r w:rsidRPr="2D4607AB" w:rsidR="01D934AF">
        <w:rPr>
          <w:rFonts w:ascii="Calibri" w:hAnsi="Calibri" w:eastAsia="Calibri" w:cs="Calibri"/>
          <w:noProof w:val="0"/>
          <w:sz w:val="22"/>
          <w:szCs w:val="22"/>
          <w:lang w:val="en-GB"/>
        </w:rPr>
        <w:t xml:space="preserve"> (2019), the integration of digital tools into teaching and learning must be supported by policies that prioritize training for educators and the provision of infrastructure to ensure equitable access to technology.</w:t>
      </w:r>
    </w:p>
    <w:p w:rsidR="7F3194C4" w:rsidP="2D4607AB" w:rsidRDefault="7F3194C4" w14:paraId="1DC35C7F" w14:textId="4D91308D">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The Digital Divide and Access to Technology</w:t>
      </w:r>
    </w:p>
    <w:p w:rsidR="7F3194C4" w:rsidP="2D4607AB" w:rsidRDefault="7F3194C4" w14:paraId="7FA1D8AC" w14:textId="60940600">
      <w:pPr>
        <w:spacing w:before="240" w:beforeAutospacing="off" w:after="240" w:afterAutospacing="off"/>
      </w:pPr>
      <w:r w:rsidRPr="2D4607AB" w:rsidR="01D934AF">
        <w:rPr>
          <w:rFonts w:ascii="Calibri" w:hAnsi="Calibri" w:eastAsia="Calibri" w:cs="Calibri"/>
          <w:noProof w:val="0"/>
          <w:sz w:val="22"/>
          <w:szCs w:val="22"/>
          <w:lang w:val="en-GB"/>
        </w:rPr>
        <w:t xml:space="preserve">The digital divide remains one of the most significant barriers to the widespread adoption of technology in education. Not all students have equal access to digital devices or reliable internet connections, creating an inequity in the learning opportunities available to them. According to a report from the </w:t>
      </w:r>
      <w:r w:rsidRPr="2D4607AB" w:rsidR="01D934AF">
        <w:rPr>
          <w:rFonts w:ascii="Calibri" w:hAnsi="Calibri" w:eastAsia="Calibri" w:cs="Calibri"/>
          <w:i w:val="1"/>
          <w:iCs w:val="1"/>
          <w:noProof w:val="0"/>
          <w:sz w:val="22"/>
          <w:szCs w:val="22"/>
          <w:lang w:val="en-GB"/>
        </w:rPr>
        <w:t>Children's Commissioner</w:t>
      </w:r>
      <w:r w:rsidRPr="2D4607AB" w:rsidR="01D934AF">
        <w:rPr>
          <w:rFonts w:ascii="Calibri" w:hAnsi="Calibri" w:eastAsia="Calibri" w:cs="Calibri"/>
          <w:noProof w:val="0"/>
          <w:sz w:val="22"/>
          <w:szCs w:val="22"/>
          <w:lang w:val="en-GB"/>
        </w:rPr>
        <w:t xml:space="preserve"> (2020), many children lacked access to the internet during lockdowns, exacerbating educational inequalities. This digital gap means that students from lower-income backgrounds are at a disadvantage, unable to fully participate in online learning experiences that are increasingly central to modern education.</w:t>
      </w:r>
    </w:p>
    <w:p w:rsidR="7F3194C4" w:rsidP="2D4607AB" w:rsidRDefault="7F3194C4" w14:paraId="3CB21CD5" w14:textId="71CE06D6">
      <w:pPr>
        <w:spacing w:before="240" w:beforeAutospacing="off" w:after="240" w:afterAutospacing="off"/>
      </w:pPr>
      <w:r w:rsidRPr="2D4607AB" w:rsidR="01D934AF">
        <w:rPr>
          <w:rFonts w:ascii="Calibri" w:hAnsi="Calibri" w:eastAsia="Calibri" w:cs="Calibri"/>
          <w:noProof w:val="0"/>
          <w:sz w:val="22"/>
          <w:szCs w:val="22"/>
          <w:lang w:val="en-GB"/>
        </w:rPr>
        <w:t xml:space="preserve">To combat this, governments and educational institutions must invest in strategies that ensure equitable access to technology. The </w:t>
      </w:r>
      <w:r w:rsidRPr="2D4607AB" w:rsidR="01D934AF">
        <w:rPr>
          <w:rFonts w:ascii="Calibri" w:hAnsi="Calibri" w:eastAsia="Calibri" w:cs="Calibri"/>
          <w:i w:val="1"/>
          <w:iCs w:val="1"/>
          <w:noProof w:val="0"/>
          <w:sz w:val="22"/>
          <w:szCs w:val="22"/>
          <w:lang w:val="en-GB"/>
        </w:rPr>
        <w:t>Digital Inclusion Strategy</w:t>
      </w:r>
      <w:r w:rsidRPr="2D4607AB" w:rsidR="01D934AF">
        <w:rPr>
          <w:rFonts w:ascii="Calibri" w:hAnsi="Calibri" w:eastAsia="Calibri" w:cs="Calibri"/>
          <w:noProof w:val="0"/>
          <w:sz w:val="22"/>
          <w:szCs w:val="22"/>
          <w:lang w:val="en-GB"/>
        </w:rPr>
        <w:t xml:space="preserve"> by the Welsh Government (2020) outlines efforts to provide underprivileged communities with access to digital resources, including affordable broadband and digital literacy programs. Ensuring that all learners have access to the necessary technology is essential for the success of digital innovation in education and for bridging the gap between different socio-economic groups.</w:t>
      </w:r>
    </w:p>
    <w:p w:rsidR="7F3194C4" w:rsidP="2D4607AB" w:rsidRDefault="7F3194C4" w14:paraId="1FC89237" w14:textId="060DC288">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The Role of Well-being in Digital Education</w:t>
      </w:r>
    </w:p>
    <w:p w:rsidR="7F3194C4" w:rsidP="2D4607AB" w:rsidRDefault="7F3194C4" w14:paraId="35E5868F" w14:textId="24F8737D">
      <w:pPr>
        <w:spacing w:before="240" w:beforeAutospacing="off" w:after="240" w:afterAutospacing="off"/>
      </w:pPr>
      <w:r w:rsidRPr="2D4607AB" w:rsidR="01D934AF">
        <w:rPr>
          <w:rFonts w:ascii="Calibri" w:hAnsi="Calibri" w:eastAsia="Calibri" w:cs="Calibri"/>
          <w:noProof w:val="0"/>
          <w:sz w:val="22"/>
          <w:szCs w:val="22"/>
          <w:lang w:val="en-GB"/>
        </w:rPr>
        <w:t>While technology offers numerous benefits, its integration into education can also raise concerns about stress and well-being, both for educators and learners. Technology can sometimes contribute to platform fatigue, where the constant use of digital platforms leads to mental and physical exhaustion. It is important for both educators and learners to have the necessary skills and support to manage the demands of technology and avoid burnout (Selwyn, 2016). Additionally, ensuring a safe and supportive online learning environment is crucial to foster a sense of well-being among learners. This involves not only protecting personal data but also providing students with spaces where they feel confident to engage and participate without fear of exclusion or harassment.</w:t>
      </w:r>
    </w:p>
    <w:p w:rsidR="7F3194C4" w:rsidP="2D4607AB" w:rsidRDefault="7F3194C4" w14:paraId="6AB9EA1C" w14:textId="1F451350">
      <w:pPr>
        <w:spacing w:before="240" w:beforeAutospacing="off" w:after="240" w:afterAutospacing="off"/>
      </w:pPr>
      <w:r w:rsidRPr="2D4607AB" w:rsidR="01D934AF">
        <w:rPr>
          <w:rFonts w:ascii="Calibri" w:hAnsi="Calibri" w:eastAsia="Calibri" w:cs="Calibri"/>
          <w:noProof w:val="0"/>
          <w:sz w:val="22"/>
          <w:szCs w:val="22"/>
          <w:lang w:val="en-GB"/>
        </w:rPr>
        <w:t xml:space="preserve">Moreover, the </w:t>
      </w:r>
      <w:r w:rsidRPr="2D4607AB" w:rsidR="01D934AF">
        <w:rPr>
          <w:rFonts w:ascii="Calibri" w:hAnsi="Calibri" w:eastAsia="Calibri" w:cs="Calibri"/>
          <w:i w:val="1"/>
          <w:iCs w:val="1"/>
          <w:noProof w:val="0"/>
          <w:sz w:val="22"/>
          <w:szCs w:val="22"/>
          <w:lang w:val="en-GB"/>
        </w:rPr>
        <w:t>Well-being of Future Generations (Wales) Act</w:t>
      </w:r>
      <w:r w:rsidRPr="2D4607AB" w:rsidR="01D934AF">
        <w:rPr>
          <w:rFonts w:ascii="Calibri" w:hAnsi="Calibri" w:eastAsia="Calibri" w:cs="Calibri"/>
          <w:noProof w:val="0"/>
          <w:sz w:val="22"/>
          <w:szCs w:val="22"/>
          <w:lang w:val="en-GB"/>
        </w:rPr>
        <w:t xml:space="preserve"> (2015) highlights the importance of fostering well-being through the integration of digital tools in education, ensuring that technology is used to support rather than undermine learners' mental and emotional health. Educators must be mindful of how technology is incorporated into teaching to avoid overwhelming students and maintain a balanced approach that supports their overall development.</w:t>
      </w:r>
    </w:p>
    <w:p w:rsidR="7F3194C4" w:rsidP="2D4607AB" w:rsidRDefault="7F3194C4" w14:paraId="77FC166D" w14:textId="7BD89788">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Challenges Educators Face with Technology: Platform Fatigue and Stress Management</w:t>
      </w:r>
    </w:p>
    <w:p w:rsidR="7F3194C4" w:rsidP="2D4607AB" w:rsidRDefault="7F3194C4" w14:paraId="5F3CEFC8" w14:textId="0BD1B727">
      <w:pPr>
        <w:spacing w:before="240" w:beforeAutospacing="off" w:after="240" w:afterAutospacing="off"/>
      </w:pPr>
      <w:r w:rsidRPr="2D4607AB" w:rsidR="01D934AF">
        <w:rPr>
          <w:rFonts w:ascii="Calibri" w:hAnsi="Calibri" w:eastAsia="Calibri" w:cs="Calibri"/>
          <w:noProof w:val="0"/>
          <w:sz w:val="22"/>
          <w:szCs w:val="22"/>
          <w:lang w:val="en-GB"/>
        </w:rPr>
        <w:t xml:space="preserve">The integration of emerging technologies in education can offer tremendous benefits, but it also introduces several challenges for educators. One of the most prominent concerns is </w:t>
      </w:r>
      <w:r w:rsidRPr="2D4607AB" w:rsidR="01D934AF">
        <w:rPr>
          <w:rFonts w:ascii="Calibri" w:hAnsi="Calibri" w:eastAsia="Calibri" w:cs="Calibri"/>
          <w:i w:val="1"/>
          <w:iCs w:val="1"/>
          <w:noProof w:val="0"/>
          <w:sz w:val="22"/>
          <w:szCs w:val="22"/>
          <w:lang w:val="en-GB"/>
        </w:rPr>
        <w:t>platform fatigue</w:t>
      </w:r>
      <w:r w:rsidRPr="2D4607AB" w:rsidR="01D934AF">
        <w:rPr>
          <w:rFonts w:ascii="Calibri" w:hAnsi="Calibri" w:eastAsia="Calibri" w:cs="Calibri"/>
          <w:noProof w:val="0"/>
          <w:sz w:val="22"/>
          <w:szCs w:val="22"/>
          <w:lang w:val="en-GB"/>
        </w:rPr>
        <w:t>. With the increasing reliance on digital tools for both teaching and learning, educators often find themselves managing multiple platforms, each with its own set of functions, logins, and troubleshooting needs. This constant juggling can lead to stress and burnout, as educators struggle to master new systems while maintaining their focus on pedagogy and student outcomes. Platform fatigue can hinder the effectiveness of technology integration, making it harder for teachers to leverage digital tools effectively.</w:t>
      </w:r>
    </w:p>
    <w:p w:rsidR="7F3194C4" w:rsidP="2D4607AB" w:rsidRDefault="7F3194C4" w14:paraId="3A35529B" w14:textId="7FF5C5F3">
      <w:pPr>
        <w:spacing w:before="240" w:beforeAutospacing="off" w:after="240" w:afterAutospacing="off"/>
      </w:pPr>
      <w:r w:rsidRPr="2D4607AB" w:rsidR="01D934AF">
        <w:rPr>
          <w:rFonts w:ascii="Calibri" w:hAnsi="Calibri" w:eastAsia="Calibri" w:cs="Calibri"/>
          <w:noProof w:val="0"/>
          <w:sz w:val="22"/>
          <w:szCs w:val="22"/>
          <w:lang w:val="en-GB"/>
        </w:rPr>
        <w:t>Furthermore, the pressure to adapt quickly to new technologies may increase stress levels. Educators may feel overwhelmed by the need to continually update their skills and knowledge base in response to rapidly evolving digital tools. In some cases, this stress is compounded by the expectation that technology will solve pedagogical challenges without adequate training or support. To mitigate this stress, it is essential for schools and educational institutions to provide ongoing professional development, ensuring that teachers are comfortable with the technologies they are expected to use. This support not only reduces stress but also enhances the effectiveness of technology in the classroom.</w:t>
      </w:r>
    </w:p>
    <w:p w:rsidR="7F3194C4" w:rsidP="2D4607AB" w:rsidRDefault="7F3194C4" w14:paraId="014A2629" w14:textId="34D837E1">
      <w:pPr>
        <w:spacing w:before="240" w:beforeAutospacing="off" w:after="240" w:afterAutospacing="off"/>
      </w:pPr>
      <w:r w:rsidRPr="2D4607AB" w:rsidR="01D934AF">
        <w:rPr>
          <w:rFonts w:ascii="Calibri" w:hAnsi="Calibri" w:eastAsia="Calibri" w:cs="Calibri"/>
          <w:noProof w:val="0"/>
          <w:sz w:val="22"/>
          <w:szCs w:val="22"/>
          <w:lang w:val="en-GB"/>
        </w:rPr>
        <w:t>Moreover, ensuring the mental well-being of both educators and learners is paramount in the digital age. Stress can impact the teaching and learning process, reducing the quality of interaction between educators and students. Therefore, it is important to create a balanced digital approach, where technology complements traditional pedagogical strategies, and where educators are not expected to take on the role of tech support in addition to their teaching responsibilities. Educators must also be mindful of their own stress levels and prioritize self-care, including setting boundaries for technology use to prevent burnout.</w:t>
      </w:r>
    </w:p>
    <w:p w:rsidR="7F3194C4" w:rsidP="2D4607AB" w:rsidRDefault="7F3194C4" w14:paraId="09986869" w14:textId="195E49DF">
      <w:pPr>
        <w:pStyle w:val="Heading3"/>
        <w:spacing w:before="281" w:beforeAutospacing="off" w:after="281" w:afterAutospacing="off"/>
      </w:pPr>
      <w:r w:rsidRPr="2D4607AB" w:rsidR="01D934AF">
        <w:rPr>
          <w:rFonts w:ascii="Calibri" w:hAnsi="Calibri" w:eastAsia="Calibri" w:cs="Calibri"/>
          <w:b w:val="1"/>
          <w:bCs w:val="1"/>
          <w:noProof w:val="0"/>
          <w:sz w:val="28"/>
          <w:szCs w:val="28"/>
          <w:lang w:val="en-GB"/>
        </w:rPr>
        <w:t>Conclusion</w:t>
      </w:r>
    </w:p>
    <w:p w:rsidR="7F3194C4" w:rsidP="2D4607AB" w:rsidRDefault="7F3194C4" w14:paraId="56140E1E" w14:textId="72B909F9">
      <w:pPr>
        <w:spacing w:before="240" w:beforeAutospacing="off" w:after="240" w:afterAutospacing="off"/>
      </w:pPr>
      <w:r w:rsidRPr="2D4607AB" w:rsidR="01D934AF">
        <w:rPr>
          <w:rFonts w:ascii="Calibri" w:hAnsi="Calibri" w:eastAsia="Calibri" w:cs="Calibri"/>
          <w:noProof w:val="0"/>
          <w:sz w:val="22"/>
          <w:szCs w:val="22"/>
          <w:lang w:val="en-GB"/>
        </w:rPr>
        <w:t xml:space="preserve">Digital innovation has the potential to revolutionize education by providing personalized, interactive, and engaging learning experiences. However, its successful integration into pedagogy requires a thoughtful and ethical approach that prioritizes equity, data privacy, and the well-being of both educators and students. By embracing emerging technologies such as AI, VR, and AR, and addressing challenges such as the digital divide and platform fatigue, educators can create more inclusive and effective learning environments. The role of creativity in digital education will continue to grow, and it is essential for educators to </w:t>
      </w:r>
      <w:r w:rsidRPr="2D4607AB" w:rsidR="01D934AF">
        <w:rPr>
          <w:rFonts w:ascii="Calibri" w:hAnsi="Calibri" w:eastAsia="Calibri" w:cs="Calibri"/>
          <w:noProof w:val="0"/>
          <w:sz w:val="22"/>
          <w:szCs w:val="22"/>
          <w:lang w:val="en-GB"/>
        </w:rPr>
        <w:t>remain</w:t>
      </w:r>
      <w:r w:rsidRPr="2D4607AB" w:rsidR="01D934AF">
        <w:rPr>
          <w:rFonts w:ascii="Calibri" w:hAnsi="Calibri" w:eastAsia="Calibri" w:cs="Calibri"/>
          <w:noProof w:val="0"/>
          <w:sz w:val="22"/>
          <w:szCs w:val="22"/>
          <w:lang w:val="en-GB"/>
        </w:rPr>
        <w:t xml:space="preserve"> adaptable and committed to ensuring that digital tools are used to enhance pedagogy while supporting the well-being of all learners.</w:t>
      </w:r>
    </w:p>
    <w:p w:rsidR="7F3194C4" w:rsidP="2D4607AB" w:rsidRDefault="7F3194C4" w14:paraId="531F73C7" w14:textId="79B85729">
      <w:pPr>
        <w:spacing w:before="240" w:beforeAutospacing="off" w:after="240" w:afterAutospacing="off"/>
        <w:rPr>
          <w:rFonts w:ascii="Calibri" w:hAnsi="Calibri" w:eastAsia="Calibri" w:cs="Calibri"/>
          <w:noProof w:val="0"/>
          <w:sz w:val="22"/>
          <w:szCs w:val="22"/>
          <w:lang w:val="en-GB"/>
        </w:rPr>
      </w:pPr>
      <w:r w:rsidRPr="2D4607AB" w:rsidR="2A3BCFE6">
        <w:rPr>
          <w:rFonts w:ascii="Calibri" w:hAnsi="Calibri" w:eastAsia="Calibri" w:cs="Calibri"/>
          <w:noProof w:val="0"/>
          <w:sz w:val="22"/>
          <w:szCs w:val="22"/>
          <w:lang w:val="en-GB"/>
        </w:rPr>
        <w:t>(2128 words so far)</w:t>
      </w:r>
    </w:p>
    <w:p w:rsidR="7F3194C4" w:rsidP="2D4607AB" w:rsidRDefault="7F3194C4" w14:paraId="160BC729" w14:textId="2D8C4C04">
      <w:pPr>
        <w:spacing w:before="240" w:beforeAutospacing="off" w:after="240" w:afterAutospacing="off"/>
        <w:rPr>
          <w:rFonts w:ascii="Calibri" w:hAnsi="Calibri" w:eastAsia="Calibri" w:cs="Calibri"/>
          <w:noProof w:val="0"/>
          <w:sz w:val="22"/>
          <w:szCs w:val="22"/>
          <w:lang w:val="en-GB"/>
        </w:rPr>
      </w:pPr>
      <w:r w:rsidRPr="2D4607AB" w:rsidR="44268FA5">
        <w:rPr>
          <w:rFonts w:ascii="Calibri" w:hAnsi="Calibri" w:eastAsia="Calibri" w:cs="Calibri"/>
          <w:noProof w:val="0"/>
          <w:sz w:val="22"/>
          <w:szCs w:val="22"/>
          <w:lang w:val="en-GB"/>
        </w:rPr>
        <w:t xml:space="preserve"> </w:t>
      </w:r>
    </w:p>
    <w:p w:rsidR="7F3194C4" w:rsidP="2D4607AB" w:rsidRDefault="7F3194C4" w14:paraId="462B8263" w14:textId="01F6C2F3">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7F3194C4" w:rsidP="2D4607AB" w:rsidRDefault="7F3194C4" w14:paraId="3354E200" w14:textId="1647EE0A">
      <w:pPr>
        <w:spacing w:before="240" w:beforeAutospacing="off" w:after="240" w:afterAutospacing="off"/>
        <w:rPr>
          <w:rFonts w:ascii="Calibri" w:hAnsi="Calibri" w:eastAsia="Calibri" w:cs="Calibri"/>
          <w:b w:val="1"/>
          <w:bCs w:val="1"/>
          <w:noProof w:val="0"/>
          <w:sz w:val="22"/>
          <w:szCs w:val="22"/>
          <w:lang w:val="en-GB"/>
        </w:rPr>
      </w:pPr>
      <w:r w:rsidRPr="2D4607AB" w:rsidR="31F75030">
        <w:rPr>
          <w:rFonts w:ascii="Calibri" w:hAnsi="Calibri" w:eastAsia="Calibri" w:cs="Calibri"/>
          <w:b w:val="1"/>
          <w:bCs w:val="1"/>
          <w:noProof w:val="0"/>
          <w:sz w:val="22"/>
          <w:szCs w:val="22"/>
          <w:lang w:val="en-GB"/>
        </w:rPr>
        <w:t>Selection and Justification of Appropriate Teaching Tool (746 words – increase to 1000, choose a tool)</w:t>
      </w:r>
    </w:p>
    <w:p w:rsidR="7F3194C4" w:rsidP="2D4607AB" w:rsidRDefault="7F3194C4" w14:paraId="3696A02B" w14:textId="7DCA6D78">
      <w:pPr>
        <w:spacing w:before="240" w:beforeAutospacing="off" w:after="240" w:afterAutospacing="off"/>
      </w:pPr>
      <w:r w:rsidRPr="2D4607AB" w:rsidR="31F75030">
        <w:rPr>
          <w:rFonts w:ascii="Calibri" w:hAnsi="Calibri" w:eastAsia="Calibri" w:cs="Calibri"/>
          <w:noProof w:val="0"/>
          <w:sz w:val="22"/>
          <w:szCs w:val="22"/>
          <w:lang w:val="en-GB"/>
        </w:rPr>
        <w:t>In light of the literature on digital innovation and pedagogy, this section explores the selection and justification of a teaching tool that can enhance pedagogy in professional practice. The chosen tool for this purpose is AI, specifically an AI-driven adaptive learning platform. This tool will be evaluated based on its alignment with relevant learning theories, its practical application in teaching, and its potential to improve learning outcomes.</w:t>
      </w:r>
    </w:p>
    <w:p w:rsidR="7F3194C4" w:rsidP="2D4607AB" w:rsidRDefault="7F3194C4" w14:paraId="799A41FE" w14:textId="575BB9C8">
      <w:pPr>
        <w:pStyle w:val="Heading3"/>
        <w:spacing w:before="281" w:beforeAutospacing="off" w:after="281" w:afterAutospacing="off"/>
      </w:pPr>
      <w:r w:rsidRPr="2D4607AB" w:rsidR="31F75030">
        <w:rPr>
          <w:rFonts w:ascii="Calibri" w:hAnsi="Calibri" w:eastAsia="Calibri" w:cs="Calibri"/>
          <w:b w:val="1"/>
          <w:bCs w:val="1"/>
          <w:noProof w:val="0"/>
          <w:sz w:val="28"/>
          <w:szCs w:val="28"/>
          <w:lang w:val="en-GB"/>
        </w:rPr>
        <w:t>AI in Education: Theory and Application</w:t>
      </w:r>
    </w:p>
    <w:p w:rsidR="7F3194C4" w:rsidP="2D4607AB" w:rsidRDefault="7F3194C4" w14:paraId="513F8B25" w14:textId="16EB8A61">
      <w:pPr>
        <w:spacing w:before="240" w:beforeAutospacing="off" w:after="240" w:afterAutospacing="off"/>
      </w:pPr>
      <w:r w:rsidRPr="2D4607AB" w:rsidR="31F75030">
        <w:rPr>
          <w:rFonts w:ascii="Calibri" w:hAnsi="Calibri" w:eastAsia="Calibri" w:cs="Calibri"/>
          <w:noProof w:val="0"/>
          <w:sz w:val="22"/>
          <w:szCs w:val="22"/>
          <w:lang w:val="en-GB"/>
        </w:rPr>
        <w:t>AI-based tools, such as adaptive learning platforms, are designed to personalize the learning experience by adjusting content and instruction to suit individual student needs. The theoretical foundation of adaptive learning aligns with constructivist learning theories, which emphasize the active role of the learner in constructing knowledge (Beetham, 2019). These tools are built on algorithms that track student progress and modify the pace, difficulty, and content of lessons to match each learner’s capabilities. This customization fosters a more student-centered approach to learning, allowing for greater engagement and improved outcomes.</w:t>
      </w:r>
    </w:p>
    <w:p w:rsidR="7F3194C4" w:rsidP="2D4607AB" w:rsidRDefault="7F3194C4" w14:paraId="78E161E7" w14:textId="5A3A6445">
      <w:pPr>
        <w:spacing w:before="240" w:beforeAutospacing="off" w:after="240" w:afterAutospacing="off"/>
      </w:pPr>
      <w:r w:rsidRPr="2D4607AB" w:rsidR="31F75030">
        <w:rPr>
          <w:rFonts w:ascii="Calibri" w:hAnsi="Calibri" w:eastAsia="Calibri" w:cs="Calibri"/>
          <w:noProof w:val="0"/>
          <w:sz w:val="22"/>
          <w:szCs w:val="22"/>
          <w:lang w:val="en-GB"/>
        </w:rPr>
        <w:t>For instance, platforms like Smart Sparrow and Knewton utilize AI algorithms to create personalized learning paths for students. These platforms track a learner's responses, identify areas where they struggle, and provide targeted interventions to help them overcome challenges. Such platforms can also generate real-time analytics for teachers, allowing them to monitor student progress and intervene when necessary. This aligns with Vygotsky’s Zone of Proximal Development, which emphasizes the importance of scaffolding and support in learning (Bates, 2015). Additionally, AI-driven tools support mastery-based learning, where students progress only once they have demonstrated proficiency in a particular area, as opposed to traditional time-based models (Daniela, 2020).</w:t>
      </w:r>
    </w:p>
    <w:p w:rsidR="7F3194C4" w:rsidP="2D4607AB" w:rsidRDefault="7F3194C4" w14:paraId="4E1207EA" w14:textId="0B200E1B">
      <w:pPr>
        <w:spacing w:before="240" w:beforeAutospacing="off" w:after="240" w:afterAutospacing="off"/>
      </w:pPr>
      <w:r w:rsidRPr="2D4607AB" w:rsidR="31F75030">
        <w:rPr>
          <w:rFonts w:ascii="Calibri" w:hAnsi="Calibri" w:eastAsia="Calibri" w:cs="Calibri"/>
          <w:noProof w:val="0"/>
          <w:sz w:val="22"/>
          <w:szCs w:val="22"/>
          <w:lang w:val="en-GB"/>
        </w:rPr>
        <w:t xml:space="preserve">Moreover, AI-driven platforms are increasingly being used in higher education to facilitate individualized learning. The </w:t>
      </w:r>
      <w:r w:rsidRPr="2D4607AB" w:rsidR="31F75030">
        <w:rPr>
          <w:rFonts w:ascii="Calibri" w:hAnsi="Calibri" w:eastAsia="Calibri" w:cs="Calibri"/>
          <w:i w:val="1"/>
          <w:iCs w:val="1"/>
          <w:noProof w:val="0"/>
          <w:sz w:val="22"/>
          <w:szCs w:val="22"/>
          <w:lang w:val="en-GB"/>
        </w:rPr>
        <w:t>Digital 2030</w:t>
      </w:r>
      <w:r w:rsidRPr="2D4607AB" w:rsidR="31F75030">
        <w:rPr>
          <w:rFonts w:ascii="Calibri" w:hAnsi="Calibri" w:eastAsia="Calibri" w:cs="Calibri"/>
          <w:noProof w:val="0"/>
          <w:sz w:val="22"/>
          <w:szCs w:val="22"/>
          <w:lang w:val="en-GB"/>
        </w:rPr>
        <w:t xml:space="preserve"> framework for post-16 education in Wales (Welsh Government, 2019) highlights the role of technology in supporting personalized learning, ensuring that digital tools like AI can meet the diverse needs of students. The ability of AI tools to adapt to various learning styles and paces is particularly important in the context of the growing recognition of the need for digital literacy, as seen in reports by the Welsh Government (2020) and the Children's Commissioner (2020), which emphasize the importance of ensuring equitable access to digital resources.</w:t>
      </w:r>
    </w:p>
    <w:p w:rsidR="7F3194C4" w:rsidP="2D4607AB" w:rsidRDefault="7F3194C4" w14:paraId="16A60957" w14:textId="4261E008">
      <w:pPr>
        <w:pStyle w:val="Heading3"/>
        <w:spacing w:before="281" w:beforeAutospacing="off" w:after="281" w:afterAutospacing="off"/>
      </w:pPr>
      <w:r w:rsidRPr="2D4607AB" w:rsidR="31F75030">
        <w:rPr>
          <w:rFonts w:ascii="Calibri" w:hAnsi="Calibri" w:eastAsia="Calibri" w:cs="Calibri"/>
          <w:b w:val="1"/>
          <w:bCs w:val="1"/>
          <w:noProof w:val="0"/>
          <w:sz w:val="28"/>
          <w:szCs w:val="28"/>
          <w:lang w:val="en-GB"/>
        </w:rPr>
        <w:t>Justification for Selection</w:t>
      </w:r>
    </w:p>
    <w:p w:rsidR="7F3194C4" w:rsidP="2D4607AB" w:rsidRDefault="7F3194C4" w14:paraId="3CF8F5AB" w14:textId="0ADA33AC">
      <w:pPr>
        <w:spacing w:before="240" w:beforeAutospacing="off" w:after="240" w:afterAutospacing="off"/>
      </w:pPr>
      <w:r w:rsidRPr="2D4607AB" w:rsidR="31F75030">
        <w:rPr>
          <w:rFonts w:ascii="Calibri" w:hAnsi="Calibri" w:eastAsia="Calibri" w:cs="Calibri"/>
          <w:noProof w:val="0"/>
          <w:sz w:val="22"/>
          <w:szCs w:val="22"/>
          <w:lang w:val="en-GB"/>
        </w:rPr>
        <w:t>The AI-driven adaptive learning platform was selected because it aligns well with several key pedagogical principles. First, it supports personalized learning, which is crucial for addressing the diverse needs of students in modern classrooms. By adapting to individual learning styles and needs, AI tools can help ensure that all students receive the support they require to succeed. As noted by Quinn (2014), personalized learning promotes deeper engagement and provides opportunities for tailored instructional strategies that meet the unique needs of learners.</w:t>
      </w:r>
    </w:p>
    <w:p w:rsidR="7F3194C4" w:rsidP="2D4607AB" w:rsidRDefault="7F3194C4" w14:paraId="2A9919A2" w14:textId="74C35878">
      <w:pPr>
        <w:spacing w:before="240" w:beforeAutospacing="off" w:after="240" w:afterAutospacing="off"/>
      </w:pPr>
      <w:r w:rsidRPr="2D4607AB" w:rsidR="31F75030">
        <w:rPr>
          <w:rFonts w:ascii="Calibri" w:hAnsi="Calibri" w:eastAsia="Calibri" w:cs="Calibri"/>
          <w:noProof w:val="0"/>
          <w:sz w:val="22"/>
          <w:szCs w:val="22"/>
          <w:lang w:val="en-GB"/>
        </w:rPr>
        <w:t>Second, the tool promotes active learning by encouraging students to engage with content interactively and at their own pace. As students progress, the platform offers feedback and adjusts the content based on their responses, enabling them to take control of their learning. This approach fosters a deeper understanding of material and encourages critical thinking, which is key in developing problem-solving skills (Michalko, 2006). Moreover, it can support the development of critical digital skills, which are vital for success in the digital age (Williamson, 2017).</w:t>
      </w:r>
    </w:p>
    <w:p w:rsidR="7F3194C4" w:rsidP="2D4607AB" w:rsidRDefault="7F3194C4" w14:paraId="73262C39" w14:textId="18DCFD39">
      <w:pPr>
        <w:spacing w:before="240" w:beforeAutospacing="off" w:after="240" w:afterAutospacing="off"/>
      </w:pPr>
      <w:r w:rsidRPr="2D4607AB" w:rsidR="31F75030">
        <w:rPr>
          <w:rFonts w:ascii="Calibri" w:hAnsi="Calibri" w:eastAsia="Calibri" w:cs="Calibri"/>
          <w:noProof w:val="0"/>
          <w:sz w:val="22"/>
          <w:szCs w:val="22"/>
          <w:lang w:val="en-GB"/>
        </w:rPr>
        <w:t>Lastly, the use of AI in education has been shown to improve learning outcomes. Research by Bower (2019) indicates that adaptive learning platforms have a positive impact on student achievement by offering customized learning paths and providing timely feedback. In addition, AI-based tools align with learning theories such as connectivism, which emphasizes the role of technology in building networks of knowledge and facilitating self-directed learning (Siemens, 2005). These capabilities can enhance learning in professional practice by providing a flexible, adaptive environment that supports individual learning goals.</w:t>
      </w:r>
    </w:p>
    <w:p w:rsidR="7F3194C4" w:rsidP="2D4607AB" w:rsidRDefault="7F3194C4" w14:paraId="4608DF59" w14:textId="04276CD0">
      <w:pPr>
        <w:spacing w:before="240" w:beforeAutospacing="off" w:after="240" w:afterAutospacing="off"/>
      </w:pPr>
      <w:r w:rsidRPr="2D4607AB" w:rsidR="31F75030">
        <w:rPr>
          <w:rFonts w:ascii="Calibri" w:hAnsi="Calibri" w:eastAsia="Calibri" w:cs="Calibri"/>
          <w:noProof w:val="0"/>
          <w:sz w:val="22"/>
          <w:szCs w:val="22"/>
          <w:lang w:val="en-GB"/>
        </w:rPr>
        <w:t xml:space="preserve">Furthermore, AI platforms offer scalability, an essential feature for large-scale educational initiatives, such as those outlined in the Welsh Government's </w:t>
      </w:r>
      <w:r w:rsidRPr="2D4607AB" w:rsidR="31F75030">
        <w:rPr>
          <w:rFonts w:ascii="Calibri" w:hAnsi="Calibri" w:eastAsia="Calibri" w:cs="Calibri"/>
          <w:i w:val="1"/>
          <w:iCs w:val="1"/>
          <w:noProof w:val="0"/>
          <w:sz w:val="22"/>
          <w:szCs w:val="22"/>
          <w:lang w:val="en-GB"/>
        </w:rPr>
        <w:t>Digital Strategy</w:t>
      </w:r>
      <w:r w:rsidRPr="2D4607AB" w:rsidR="31F75030">
        <w:rPr>
          <w:rFonts w:ascii="Calibri" w:hAnsi="Calibri" w:eastAsia="Calibri" w:cs="Calibri"/>
          <w:noProof w:val="0"/>
          <w:sz w:val="22"/>
          <w:szCs w:val="22"/>
          <w:lang w:val="en-GB"/>
        </w:rPr>
        <w:t xml:space="preserve"> (2020), which focuses on the integration of digital skills across the education sector. These tools are not only scalable but can also be used to bridge the digital divide by offering personalized learning paths that accommodate students from diverse socioeconomic backgrounds (Selwyn, 2016). As highlighted by the </w:t>
      </w:r>
      <w:r w:rsidRPr="2D4607AB" w:rsidR="31F75030">
        <w:rPr>
          <w:rFonts w:ascii="Calibri" w:hAnsi="Calibri" w:eastAsia="Calibri" w:cs="Calibri"/>
          <w:i w:val="1"/>
          <w:iCs w:val="1"/>
          <w:noProof w:val="0"/>
          <w:sz w:val="22"/>
          <w:szCs w:val="22"/>
          <w:lang w:val="en-GB"/>
        </w:rPr>
        <w:t>Digital Inclusion</w:t>
      </w:r>
      <w:r w:rsidRPr="2D4607AB" w:rsidR="31F75030">
        <w:rPr>
          <w:rFonts w:ascii="Calibri" w:hAnsi="Calibri" w:eastAsia="Calibri" w:cs="Calibri"/>
          <w:noProof w:val="0"/>
          <w:sz w:val="22"/>
          <w:szCs w:val="22"/>
          <w:lang w:val="en-GB"/>
        </w:rPr>
        <w:t xml:space="preserve"> strategy (Welsh Government, 2020), equitable access to these technologies is crucial in addressing the growing digital skills gap, particularly in areas where learners may lack access to basic digital skills (Business News Wales, 2020).</w:t>
      </w:r>
    </w:p>
    <w:p w:rsidR="7F3194C4" w:rsidP="2D4607AB" w:rsidRDefault="7F3194C4" w14:paraId="798EDB5B" w14:textId="77123713">
      <w:pPr>
        <w:spacing w:before="240" w:beforeAutospacing="off" w:after="240" w:afterAutospacing="off"/>
      </w:pPr>
      <w:r w:rsidRPr="2D4607AB" w:rsidR="31F75030">
        <w:rPr>
          <w:rFonts w:ascii="Calibri" w:hAnsi="Calibri" w:eastAsia="Calibri" w:cs="Calibri"/>
          <w:noProof w:val="0"/>
          <w:sz w:val="22"/>
          <w:szCs w:val="22"/>
          <w:lang w:val="en-GB"/>
        </w:rPr>
        <w:t xml:space="preserve">The AI-driven adaptive learning platform is, therefore, a valuable tool for enhancing pedagogy in professional practice, as it aligns with current pedagogical theories, supports the development of essential skills, and has </w:t>
      </w:r>
      <w:r w:rsidRPr="2D4607AB" w:rsidR="31F75030">
        <w:rPr>
          <w:rFonts w:ascii="Calibri" w:hAnsi="Calibri" w:eastAsia="Calibri" w:cs="Calibri"/>
          <w:noProof w:val="0"/>
          <w:sz w:val="22"/>
          <w:szCs w:val="22"/>
          <w:lang w:val="en-GB"/>
        </w:rPr>
        <w:t>demonstrated</w:t>
      </w:r>
      <w:r w:rsidRPr="2D4607AB" w:rsidR="31F75030">
        <w:rPr>
          <w:rFonts w:ascii="Calibri" w:hAnsi="Calibri" w:eastAsia="Calibri" w:cs="Calibri"/>
          <w:noProof w:val="0"/>
          <w:sz w:val="22"/>
          <w:szCs w:val="22"/>
          <w:lang w:val="en-GB"/>
        </w:rPr>
        <w:t xml:space="preserve"> potential to improve learning outcomes in both traditional and digital learning environments.</w:t>
      </w:r>
    </w:p>
    <w:p w:rsidR="7F3194C4" w:rsidP="2D4607AB" w:rsidRDefault="7F3194C4" w14:paraId="4777CD7E" w14:textId="11FD4BC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7F3194C4" w:rsidP="2D4607AB" w:rsidRDefault="7F3194C4" w14:paraId="728C3D23" w14:textId="551D829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1"/>
          <w:bCs w:val="1"/>
          <w:i w:val="0"/>
          <w:iCs w:val="0"/>
          <w:caps w:val="0"/>
          <w:smallCaps w:val="0"/>
          <w:noProof w:val="0"/>
          <w:color w:val="000000" w:themeColor="text1" w:themeTint="FF" w:themeShade="FF"/>
          <w:sz w:val="22"/>
          <w:szCs w:val="22"/>
          <w:lang w:val="en-GB"/>
        </w:rPr>
        <w:t>Evaluation and Reflection (1,000 words)</w:t>
      </w:r>
    </w:p>
    <w:p w:rsidR="7F3194C4" w:rsidP="2D4607AB" w:rsidRDefault="7F3194C4" w14:paraId="54AEF911" w14:textId="6C8D79FE">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The implementation of the AI-driven adaptive learning platform was tested with a group of students in a higher education setting. The goal of the implementation was to assess its impact on student engagement, learning outcomes, and overall teaching effectiveness.</w:t>
      </w:r>
    </w:p>
    <w:p w:rsidR="7F3194C4" w:rsidP="2D4607AB" w:rsidRDefault="7F3194C4" w14:paraId="70DBDC59" w14:textId="6AE4400E">
      <w:pPr>
        <w:pStyle w:val="Heading3"/>
        <w:keepNext w:val="1"/>
        <w:keepLines w:val="1"/>
        <w:spacing w:before="281" w:beforeAutospacing="off" w:after="281" w:afterAutospacing="off"/>
        <w:rPr>
          <w:rFonts w:ascii="Calibri" w:hAnsi="Calibri" w:eastAsia="Calibri" w:cs="Calibri"/>
          <w:b w:val="0"/>
          <w:bCs w:val="0"/>
          <w:i w:val="0"/>
          <w:iCs w:val="0"/>
          <w:caps w:val="0"/>
          <w:smallCaps w:val="0"/>
          <w:noProof w:val="0"/>
          <w:color w:val="2F5496"/>
          <w:sz w:val="28"/>
          <w:szCs w:val="28"/>
          <w:lang w:val="en-US"/>
        </w:rPr>
      </w:pPr>
      <w:r w:rsidRPr="2D4607AB" w:rsidR="1DB11729">
        <w:rPr>
          <w:rFonts w:ascii="Calibri" w:hAnsi="Calibri" w:eastAsia="Calibri" w:cs="Calibri"/>
          <w:b w:val="1"/>
          <w:bCs w:val="1"/>
          <w:i w:val="0"/>
          <w:iCs w:val="0"/>
          <w:caps w:val="0"/>
          <w:smallCaps w:val="0"/>
          <w:noProof w:val="0"/>
          <w:color w:val="2F5496"/>
          <w:sz w:val="28"/>
          <w:szCs w:val="28"/>
          <w:lang w:val="en-GB"/>
        </w:rPr>
        <w:t>Evaluation of the AI Tool</w:t>
      </w:r>
    </w:p>
    <w:p w:rsidR="7F3194C4" w:rsidP="2D4607AB" w:rsidRDefault="7F3194C4" w14:paraId="07A1E4AB" w14:textId="4B1F101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After several weeks of using the platform, feedback from students indicated that they appreciated the personalized nature of the tool. Many students reported feeling more motivated and engaged, as the platform allowed them to progress at their own pace and provided immediate feedback on their performance. Moreover, students felt that the content was tailored to their individual learning needs, which helped them grasp difficult concepts more effectively.</w:t>
      </w:r>
    </w:p>
    <w:p w:rsidR="7F3194C4" w:rsidP="2D4607AB" w:rsidRDefault="7F3194C4" w14:paraId="1FF32552" w14:textId="41F6490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Teachers also found the tool beneficial in monitoring student progress. The real-time analytics provided by the platform allowed them to identify struggling students and offer targeted support. However, some teachers expressed concerns about the potential over-reliance on technology and the need for a balanced approach that integrates traditional teaching methods with digital tools.</w:t>
      </w:r>
    </w:p>
    <w:p w:rsidR="7F3194C4" w:rsidP="2D4607AB" w:rsidRDefault="7F3194C4" w14:paraId="2CE891EA" w14:textId="78EC7ABA">
      <w:pPr>
        <w:pStyle w:val="Heading3"/>
        <w:keepNext w:val="1"/>
        <w:keepLines w:val="1"/>
        <w:spacing w:before="281" w:beforeAutospacing="off" w:after="281" w:afterAutospacing="off"/>
        <w:rPr>
          <w:rFonts w:ascii="Calibri" w:hAnsi="Calibri" w:eastAsia="Calibri" w:cs="Calibri"/>
          <w:b w:val="0"/>
          <w:bCs w:val="0"/>
          <w:i w:val="0"/>
          <w:iCs w:val="0"/>
          <w:caps w:val="0"/>
          <w:smallCaps w:val="0"/>
          <w:noProof w:val="0"/>
          <w:color w:val="2F5496"/>
          <w:sz w:val="28"/>
          <w:szCs w:val="28"/>
          <w:lang w:val="en-US"/>
        </w:rPr>
      </w:pPr>
      <w:r w:rsidRPr="2D4607AB" w:rsidR="1DB11729">
        <w:rPr>
          <w:rFonts w:ascii="Calibri" w:hAnsi="Calibri" w:eastAsia="Calibri" w:cs="Calibri"/>
          <w:b w:val="1"/>
          <w:bCs w:val="1"/>
          <w:i w:val="0"/>
          <w:iCs w:val="0"/>
          <w:caps w:val="0"/>
          <w:smallCaps w:val="0"/>
          <w:noProof w:val="0"/>
          <w:color w:val="2F5496"/>
          <w:sz w:val="28"/>
          <w:szCs w:val="28"/>
          <w:lang w:val="en-GB"/>
        </w:rPr>
        <w:t>Reflection on Future Practice</w:t>
      </w:r>
    </w:p>
    <w:p w:rsidR="7F3194C4" w:rsidP="2D4607AB" w:rsidRDefault="7F3194C4" w14:paraId="6192C775" w14:textId="25B4BC33">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The implementation of the AI-driven platform revealed several insights that will inform future teaching practice. First, it became evident that while AI tools can enhance learning, they should not replace the teacher’s role</w:t>
      </w:r>
    </w:p>
    <w:p w:rsidR="7F3194C4" w:rsidP="2D4607AB" w:rsidRDefault="7F3194C4" w14:paraId="0EF2DC08" w14:textId="50E4F40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 Instead, they should be used as a supplement to traditional methods, providing personalized learning experiences while still maintaining a human connection.</w:t>
      </w:r>
    </w:p>
    <w:p w:rsidR="7F3194C4" w:rsidP="2D4607AB" w:rsidRDefault="7F3194C4" w14:paraId="2C6D7C57" w14:textId="34BEF4D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Second, the experience highlighted the importance of continuous professional development for educators in the effective use of digital tools. Teachers must be equipped with the knowledge and skills to integrate AI and other emerging technologies into their pedagogy.</w:t>
      </w:r>
    </w:p>
    <w:p w:rsidR="7F3194C4" w:rsidP="2D4607AB" w:rsidRDefault="7F3194C4" w14:paraId="31DBB7C9" w14:textId="4147FE0C">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Lastly, the implementation of the AI tool reinforced the need for ongoing reflection and adaptation. As technology evolves, so too must teaching practices. Future iterations of the platform could incorporate additional features, such as social learning components or more advanced data analytics, to further enhance the learning experience.</w:t>
      </w:r>
    </w:p>
    <w:p w:rsidR="7F3194C4" w:rsidP="2D4607AB" w:rsidRDefault="7F3194C4" w14:paraId="317AE01E" w14:textId="30AE834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1"/>
          <w:bCs w:val="1"/>
          <w:i w:val="0"/>
          <w:iCs w:val="0"/>
          <w:caps w:val="0"/>
          <w:smallCaps w:val="0"/>
          <w:noProof w:val="0"/>
          <w:color w:val="000000" w:themeColor="text1" w:themeTint="FF" w:themeShade="FF"/>
          <w:sz w:val="22"/>
          <w:szCs w:val="22"/>
          <w:lang w:val="en-GB"/>
        </w:rPr>
        <w:t>Conclusion</w:t>
      </w:r>
    </w:p>
    <w:p w:rsidR="7F3194C4" w:rsidP="2D4607AB" w:rsidRDefault="7F3194C4" w14:paraId="6BC3BF5C" w14:textId="6F5F963C">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2D4607AB" w:rsidR="1DB11729">
        <w:rPr>
          <w:rFonts w:ascii="Calibri" w:hAnsi="Calibri" w:eastAsia="Calibri" w:cs="Calibri"/>
          <w:b w:val="0"/>
          <w:bCs w:val="0"/>
          <w:i w:val="0"/>
          <w:iCs w:val="0"/>
          <w:caps w:val="0"/>
          <w:smallCaps w:val="0"/>
          <w:noProof w:val="0"/>
          <w:color w:val="000000" w:themeColor="text1" w:themeTint="FF" w:themeShade="FF"/>
          <w:sz w:val="22"/>
          <w:szCs w:val="22"/>
          <w:lang w:val="en-GB"/>
        </w:rPr>
        <w:t>The use of emerging technologies, particularly AI, in pedagogy has the potential to transform teaching and learning in profound ways. By providing personalized, adaptive learning experiences, these tools can support diverse learners and improve educational outcomes. However, it is essential to approach the integration of these technologies with careful consideration of ethical implications, equity, and the role of the teacher. Moving forward, a balanced approach that combines innovative tools with sound pedagogical practices will be key to ensuring the effectiveness of digital innovation in education.</w:t>
      </w:r>
    </w:p>
    <w:p w:rsidR="7F3194C4" w:rsidP="2D4607AB" w:rsidRDefault="7F3194C4" w14:paraId="14BC0DDE" w14:textId="7AF6F8DF">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194C4" w:rsidP="2D4607AB" w:rsidRDefault="7F3194C4" w14:paraId="2E7199D2" w14:textId="3FF76BA8">
      <w:pPr>
        <w:pStyle w:val="Normal"/>
        <w:spacing w:before="240" w:beforeAutospacing="off" w:after="240" w:afterAutospacing="off"/>
        <w:rPr>
          <w:rFonts w:ascii="Calibri" w:hAnsi="Calibri" w:eastAsia="Calibri" w:cs="Calibri"/>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f050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D9BC0B"/>
    <w:rsid w:val="00C73982"/>
    <w:rsid w:val="01D934AF"/>
    <w:rsid w:val="0292AC14"/>
    <w:rsid w:val="02D336C9"/>
    <w:rsid w:val="068BA041"/>
    <w:rsid w:val="07CA76A5"/>
    <w:rsid w:val="08ADDCE9"/>
    <w:rsid w:val="10ED2BC0"/>
    <w:rsid w:val="124DC583"/>
    <w:rsid w:val="13C30464"/>
    <w:rsid w:val="14DD114F"/>
    <w:rsid w:val="1580496E"/>
    <w:rsid w:val="1765683F"/>
    <w:rsid w:val="1ADCE97A"/>
    <w:rsid w:val="1AFA710C"/>
    <w:rsid w:val="1C43CCF1"/>
    <w:rsid w:val="1D662980"/>
    <w:rsid w:val="1DB11729"/>
    <w:rsid w:val="1EEBEB18"/>
    <w:rsid w:val="1F269B30"/>
    <w:rsid w:val="208D3E1C"/>
    <w:rsid w:val="22C4BA74"/>
    <w:rsid w:val="240DFAC2"/>
    <w:rsid w:val="24441D90"/>
    <w:rsid w:val="2A3BCFE6"/>
    <w:rsid w:val="2A40B4FC"/>
    <w:rsid w:val="2B4D2534"/>
    <w:rsid w:val="2B6E09F2"/>
    <w:rsid w:val="2B8F7EE8"/>
    <w:rsid w:val="2D4607AB"/>
    <w:rsid w:val="2F6A191E"/>
    <w:rsid w:val="30680861"/>
    <w:rsid w:val="31F75030"/>
    <w:rsid w:val="338BEF76"/>
    <w:rsid w:val="34D4D453"/>
    <w:rsid w:val="34E30DEF"/>
    <w:rsid w:val="39DEE9ED"/>
    <w:rsid w:val="3BF0F2AF"/>
    <w:rsid w:val="3CBA53BB"/>
    <w:rsid w:val="4013819C"/>
    <w:rsid w:val="41662809"/>
    <w:rsid w:val="416D7C77"/>
    <w:rsid w:val="42F58363"/>
    <w:rsid w:val="431C9C86"/>
    <w:rsid w:val="44268FA5"/>
    <w:rsid w:val="451A0298"/>
    <w:rsid w:val="4564C2B8"/>
    <w:rsid w:val="488ED2A0"/>
    <w:rsid w:val="48B25C64"/>
    <w:rsid w:val="4B3F4B3B"/>
    <w:rsid w:val="4C0BC5CA"/>
    <w:rsid w:val="4C581286"/>
    <w:rsid w:val="4D263971"/>
    <w:rsid w:val="4D27169D"/>
    <w:rsid w:val="4E1E68E4"/>
    <w:rsid w:val="516B71BE"/>
    <w:rsid w:val="53BED633"/>
    <w:rsid w:val="54059D24"/>
    <w:rsid w:val="5BB9EAB6"/>
    <w:rsid w:val="609474DA"/>
    <w:rsid w:val="611F743E"/>
    <w:rsid w:val="63CA65E9"/>
    <w:rsid w:val="668B296C"/>
    <w:rsid w:val="67CB0147"/>
    <w:rsid w:val="69B82EC6"/>
    <w:rsid w:val="6BDB96E5"/>
    <w:rsid w:val="6EA311EE"/>
    <w:rsid w:val="71D9BC0B"/>
    <w:rsid w:val="726BA9B8"/>
    <w:rsid w:val="7353F070"/>
    <w:rsid w:val="7388A841"/>
    <w:rsid w:val="750500C8"/>
    <w:rsid w:val="75C6DA4E"/>
    <w:rsid w:val="786DCC0B"/>
    <w:rsid w:val="79CC7393"/>
    <w:rsid w:val="7EBB6751"/>
    <w:rsid w:val="7F319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9BC0B"/>
  <w15:chartTrackingRefBased/>
  <w15:docId w15:val="{3EA9CB88-577D-49ED-B0EC-1DA5A795E4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F3194C4"/>
    <w:pPr>
      <w:spacing/>
      <w:ind w:left="720"/>
      <w:contextualSpacing/>
    </w:pPr>
  </w:style>
  <w:style w:type="character" w:styleId="Hyperlink">
    <w:uiPriority w:val="99"/>
    <w:name w:val="Hyperlink"/>
    <w:basedOn w:val="DefaultParagraphFont"/>
    <w:unhideWhenUsed/>
    <w:rsid w:val="2D4607A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83f9c963e7f4b6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2024-11-26T20:39:18.1034343Z</dcterms:created>
  <dcterms:modified xsi:type="dcterms:W3CDTF">2024-11-27T13:43:13.1120150Z</dcterms:modified>
  <dc:creator>Erin Heymann (1906811)</dc:creator>
  <lastModifiedBy>Erin Heymann (1906811)</lastModifiedBy>
</coreProperties>
</file>