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1367F" w14:textId="77777777" w:rsidR="00D3239D" w:rsidRDefault="00D3239D" w:rsidP="00D3239D">
      <w:r>
        <w:t>Proposal</w:t>
      </w:r>
    </w:p>
    <w:p w14:paraId="58A47D34" w14:textId="77777777" w:rsidR="00D3239D" w:rsidRDefault="00D3239D" w:rsidP="00D3239D">
      <w:pPr>
        <w:rPr>
          <w:rFonts w:ascii="Times New Roman" w:hAnsi="Times New Roman" w:cs="Times New Roman"/>
          <w:sz w:val="24"/>
          <w:szCs w:val="24"/>
        </w:rPr>
      </w:pPr>
      <w:r>
        <w:rPr>
          <w:rFonts w:ascii="Times New Roman" w:hAnsi="Times New Roman" w:cs="Times New Roman"/>
          <w:b/>
          <w:bCs/>
          <w:i/>
          <w:iCs/>
          <w:sz w:val="24"/>
          <w:szCs w:val="24"/>
        </w:rPr>
        <w:t>Topic</w:t>
      </w:r>
      <w:r>
        <w:t xml:space="preserve">: </w:t>
      </w:r>
      <w:r>
        <w:rPr>
          <w:rFonts w:ascii="Times New Roman" w:hAnsi="Times New Roman" w:cs="Times New Roman"/>
          <w:sz w:val="24"/>
          <w:szCs w:val="24"/>
        </w:rPr>
        <w:t>The potential of the Circular Economy in helping St. Vincent and the Grenadines’ Solid Waste Management Unit achieve Sustainable Development Goals.</w:t>
      </w:r>
    </w:p>
    <w:p w14:paraId="39641047" w14:textId="77777777" w:rsidR="00D3239D" w:rsidRDefault="00D3239D" w:rsidP="00D3239D">
      <w:pPr>
        <w:rPr>
          <w:rFonts w:ascii="Times New Roman" w:hAnsi="Times New Roman" w:cs="Times New Roman"/>
          <w:b/>
          <w:bCs/>
          <w:i/>
          <w:iCs/>
          <w:sz w:val="24"/>
          <w:szCs w:val="24"/>
        </w:rPr>
      </w:pPr>
      <w:r>
        <w:rPr>
          <w:rFonts w:ascii="Times New Roman" w:hAnsi="Times New Roman" w:cs="Times New Roman"/>
          <w:b/>
          <w:bCs/>
          <w:i/>
          <w:iCs/>
          <w:sz w:val="24"/>
          <w:szCs w:val="24"/>
        </w:rPr>
        <w:t>Introduction</w:t>
      </w:r>
    </w:p>
    <w:p w14:paraId="4ED14C35" w14:textId="77777777" w:rsidR="00D3239D" w:rsidRDefault="00D3239D" w:rsidP="00D3239D">
      <w:pPr>
        <w:rPr>
          <w:rFonts w:ascii="Times New Roman" w:hAnsi="Times New Roman" w:cs="Times New Roman"/>
          <w:b/>
          <w:bCs/>
          <w:sz w:val="24"/>
          <w:szCs w:val="24"/>
          <w:u w:val="single"/>
        </w:rPr>
      </w:pPr>
      <w:r>
        <w:rPr>
          <w:rFonts w:ascii="Times New Roman" w:hAnsi="Times New Roman" w:cs="Times New Roman"/>
          <w:b/>
          <w:bCs/>
          <w:sz w:val="24"/>
          <w:szCs w:val="24"/>
          <w:u w:val="single"/>
        </w:rPr>
        <w:t>Background of St. Vincent and the Grenadines.</w:t>
      </w:r>
    </w:p>
    <w:p w14:paraId="4E6573FB" w14:textId="77777777" w:rsidR="00D3239D" w:rsidRDefault="00D3239D" w:rsidP="00D3239D">
      <w:pPr>
        <w:rPr>
          <w:rFonts w:ascii="Times New Roman" w:hAnsi="Times New Roman" w:cs="Times New Roman"/>
          <w:sz w:val="24"/>
          <w:szCs w:val="24"/>
        </w:rPr>
      </w:pPr>
      <w:r>
        <w:rPr>
          <w:rFonts w:ascii="Times New Roman" w:hAnsi="Times New Roman" w:cs="Times New Roman"/>
          <w:sz w:val="24"/>
          <w:szCs w:val="24"/>
        </w:rPr>
        <w:t>In the heart of the Caribbean Sea lies a hidden gem, an archipelago of unparallel beauty and cultural richness, St. Vincent band the Grenadines (SVG). This sovereign nation, composed of 32 islands, is a captivating tapestry of volcanic landscapes, pristine beaches, and a vibrant mix of traditions.</w:t>
      </w:r>
    </w:p>
    <w:p w14:paraId="251F3F26" w14:textId="357EF1B4" w:rsidR="00D3239D"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The main island, St. Vincent, rises majestically with the iconic La Soufriere volcano dominating its skyline. This volcanic origin has </w:t>
      </w:r>
      <w:r w:rsidR="00C53C44">
        <w:rPr>
          <w:rFonts w:ascii="Times New Roman" w:hAnsi="Times New Roman" w:cs="Times New Roman"/>
          <w:sz w:val="24"/>
          <w:szCs w:val="24"/>
        </w:rPr>
        <w:t>given</w:t>
      </w:r>
      <w:r>
        <w:rPr>
          <w:rFonts w:ascii="Times New Roman" w:hAnsi="Times New Roman" w:cs="Times New Roman"/>
          <w:sz w:val="24"/>
          <w:szCs w:val="24"/>
        </w:rPr>
        <w:t xml:space="preserve"> the </w:t>
      </w:r>
      <w:r w:rsidR="000C531F">
        <w:rPr>
          <w:rFonts w:ascii="Times New Roman" w:hAnsi="Times New Roman" w:cs="Times New Roman"/>
          <w:sz w:val="24"/>
          <w:szCs w:val="24"/>
        </w:rPr>
        <w:t>island fertile</w:t>
      </w:r>
      <w:r>
        <w:rPr>
          <w:rFonts w:ascii="Times New Roman" w:hAnsi="Times New Roman" w:cs="Times New Roman"/>
          <w:sz w:val="24"/>
          <w:szCs w:val="24"/>
        </w:rPr>
        <w:t xml:space="preserve"> soils, contributing to its lush tropical rainforest and vibrant biodiversity. The Grenadines, a string of smaller islands and cay</w:t>
      </w:r>
      <w:r w:rsidR="000C531F">
        <w:rPr>
          <w:rFonts w:ascii="Times New Roman" w:hAnsi="Times New Roman" w:cs="Times New Roman"/>
          <w:sz w:val="24"/>
          <w:szCs w:val="24"/>
        </w:rPr>
        <w:t>s</w:t>
      </w:r>
      <w:r>
        <w:rPr>
          <w:rFonts w:ascii="Times New Roman" w:hAnsi="Times New Roman" w:cs="Times New Roman"/>
          <w:sz w:val="24"/>
          <w:szCs w:val="24"/>
        </w:rPr>
        <w:t xml:space="preserve">, extend southward, each offering a unique charm, from the bustling </w:t>
      </w:r>
      <w:proofErr w:type="spellStart"/>
      <w:r>
        <w:rPr>
          <w:rFonts w:ascii="Times New Roman" w:hAnsi="Times New Roman" w:cs="Times New Roman"/>
          <w:sz w:val="24"/>
          <w:szCs w:val="24"/>
        </w:rPr>
        <w:t>Bequia</w:t>
      </w:r>
      <w:proofErr w:type="spellEnd"/>
      <w:r>
        <w:rPr>
          <w:rFonts w:ascii="Times New Roman" w:hAnsi="Times New Roman" w:cs="Times New Roman"/>
          <w:sz w:val="24"/>
          <w:szCs w:val="24"/>
        </w:rPr>
        <w:t xml:space="preserve"> to the exclusive Mustique. </w:t>
      </w:r>
    </w:p>
    <w:p w14:paraId="3AC65BEA" w14:textId="620B51C4" w:rsidR="00D3239D" w:rsidRDefault="00D3239D" w:rsidP="00D3239D">
      <w:pPr>
        <w:rPr>
          <w:rFonts w:ascii="Times New Roman" w:hAnsi="Times New Roman" w:cs="Times New Roman"/>
          <w:sz w:val="24"/>
          <w:szCs w:val="24"/>
        </w:rPr>
      </w:pPr>
      <w:r>
        <w:rPr>
          <w:rFonts w:ascii="Times New Roman" w:hAnsi="Times New Roman" w:cs="Times New Roman"/>
          <w:sz w:val="24"/>
          <w:szCs w:val="24"/>
        </w:rPr>
        <w:t>Beyond its natural allure, SVG pulsate</w:t>
      </w:r>
      <w:r w:rsidR="000C531F">
        <w:rPr>
          <w:rFonts w:ascii="Times New Roman" w:hAnsi="Times New Roman" w:cs="Times New Roman"/>
          <w:sz w:val="24"/>
          <w:szCs w:val="24"/>
        </w:rPr>
        <w:t>s</w:t>
      </w:r>
      <w:r>
        <w:rPr>
          <w:rFonts w:ascii="Times New Roman" w:hAnsi="Times New Roman" w:cs="Times New Roman"/>
          <w:sz w:val="24"/>
          <w:szCs w:val="24"/>
        </w:rPr>
        <w:t xml:space="preserve"> with a cultural rhythm that echoes the fusion of African, European and indigenous Carib influences. The history of resistance, adoption and resilience is woven into the fabric of the islands, finding expression of vibrant festivals like Vincy Mas and Nine Mornings.</w:t>
      </w:r>
    </w:p>
    <w:p w14:paraId="37F6FA22" w14:textId="1E76B411" w:rsidR="00D3239D"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The juxtaposition of </w:t>
      </w:r>
      <w:r w:rsidR="00C53C44">
        <w:rPr>
          <w:rFonts w:ascii="Times New Roman" w:hAnsi="Times New Roman" w:cs="Times New Roman"/>
          <w:sz w:val="24"/>
          <w:szCs w:val="24"/>
        </w:rPr>
        <w:t>exquisite</w:t>
      </w:r>
      <w:r>
        <w:rPr>
          <w:rFonts w:ascii="Times New Roman" w:hAnsi="Times New Roman" w:cs="Times New Roman"/>
          <w:sz w:val="24"/>
          <w:szCs w:val="24"/>
        </w:rPr>
        <w:t xml:space="preserve"> natural landscape, cultural diversity and </w:t>
      </w:r>
      <w:r w:rsidR="00C53C44">
        <w:rPr>
          <w:rFonts w:ascii="Times New Roman" w:hAnsi="Times New Roman" w:cs="Times New Roman"/>
          <w:sz w:val="24"/>
          <w:szCs w:val="24"/>
        </w:rPr>
        <w:t>promising</w:t>
      </w:r>
      <w:r>
        <w:rPr>
          <w:rFonts w:ascii="Times New Roman" w:hAnsi="Times New Roman" w:cs="Times New Roman"/>
          <w:sz w:val="24"/>
          <w:szCs w:val="24"/>
        </w:rPr>
        <w:t xml:space="preserve"> economic activities has brought to the forefront the critical challenge of solid waste management. As the island seeks to balance environmental conservation with economic development, the synergy between sustainable practices and waste management becomes imperative. This exploration delves into the solid waste landscape of SVG, addressing challenges faced, current initiatives and the pathway toward a more sustainable future</w:t>
      </w:r>
      <w:r w:rsidR="000C531F">
        <w:rPr>
          <w:rFonts w:ascii="Times New Roman" w:hAnsi="Times New Roman" w:cs="Times New Roman"/>
          <w:sz w:val="24"/>
          <w:szCs w:val="24"/>
        </w:rPr>
        <w:t xml:space="preserve"> with the needed use of the Circular Economy.</w:t>
      </w:r>
    </w:p>
    <w:p w14:paraId="18E6B429" w14:textId="77777777" w:rsidR="00D3239D" w:rsidRDefault="00D3239D" w:rsidP="00D3239D">
      <w:pPr>
        <w:rPr>
          <w:rFonts w:ascii="Times New Roman" w:hAnsi="Times New Roman" w:cs="Times New Roman"/>
          <w:sz w:val="24"/>
          <w:szCs w:val="24"/>
        </w:rPr>
      </w:pPr>
    </w:p>
    <w:p w14:paraId="659A3925" w14:textId="77777777" w:rsidR="00D3239D" w:rsidRDefault="00D3239D" w:rsidP="00D3239D">
      <w:pPr>
        <w:rPr>
          <w:rFonts w:ascii="Times New Roman" w:hAnsi="Times New Roman" w:cs="Times New Roman"/>
          <w:b/>
          <w:bCs/>
          <w:sz w:val="24"/>
          <w:szCs w:val="24"/>
          <w:u w:val="single"/>
        </w:rPr>
      </w:pPr>
      <w:r>
        <w:rPr>
          <w:rFonts w:ascii="Times New Roman" w:hAnsi="Times New Roman" w:cs="Times New Roman"/>
          <w:b/>
          <w:bCs/>
          <w:sz w:val="24"/>
          <w:szCs w:val="24"/>
          <w:u w:val="single"/>
        </w:rPr>
        <w:t>Central Water and Sewage Authority</w:t>
      </w:r>
    </w:p>
    <w:p w14:paraId="688F3FBE" w14:textId="77777777" w:rsidR="00D3239D" w:rsidRDefault="00D3239D" w:rsidP="00D3239D">
      <w:pPr>
        <w:pStyle w:val="font9"/>
        <w:spacing w:before="0" w:beforeAutospacing="0" w:after="0" w:afterAutospacing="0" w:line="336" w:lineRule="atLeast"/>
        <w:jc w:val="both"/>
        <w:textAlignment w:val="baseline"/>
        <w:rPr>
          <w:color w:val="000000"/>
        </w:rPr>
      </w:pPr>
      <w:r>
        <w:rPr>
          <w:rStyle w:val="wixui-rich-texttext"/>
          <w:color w:val="000000"/>
          <w:bdr w:val="none" w:sz="0" w:space="0" w:color="auto" w:frame="1"/>
        </w:rPr>
        <w:t>The Central Water and Sewerage Authority (CWSA) has operated as a statutory body since 1970. Earliest recollection prior to 1970 however, place the operations of the CWSA as an arm of the Public Works Department, under the designation of the “Water Works”.  With supervisory authority from the Superintendent of Public Works, Water Works as it was known at that time was directly managed by an Engineering Assistant.</w:t>
      </w:r>
    </w:p>
    <w:p w14:paraId="5A8D4D2A" w14:textId="77777777" w:rsidR="00D3239D" w:rsidRDefault="00D3239D" w:rsidP="00D3239D">
      <w:pPr>
        <w:pStyle w:val="font9"/>
        <w:spacing w:before="0" w:beforeAutospacing="0" w:after="0" w:afterAutospacing="0" w:line="336" w:lineRule="atLeast"/>
        <w:jc w:val="both"/>
        <w:textAlignment w:val="baseline"/>
        <w:rPr>
          <w:color w:val="000000"/>
        </w:rPr>
      </w:pPr>
      <w:r>
        <w:rPr>
          <w:rStyle w:val="wixguard"/>
          <w:color w:val="000000"/>
          <w:bdr w:val="none" w:sz="0" w:space="0" w:color="auto" w:frame="1"/>
        </w:rPr>
        <w:t>​</w:t>
      </w:r>
    </w:p>
    <w:p w14:paraId="79D628BC" w14:textId="7A7C5A81" w:rsidR="00D3239D" w:rsidRDefault="00D3239D" w:rsidP="00D3239D">
      <w:pPr>
        <w:pStyle w:val="font9"/>
        <w:spacing w:before="0" w:beforeAutospacing="0" w:after="0" w:afterAutospacing="0" w:line="336" w:lineRule="atLeast"/>
        <w:jc w:val="both"/>
        <w:textAlignment w:val="baseline"/>
        <w:rPr>
          <w:rStyle w:val="wixui-rich-texttext"/>
        </w:rPr>
      </w:pPr>
      <w:r>
        <w:rPr>
          <w:rStyle w:val="wixui-rich-texttext"/>
          <w:color w:val="000000"/>
          <w:bdr w:val="none" w:sz="0" w:space="0" w:color="auto" w:frame="1"/>
        </w:rPr>
        <w:t>With Technical and financial backing from PAHO and CEDEA, the Central Water and Sewerage Authority was formally born in 1970 with the commencement of the most senior position being that of General Manager.</w:t>
      </w:r>
    </w:p>
    <w:p w14:paraId="27E5A464" w14:textId="77777777" w:rsidR="00D3239D" w:rsidRDefault="00D3239D" w:rsidP="00D3239D">
      <w:pPr>
        <w:pStyle w:val="font9"/>
        <w:spacing w:before="0" w:beforeAutospacing="0" w:after="0" w:afterAutospacing="0" w:line="336" w:lineRule="atLeast"/>
        <w:jc w:val="both"/>
        <w:textAlignment w:val="baseline"/>
        <w:rPr>
          <w:color w:val="000000"/>
        </w:rPr>
      </w:pPr>
    </w:p>
    <w:p w14:paraId="2FE05FFA" w14:textId="77777777" w:rsidR="00D3239D" w:rsidRDefault="00D3239D" w:rsidP="00D3239D">
      <w:pPr>
        <w:pStyle w:val="font9"/>
        <w:spacing w:before="0" w:beforeAutospacing="0" w:after="0" w:afterAutospacing="0" w:line="336" w:lineRule="atLeast"/>
        <w:jc w:val="both"/>
        <w:textAlignment w:val="baseline"/>
        <w:rPr>
          <w:color w:val="000000"/>
        </w:rPr>
      </w:pPr>
      <w:r>
        <w:rPr>
          <w:rStyle w:val="wixui-rich-texttext"/>
          <w:color w:val="000000"/>
          <w:bdr w:val="none" w:sz="0" w:space="0" w:color="auto" w:frame="1"/>
        </w:rPr>
        <w:t xml:space="preserve">Prior to 1984, pipe borne water to homes and other places of dwelling was limited and Standpipes were common throughout every community in St Vincent. The construction of the two major water supply systems, Dalaway in 1958 and Jennings which was commissioned in </w:t>
      </w:r>
      <w:r>
        <w:rPr>
          <w:rStyle w:val="wixui-rich-texttext"/>
          <w:color w:val="000000"/>
          <w:bdr w:val="none" w:sz="0" w:space="0" w:color="auto" w:frame="1"/>
        </w:rPr>
        <w:lastRenderedPageBreak/>
        <w:t>2007, along with several smaller sources, saw the provision of pipe borne water to 98% of St Vincent.</w:t>
      </w:r>
    </w:p>
    <w:p w14:paraId="5D674ADD" w14:textId="77777777" w:rsidR="00D3239D" w:rsidRDefault="00D3239D" w:rsidP="00D3239D">
      <w:pPr>
        <w:pStyle w:val="font9"/>
        <w:spacing w:before="0" w:beforeAutospacing="0" w:after="0" w:afterAutospacing="0" w:line="336" w:lineRule="atLeast"/>
        <w:jc w:val="both"/>
        <w:textAlignment w:val="baseline"/>
        <w:rPr>
          <w:rStyle w:val="wixui-rich-texttext"/>
        </w:rPr>
      </w:pPr>
      <w:r>
        <w:rPr>
          <w:rStyle w:val="wixui-rich-texttext"/>
          <w:color w:val="000000"/>
          <w:bdr w:val="none" w:sz="0" w:space="0" w:color="auto" w:frame="1"/>
        </w:rPr>
        <w:t>The operations of the CWSA have included the Irrigation Unit which is no longer a part of the CWSA and the Solid Waste Management Unit, which continues to provide solid waste management services throughout SVG.</w:t>
      </w:r>
    </w:p>
    <w:p w14:paraId="5EAFDE9E" w14:textId="77777777" w:rsidR="00D3239D" w:rsidRDefault="00D3239D" w:rsidP="00D3239D">
      <w:pPr>
        <w:pStyle w:val="font9"/>
        <w:spacing w:before="0" w:beforeAutospacing="0" w:after="0" w:afterAutospacing="0" w:line="336" w:lineRule="atLeast"/>
        <w:jc w:val="both"/>
        <w:textAlignment w:val="baseline"/>
        <w:rPr>
          <w:rStyle w:val="wixui-rich-texttext"/>
          <w:color w:val="000000"/>
          <w:bdr w:val="none" w:sz="0" w:space="0" w:color="auto" w:frame="1"/>
        </w:rPr>
      </w:pPr>
    </w:p>
    <w:p w14:paraId="1BFC478A" w14:textId="77777777" w:rsidR="00D3239D" w:rsidRDefault="00D3239D" w:rsidP="00D3239D">
      <w:pPr>
        <w:pStyle w:val="font9"/>
        <w:spacing w:before="0" w:beforeAutospacing="0" w:after="0" w:afterAutospacing="0" w:line="336" w:lineRule="atLeast"/>
        <w:jc w:val="both"/>
        <w:textAlignment w:val="baseline"/>
        <w:rPr>
          <w:b/>
          <w:bCs/>
          <w:u w:val="single"/>
        </w:rPr>
      </w:pPr>
      <w:r>
        <w:rPr>
          <w:rStyle w:val="wixui-rich-texttext"/>
          <w:b/>
          <w:bCs/>
          <w:color w:val="000000"/>
          <w:u w:val="single"/>
          <w:bdr w:val="none" w:sz="0" w:space="0" w:color="auto" w:frame="1"/>
        </w:rPr>
        <w:t>The Solid Waste Unit.</w:t>
      </w:r>
    </w:p>
    <w:p w14:paraId="38514170" w14:textId="77777777" w:rsidR="00D3239D" w:rsidRDefault="00D3239D" w:rsidP="00D3239D">
      <w:pPr>
        <w:rPr>
          <w:rFonts w:ascii="Times New Roman" w:hAnsi="Times New Roman" w:cs="Times New Roman"/>
          <w:sz w:val="24"/>
          <w:szCs w:val="24"/>
        </w:rPr>
      </w:pPr>
    </w:p>
    <w:p w14:paraId="20484A65" w14:textId="77777777" w:rsidR="00D3239D" w:rsidRDefault="00D3239D" w:rsidP="00D3239D">
      <w:pPr>
        <w:rPr>
          <w:rFonts w:ascii="Times New Roman" w:hAnsi="Times New Roman" w:cs="Times New Roman"/>
          <w:color w:val="000000"/>
          <w:sz w:val="24"/>
          <w:szCs w:val="24"/>
        </w:rPr>
      </w:pPr>
      <w:r>
        <w:rPr>
          <w:rFonts w:ascii="Times New Roman" w:hAnsi="Times New Roman" w:cs="Times New Roman"/>
          <w:sz w:val="24"/>
          <w:szCs w:val="24"/>
        </w:rPr>
        <w:t xml:space="preserve">The Solid Waste Unit of SVG plays a central role in waste management. Collection services cover both residential and commercial areas, managing the daily disposal of household and business generated waste. </w:t>
      </w:r>
      <w:r>
        <w:rPr>
          <w:rFonts w:ascii="Times New Roman" w:hAnsi="Times New Roman" w:cs="Times New Roman"/>
          <w:color w:val="000000"/>
          <w:sz w:val="24"/>
          <w:szCs w:val="24"/>
        </w:rPr>
        <w:t xml:space="preserve">The unit has accomplished its objective of privatisation of most of its collection services nationwide and that of its disposal services in the Grenadines, as it gradually moves towards a more sustainable waste management system. This includes the removal of derelict vehicles throughout the country, the collection of white goods and the continued upgrade to the delivery of its services. </w:t>
      </w:r>
    </w:p>
    <w:p w14:paraId="105ABCF7" w14:textId="77777777" w:rsidR="00D3239D" w:rsidRDefault="00D3239D" w:rsidP="00D3239D">
      <w:pPr>
        <w:rPr>
          <w:rFonts w:ascii="Times New Roman" w:hAnsi="Times New Roman" w:cs="Times New Roman"/>
          <w:sz w:val="24"/>
          <w:szCs w:val="24"/>
        </w:rPr>
      </w:pPr>
      <w:r>
        <w:rPr>
          <w:rFonts w:ascii="Times New Roman" w:hAnsi="Times New Roman" w:cs="Times New Roman"/>
          <w:sz w:val="24"/>
          <w:szCs w:val="24"/>
        </w:rPr>
        <w:t>The Solid Waste Management Unit (SWMU) was established in 1999 as a department within the Central Water and Sewerage Authority (CWSA) to perform the collection and disposal of solid waste throughout the state. The functions of the SWMU are governed by the Waste Management Act passed in 2000 that is separate from the Central Water and Sewerage Authority Act which was passed in 1991. In 2006 regulations were also passed to support the principal Waste Management Act. St. Vincent and the Grenadines is the only participating country in the OECS project that elected to house the solid waste management function within an existing institution instead of creating a new independent entity.</w:t>
      </w:r>
    </w:p>
    <w:p w14:paraId="52DB807C" w14:textId="71FC03CB" w:rsidR="00C53C44"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 The national economic and social development plan for </w:t>
      </w:r>
      <w:r w:rsidR="006A5EF3">
        <w:rPr>
          <w:rFonts w:ascii="Times New Roman" w:hAnsi="Times New Roman" w:cs="Times New Roman"/>
          <w:sz w:val="24"/>
          <w:szCs w:val="24"/>
        </w:rPr>
        <w:t>St. Vincent</w:t>
      </w:r>
      <w:r>
        <w:rPr>
          <w:rFonts w:ascii="Times New Roman" w:hAnsi="Times New Roman" w:cs="Times New Roman"/>
          <w:sz w:val="24"/>
          <w:szCs w:val="24"/>
        </w:rPr>
        <w:t xml:space="preserve"> and the Grenadines anticipates an increase in waste generation throughout the state as the economy continues to grow, with one of the main drivers of this growth being investments in the development of the tourism sector. As such, to guarantee a clean and safe environment going forward, the plan mandates that the nationwide waste management system be strengthened by the development of appropriate standards for solid waste management in accordance with international and regional practices. It also emphasizes the need to develop a</w:t>
      </w:r>
      <w:r w:rsidR="00967F9C">
        <w:rPr>
          <w:rFonts w:ascii="Times New Roman" w:hAnsi="Times New Roman" w:cs="Times New Roman"/>
          <w:sz w:val="24"/>
          <w:szCs w:val="24"/>
        </w:rPr>
        <w:t xml:space="preserve"> </w:t>
      </w:r>
      <w:r>
        <w:rPr>
          <w:rFonts w:ascii="Times New Roman" w:hAnsi="Times New Roman" w:cs="Times New Roman"/>
          <w:sz w:val="24"/>
          <w:szCs w:val="24"/>
        </w:rPr>
        <w:t>comprehensive and effective solid waste recycling programme.</w:t>
      </w:r>
    </w:p>
    <w:p w14:paraId="04101305" w14:textId="319C138F" w:rsidR="00D3239D"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 The CWSA’s current vision for the SMWU is to achieve financial viability of the department while maintaining high quality solid waste management services. Implementing and sustaining creative and effective awareness initiatives which achieves public behavioural changes with respect to adherence to environmental laws and best practices, has been a challenge throughout the history of waste management in the country. Waste management is still not a priority issue in the minds of most of the populace, though it should be in a country where the preservation of the environment is crucial to the protection of public health and economic growth. Enforcement of waste management laws is also inadequate. Institutions responsible for the monitoring and enforcement of environmental laws are under –resourced and unmotivated to seriously pursue instances where individuals or companies violate such laws. There is however a sufficiency of legislation and supporting regulations to achieve higher standards of waste management practices in the state once enforcement is strengthened.</w:t>
      </w:r>
    </w:p>
    <w:p w14:paraId="77B65EA3" w14:textId="77777777" w:rsidR="00D3239D" w:rsidRDefault="00D3239D" w:rsidP="00D3239D">
      <w:pPr>
        <w:rPr>
          <w:rFonts w:ascii="Times New Roman" w:hAnsi="Times New Roman" w:cs="Times New Roman"/>
          <w:sz w:val="24"/>
          <w:szCs w:val="24"/>
        </w:rPr>
      </w:pPr>
    </w:p>
    <w:p w14:paraId="2A59796B" w14:textId="77777777" w:rsidR="00D3239D" w:rsidRDefault="00D3239D" w:rsidP="00D3239D">
      <w:pPr>
        <w:rPr>
          <w:rFonts w:ascii="Times New Roman" w:hAnsi="Times New Roman" w:cs="Times New Roman"/>
          <w:b/>
          <w:bCs/>
          <w:sz w:val="24"/>
          <w:szCs w:val="24"/>
          <w:u w:val="single"/>
        </w:rPr>
      </w:pPr>
      <w:r>
        <w:rPr>
          <w:rFonts w:ascii="Times New Roman" w:hAnsi="Times New Roman" w:cs="Times New Roman"/>
          <w:b/>
          <w:bCs/>
          <w:sz w:val="24"/>
          <w:szCs w:val="24"/>
          <w:u w:val="single"/>
        </w:rPr>
        <w:t>Climate Change Concerns in SVG.</w:t>
      </w:r>
    </w:p>
    <w:p w14:paraId="4593CE6B" w14:textId="7C3EEC2C" w:rsidR="00D3239D" w:rsidRDefault="00D3239D" w:rsidP="00D3239D">
      <w:pPr>
        <w:rPr>
          <w:rFonts w:ascii="Times New Roman" w:hAnsi="Times New Roman" w:cs="Times New Roman"/>
          <w:sz w:val="24"/>
          <w:szCs w:val="24"/>
        </w:rPr>
      </w:pPr>
      <w:r>
        <w:rPr>
          <w:rFonts w:ascii="Times New Roman" w:hAnsi="Times New Roman" w:cs="Times New Roman"/>
          <w:sz w:val="24"/>
          <w:szCs w:val="24"/>
        </w:rPr>
        <w:t>SVG is not immune to the impacts of climate change.</w:t>
      </w:r>
      <w:r w:rsidR="00DF43E6">
        <w:rPr>
          <w:rFonts w:ascii="Times New Roman" w:hAnsi="Times New Roman" w:cs="Times New Roman"/>
          <w:sz w:val="24"/>
          <w:szCs w:val="24"/>
        </w:rPr>
        <w:t xml:space="preserve"> Gahman and Thongs (2020) opined that</w:t>
      </w:r>
      <w:r>
        <w:rPr>
          <w:rFonts w:ascii="Times New Roman" w:hAnsi="Times New Roman" w:cs="Times New Roman"/>
          <w:sz w:val="24"/>
          <w:szCs w:val="24"/>
        </w:rPr>
        <w:t xml:space="preserve"> </w:t>
      </w:r>
      <w:r w:rsidR="00DF43E6">
        <w:rPr>
          <w:rFonts w:ascii="Times New Roman" w:hAnsi="Times New Roman" w:cs="Times New Roman"/>
          <w:sz w:val="24"/>
          <w:szCs w:val="24"/>
        </w:rPr>
        <w:t>l</w:t>
      </w:r>
      <w:r>
        <w:rPr>
          <w:rFonts w:ascii="Times New Roman" w:hAnsi="Times New Roman" w:cs="Times New Roman"/>
          <w:sz w:val="24"/>
          <w:szCs w:val="24"/>
        </w:rPr>
        <w:t xml:space="preserve">ike many other island states, it faces a range of challenges and vulnerabilities due to its geographical location and limited resources. </w:t>
      </w:r>
      <w:r w:rsidR="00C53C44">
        <w:rPr>
          <w:rFonts w:ascii="Times New Roman" w:hAnsi="Times New Roman" w:cs="Times New Roman"/>
          <w:sz w:val="24"/>
          <w:szCs w:val="24"/>
        </w:rPr>
        <w:t>The</w:t>
      </w:r>
      <w:r>
        <w:rPr>
          <w:rFonts w:ascii="Times New Roman" w:hAnsi="Times New Roman" w:cs="Times New Roman"/>
          <w:sz w:val="24"/>
          <w:szCs w:val="24"/>
        </w:rPr>
        <w:t xml:space="preserve"> country’s geographical location makes it susceptible to various climate-related risks, including sea level rise, extreme weather events, and changing rainfall.</w:t>
      </w:r>
      <w:r w:rsidR="00DF43E6">
        <w:rPr>
          <w:rFonts w:ascii="Times New Roman" w:hAnsi="Times New Roman" w:cs="Times New Roman"/>
          <w:sz w:val="24"/>
          <w:szCs w:val="24"/>
        </w:rPr>
        <w:t xml:space="preserve"> Furthermore, Smith (2023) argued that</w:t>
      </w:r>
      <w:r>
        <w:rPr>
          <w:rFonts w:ascii="Times New Roman" w:hAnsi="Times New Roman" w:cs="Times New Roman"/>
          <w:sz w:val="24"/>
          <w:szCs w:val="24"/>
        </w:rPr>
        <w:t xml:space="preserve"> SVG is experiencing rising temperatures because of climate change. The increase in temperatures has direct implications for human health and well-being, particularly in terms of heat stress. The country is also vulnerable to sea level rise, which threatens coastal erosion, leading to the loss of land, infrastructure damage, and saltwater intrusion into fresh water sources. These pose challenges to the country’s tourism industry, coastal </w:t>
      </w:r>
      <w:r w:rsidR="00DF43E6">
        <w:rPr>
          <w:rFonts w:ascii="Times New Roman" w:hAnsi="Times New Roman" w:cs="Times New Roman"/>
          <w:sz w:val="24"/>
          <w:szCs w:val="24"/>
        </w:rPr>
        <w:t>ecosystems</w:t>
      </w:r>
      <w:r>
        <w:rPr>
          <w:rFonts w:ascii="Times New Roman" w:hAnsi="Times New Roman" w:cs="Times New Roman"/>
          <w:sz w:val="24"/>
          <w:szCs w:val="24"/>
        </w:rPr>
        <w:t xml:space="preserve"> and overall resilience. The country is also prone to extreme weather events including hurricanes and volcanic eruptions. The country’s susceptibility to flooding and wind damage underscores the urgent need for climate-resilient infrastructure and disaster preparedness.</w:t>
      </w:r>
    </w:p>
    <w:p w14:paraId="5262C2D3" w14:textId="4AE0C474" w:rsidR="00D3239D" w:rsidRDefault="00DF43E6" w:rsidP="00D3239D">
      <w:pPr>
        <w:rPr>
          <w:rFonts w:ascii="Times New Roman" w:hAnsi="Times New Roman" w:cs="Times New Roman"/>
          <w:sz w:val="24"/>
          <w:szCs w:val="24"/>
        </w:rPr>
      </w:pPr>
      <w:r>
        <w:rPr>
          <w:rFonts w:ascii="Times New Roman" w:hAnsi="Times New Roman" w:cs="Times New Roman"/>
          <w:sz w:val="24"/>
          <w:szCs w:val="24"/>
        </w:rPr>
        <w:t>In an effort to deal with all these concerns, Mohammadi, Sigh and Habib (2021) posited that s</w:t>
      </w:r>
      <w:r w:rsidR="00D3239D">
        <w:rPr>
          <w:rFonts w:ascii="Times New Roman" w:hAnsi="Times New Roman" w:cs="Times New Roman"/>
          <w:sz w:val="24"/>
          <w:szCs w:val="24"/>
        </w:rPr>
        <w:t>olid waste management is a critical aspect of climate change mitigation and adaptation i</w:t>
      </w:r>
      <w:r>
        <w:rPr>
          <w:rFonts w:ascii="Times New Roman" w:hAnsi="Times New Roman" w:cs="Times New Roman"/>
          <w:sz w:val="24"/>
          <w:szCs w:val="24"/>
        </w:rPr>
        <w:t xml:space="preserve">n many Caribbean countries and this includes SVG. </w:t>
      </w:r>
      <w:r w:rsidR="00D3239D">
        <w:rPr>
          <w:rFonts w:ascii="Times New Roman" w:hAnsi="Times New Roman" w:cs="Times New Roman"/>
          <w:sz w:val="24"/>
          <w:szCs w:val="24"/>
        </w:rPr>
        <w:t xml:space="preserve"> Inadequate waste management practices contribute to greenhouse gas emissions, air pollution and environmental degradation.</w:t>
      </w:r>
      <w:r w:rsidR="00AB71AC">
        <w:rPr>
          <w:rFonts w:ascii="Times New Roman" w:hAnsi="Times New Roman" w:cs="Times New Roman"/>
          <w:sz w:val="24"/>
          <w:szCs w:val="24"/>
        </w:rPr>
        <w:t xml:space="preserve"> Consequently, as suggested by Elgie, Singh and Telesford (2021), a</w:t>
      </w:r>
      <w:r w:rsidR="00D3239D">
        <w:rPr>
          <w:rFonts w:ascii="Times New Roman" w:hAnsi="Times New Roman" w:cs="Times New Roman"/>
          <w:sz w:val="24"/>
          <w:szCs w:val="24"/>
        </w:rPr>
        <w:t>ddressing these issues requires sustainable waste management strategies, including waste reduction, recycling, composting, and the promotion of Circular Economy principles.</w:t>
      </w:r>
    </w:p>
    <w:p w14:paraId="688568B5" w14:textId="77777777" w:rsidR="00AB71AC" w:rsidRDefault="00AB71AC" w:rsidP="00D3239D">
      <w:pPr>
        <w:rPr>
          <w:rFonts w:ascii="Times New Roman" w:hAnsi="Times New Roman" w:cs="Times New Roman"/>
          <w:sz w:val="24"/>
          <w:szCs w:val="24"/>
        </w:rPr>
      </w:pPr>
    </w:p>
    <w:p w14:paraId="31D8FE55" w14:textId="77777777" w:rsidR="00D3239D" w:rsidRDefault="00D3239D" w:rsidP="00D3239D">
      <w:pPr>
        <w:rPr>
          <w:rFonts w:ascii="Times New Roman" w:hAnsi="Times New Roman" w:cs="Times New Roman"/>
          <w:sz w:val="24"/>
          <w:szCs w:val="24"/>
        </w:rPr>
      </w:pPr>
    </w:p>
    <w:p w14:paraId="6CA1C902" w14:textId="77777777" w:rsidR="00D3239D" w:rsidRDefault="00D3239D" w:rsidP="00D3239D">
      <w:pPr>
        <w:rPr>
          <w:rFonts w:ascii="Times New Roman" w:hAnsi="Times New Roman" w:cs="Times New Roman"/>
          <w:b/>
          <w:bCs/>
          <w:sz w:val="24"/>
          <w:szCs w:val="24"/>
        </w:rPr>
      </w:pPr>
      <w:r>
        <w:rPr>
          <w:rFonts w:ascii="Times New Roman" w:hAnsi="Times New Roman" w:cs="Times New Roman"/>
          <w:b/>
          <w:bCs/>
          <w:sz w:val="24"/>
          <w:szCs w:val="24"/>
        </w:rPr>
        <w:t>The Circular Economy</w:t>
      </w:r>
    </w:p>
    <w:p w14:paraId="15A95288" w14:textId="3C78237B" w:rsidR="00D3239D" w:rsidRDefault="00AB71AC" w:rsidP="00D3239D">
      <w:pPr>
        <w:rPr>
          <w:rFonts w:ascii="Times New Roman" w:hAnsi="Times New Roman" w:cs="Times New Roman"/>
          <w:sz w:val="24"/>
          <w:szCs w:val="24"/>
        </w:rPr>
      </w:pPr>
      <w:r>
        <w:rPr>
          <w:rFonts w:ascii="Times New Roman" w:hAnsi="Times New Roman" w:cs="Times New Roman"/>
          <w:sz w:val="24"/>
          <w:szCs w:val="24"/>
        </w:rPr>
        <w:t xml:space="preserve"> According to Kirchherr, Yang, Schulze-</w:t>
      </w:r>
      <w:proofErr w:type="spellStart"/>
      <w:r>
        <w:rPr>
          <w:rFonts w:ascii="Times New Roman" w:hAnsi="Times New Roman" w:cs="Times New Roman"/>
          <w:sz w:val="24"/>
          <w:szCs w:val="24"/>
        </w:rPr>
        <w:t>Spuntrup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Heerink</w:t>
      </w:r>
      <w:proofErr w:type="spellEnd"/>
      <w:r>
        <w:rPr>
          <w:rFonts w:ascii="Times New Roman" w:hAnsi="Times New Roman" w:cs="Times New Roman"/>
          <w:sz w:val="24"/>
          <w:szCs w:val="24"/>
        </w:rPr>
        <w:t xml:space="preserve"> and Hartley (2023) there are many definitions of the Circular Economy. Nonetheless </w:t>
      </w:r>
      <w:r w:rsidR="00412C14">
        <w:rPr>
          <w:rFonts w:ascii="Times New Roman" w:hAnsi="Times New Roman" w:cs="Times New Roman"/>
          <w:sz w:val="24"/>
          <w:szCs w:val="24"/>
        </w:rPr>
        <w:t>t</w:t>
      </w:r>
      <w:r w:rsidR="00D3239D">
        <w:rPr>
          <w:rFonts w:ascii="Times New Roman" w:hAnsi="Times New Roman" w:cs="Times New Roman"/>
          <w:sz w:val="24"/>
          <w:szCs w:val="24"/>
        </w:rPr>
        <w:t xml:space="preserve">he </w:t>
      </w:r>
      <w:r w:rsidR="00412C14">
        <w:rPr>
          <w:rFonts w:ascii="Times New Roman" w:hAnsi="Times New Roman" w:cs="Times New Roman"/>
          <w:sz w:val="24"/>
          <w:szCs w:val="24"/>
        </w:rPr>
        <w:t>C</w:t>
      </w:r>
      <w:r w:rsidR="00D3239D">
        <w:rPr>
          <w:rFonts w:ascii="Times New Roman" w:hAnsi="Times New Roman" w:cs="Times New Roman"/>
          <w:sz w:val="24"/>
          <w:szCs w:val="24"/>
        </w:rPr>
        <w:t xml:space="preserve">ircular Economy is guided by a set of principles that aim to shift away from the traditional linear model of “take, make, dispose” to a regenerative system designed to minimize waste and maximize resource efficiency.  Central to the CE are the principles of reduction, </w:t>
      </w:r>
      <w:r w:rsidR="00F44ED8">
        <w:rPr>
          <w:rFonts w:ascii="Times New Roman" w:hAnsi="Times New Roman" w:cs="Times New Roman"/>
          <w:sz w:val="24"/>
          <w:szCs w:val="24"/>
        </w:rPr>
        <w:t>reuse,</w:t>
      </w:r>
      <w:r w:rsidR="00D3239D">
        <w:rPr>
          <w:rFonts w:ascii="Times New Roman" w:hAnsi="Times New Roman" w:cs="Times New Roman"/>
          <w:sz w:val="24"/>
          <w:szCs w:val="24"/>
        </w:rPr>
        <w:t xml:space="preserve"> and recycling. The narrative unfolds to reveal how these principles guide the journey towards sustainability, with a focus on waste prevention, extending product lifecycles and closing the loop through efficient recycling processes. </w:t>
      </w:r>
    </w:p>
    <w:p w14:paraId="1BCFE82D" w14:textId="5EE138FD" w:rsidR="00D3239D" w:rsidRDefault="00D3239D" w:rsidP="00D3239D">
      <w:pPr>
        <w:rPr>
          <w:rFonts w:ascii="Times New Roman" w:hAnsi="Times New Roman" w:cs="Times New Roman"/>
          <w:sz w:val="24"/>
          <w:szCs w:val="24"/>
        </w:rPr>
      </w:pPr>
      <w:r>
        <w:rPr>
          <w:rFonts w:ascii="Times New Roman" w:hAnsi="Times New Roman" w:cs="Times New Roman"/>
          <w:sz w:val="24"/>
          <w:szCs w:val="24"/>
        </w:rPr>
        <w:t>A deep look into the global solid waste landscape sets the stage for understanding the challenges faced by conventional waste management systems used in SVG.</w:t>
      </w:r>
      <w:r w:rsidR="00D632AA">
        <w:rPr>
          <w:rFonts w:ascii="Times New Roman" w:hAnsi="Times New Roman" w:cs="Times New Roman"/>
          <w:sz w:val="24"/>
          <w:szCs w:val="24"/>
        </w:rPr>
        <w:t xml:space="preserve"> Salvador, Pereira, Sales, de Oliveira, Halog and De Francisco (</w:t>
      </w:r>
      <w:r w:rsidR="00F44ED8">
        <w:rPr>
          <w:rFonts w:ascii="Times New Roman" w:hAnsi="Times New Roman" w:cs="Times New Roman"/>
          <w:sz w:val="24"/>
          <w:szCs w:val="24"/>
        </w:rPr>
        <w:t>2022) opined</w:t>
      </w:r>
      <w:r w:rsidR="00D632AA">
        <w:rPr>
          <w:rFonts w:ascii="Times New Roman" w:hAnsi="Times New Roman" w:cs="Times New Roman"/>
          <w:sz w:val="24"/>
          <w:szCs w:val="24"/>
        </w:rPr>
        <w:t xml:space="preserve"> that in light of all the challenges that the Caribbean</w:t>
      </w:r>
      <w:r w:rsidR="00C667C6">
        <w:rPr>
          <w:rFonts w:ascii="Times New Roman" w:hAnsi="Times New Roman" w:cs="Times New Roman"/>
          <w:sz w:val="24"/>
          <w:szCs w:val="24"/>
        </w:rPr>
        <w:t xml:space="preserve"> region</w:t>
      </w:r>
      <w:r w:rsidR="00D632AA">
        <w:rPr>
          <w:rFonts w:ascii="Times New Roman" w:hAnsi="Times New Roman" w:cs="Times New Roman"/>
          <w:sz w:val="24"/>
          <w:szCs w:val="24"/>
        </w:rPr>
        <w:t xml:space="preserve"> faces,</w:t>
      </w:r>
      <w:r>
        <w:rPr>
          <w:rFonts w:ascii="Times New Roman" w:hAnsi="Times New Roman" w:cs="Times New Roman"/>
          <w:sz w:val="24"/>
          <w:szCs w:val="24"/>
        </w:rPr>
        <w:t xml:space="preserve"> </w:t>
      </w:r>
      <w:r w:rsidR="00D632AA">
        <w:rPr>
          <w:rFonts w:ascii="Times New Roman" w:hAnsi="Times New Roman" w:cs="Times New Roman"/>
          <w:sz w:val="24"/>
          <w:szCs w:val="24"/>
        </w:rPr>
        <w:t>t</w:t>
      </w:r>
      <w:r>
        <w:rPr>
          <w:rFonts w:ascii="Times New Roman" w:hAnsi="Times New Roman" w:cs="Times New Roman"/>
          <w:sz w:val="24"/>
          <w:szCs w:val="24"/>
        </w:rPr>
        <w:t>he CE offers a plethora of strategies to mitigate and manage solid waste</w:t>
      </w:r>
      <w:r w:rsidR="00D632AA">
        <w:rPr>
          <w:rFonts w:ascii="Times New Roman" w:hAnsi="Times New Roman" w:cs="Times New Roman"/>
          <w:sz w:val="24"/>
          <w:szCs w:val="24"/>
        </w:rPr>
        <w:t xml:space="preserve"> and ultimately helps in achieving many of the SDGs. </w:t>
      </w:r>
      <w:r>
        <w:rPr>
          <w:rFonts w:ascii="Times New Roman" w:hAnsi="Times New Roman" w:cs="Times New Roman"/>
          <w:sz w:val="24"/>
          <w:szCs w:val="24"/>
        </w:rPr>
        <w:t xml:space="preserve">These include waste reduction, recycling and resource recovery, circular design and innovation in product lifecycles and energy recovery. </w:t>
      </w:r>
    </w:p>
    <w:p w14:paraId="65FF3F24" w14:textId="77777777" w:rsidR="00D632AA" w:rsidRDefault="00D632AA" w:rsidP="00D3239D">
      <w:pPr>
        <w:rPr>
          <w:rFonts w:ascii="Times New Roman" w:hAnsi="Times New Roman" w:cs="Times New Roman"/>
          <w:b/>
          <w:bCs/>
          <w:sz w:val="24"/>
          <w:szCs w:val="24"/>
          <w:u w:val="single"/>
        </w:rPr>
      </w:pPr>
    </w:p>
    <w:p w14:paraId="305CEA1C" w14:textId="77777777" w:rsidR="00D632AA" w:rsidRDefault="00D632AA" w:rsidP="00D3239D">
      <w:pPr>
        <w:rPr>
          <w:rFonts w:ascii="Times New Roman" w:hAnsi="Times New Roman" w:cs="Times New Roman"/>
          <w:b/>
          <w:bCs/>
          <w:sz w:val="24"/>
          <w:szCs w:val="24"/>
          <w:u w:val="single"/>
        </w:rPr>
      </w:pPr>
    </w:p>
    <w:p w14:paraId="120AC5BD" w14:textId="0C26321B" w:rsidR="00D3239D" w:rsidRDefault="00D3239D" w:rsidP="00D3239D">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Aims and Objectives</w:t>
      </w:r>
    </w:p>
    <w:p w14:paraId="4250B0C3" w14:textId="77777777" w:rsidR="00D3239D" w:rsidRDefault="00D3239D" w:rsidP="00D3239D">
      <w:pPr>
        <w:rPr>
          <w:rFonts w:ascii="Times New Roman" w:hAnsi="Times New Roman" w:cs="Times New Roman"/>
          <w:sz w:val="24"/>
          <w:szCs w:val="24"/>
        </w:rPr>
      </w:pPr>
      <w:r>
        <w:rPr>
          <w:rFonts w:ascii="Times New Roman" w:hAnsi="Times New Roman" w:cs="Times New Roman"/>
          <w:sz w:val="24"/>
          <w:szCs w:val="24"/>
        </w:rPr>
        <w:t>The aim of this research paper is to examine the potential of the Circular Economy in helping SVG’s Solid Waste Unit achieve Sustainable Development Goals.</w:t>
      </w:r>
    </w:p>
    <w:p w14:paraId="2C99FF29" w14:textId="77777777" w:rsidR="00D3239D"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This aim will be achieved by </w:t>
      </w:r>
    </w:p>
    <w:p w14:paraId="2ADE84F6" w14:textId="398E4203" w:rsidR="00D3239D" w:rsidRDefault="00D3239D" w:rsidP="00D323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Assess</w:t>
      </w:r>
      <w:r w:rsidR="00C53C44">
        <w:rPr>
          <w:rFonts w:ascii="Times New Roman" w:hAnsi="Times New Roman" w:cs="Times New Roman"/>
          <w:sz w:val="24"/>
          <w:szCs w:val="24"/>
        </w:rPr>
        <w:t>ing</w:t>
      </w:r>
      <w:r>
        <w:rPr>
          <w:rFonts w:ascii="Times New Roman" w:hAnsi="Times New Roman" w:cs="Times New Roman"/>
          <w:sz w:val="24"/>
          <w:szCs w:val="24"/>
        </w:rPr>
        <w:t xml:space="preserve"> the current Solid Waste Management Practices.</w:t>
      </w:r>
    </w:p>
    <w:p w14:paraId="359FACA1" w14:textId="1D646413" w:rsidR="00D3239D" w:rsidRDefault="00D3239D" w:rsidP="00D323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Examin</w:t>
      </w:r>
      <w:r w:rsidR="00C53C44">
        <w:rPr>
          <w:rFonts w:ascii="Times New Roman" w:hAnsi="Times New Roman" w:cs="Times New Roman"/>
          <w:sz w:val="24"/>
          <w:szCs w:val="24"/>
        </w:rPr>
        <w:t>ing</w:t>
      </w:r>
      <w:r>
        <w:rPr>
          <w:rFonts w:ascii="Times New Roman" w:hAnsi="Times New Roman" w:cs="Times New Roman"/>
          <w:sz w:val="24"/>
          <w:szCs w:val="24"/>
        </w:rPr>
        <w:t xml:space="preserve"> the alignment of these practices with the Sustainable Development Goals.</w:t>
      </w:r>
    </w:p>
    <w:p w14:paraId="49AE7F78" w14:textId="10686F25" w:rsidR="00D3239D" w:rsidRDefault="00D3239D" w:rsidP="00D323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Investigat</w:t>
      </w:r>
      <w:r w:rsidR="00C53C44">
        <w:rPr>
          <w:rFonts w:ascii="Times New Roman" w:hAnsi="Times New Roman" w:cs="Times New Roman"/>
          <w:sz w:val="24"/>
          <w:szCs w:val="24"/>
        </w:rPr>
        <w:t>ing</w:t>
      </w:r>
      <w:r>
        <w:rPr>
          <w:rFonts w:ascii="Times New Roman" w:hAnsi="Times New Roman" w:cs="Times New Roman"/>
          <w:sz w:val="24"/>
          <w:szCs w:val="24"/>
        </w:rPr>
        <w:t xml:space="preserve"> the core principles of the CE and the potential of their application to solid waste management.</w:t>
      </w:r>
    </w:p>
    <w:p w14:paraId="465CF669" w14:textId="04F56A3C" w:rsidR="00D3239D" w:rsidRDefault="00D3239D" w:rsidP="00D323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Develop</w:t>
      </w:r>
      <w:r w:rsidR="00C53C44">
        <w:rPr>
          <w:rFonts w:ascii="Times New Roman" w:hAnsi="Times New Roman" w:cs="Times New Roman"/>
          <w:sz w:val="24"/>
          <w:szCs w:val="24"/>
        </w:rPr>
        <w:t>ing</w:t>
      </w:r>
      <w:r>
        <w:rPr>
          <w:rFonts w:ascii="Times New Roman" w:hAnsi="Times New Roman" w:cs="Times New Roman"/>
          <w:sz w:val="24"/>
          <w:szCs w:val="24"/>
        </w:rPr>
        <w:t xml:space="preserve"> </w:t>
      </w:r>
      <w:r w:rsidR="00C53C44">
        <w:rPr>
          <w:rFonts w:ascii="Times New Roman" w:hAnsi="Times New Roman" w:cs="Times New Roman"/>
          <w:sz w:val="24"/>
          <w:szCs w:val="24"/>
        </w:rPr>
        <w:t>r</w:t>
      </w:r>
      <w:r>
        <w:rPr>
          <w:rFonts w:ascii="Times New Roman" w:hAnsi="Times New Roman" w:cs="Times New Roman"/>
          <w:sz w:val="24"/>
          <w:szCs w:val="24"/>
        </w:rPr>
        <w:t>ecommendations for Circular integration.</w:t>
      </w:r>
    </w:p>
    <w:p w14:paraId="7765EF7C" w14:textId="77777777" w:rsidR="00D3239D" w:rsidRDefault="00D3239D" w:rsidP="00D3239D">
      <w:pPr>
        <w:rPr>
          <w:rFonts w:ascii="Times New Roman" w:hAnsi="Times New Roman" w:cs="Times New Roman"/>
          <w:sz w:val="24"/>
          <w:szCs w:val="24"/>
        </w:rPr>
      </w:pPr>
    </w:p>
    <w:p w14:paraId="1CA163FB" w14:textId="77777777" w:rsidR="00D3239D" w:rsidRDefault="00D3239D" w:rsidP="00D3239D">
      <w:pPr>
        <w:rPr>
          <w:rFonts w:ascii="Times New Roman" w:hAnsi="Times New Roman" w:cs="Times New Roman"/>
          <w:sz w:val="24"/>
          <w:szCs w:val="24"/>
        </w:rPr>
      </w:pPr>
    </w:p>
    <w:p w14:paraId="76855871" w14:textId="01D1E40F" w:rsidR="00D3239D" w:rsidRDefault="00D3239D" w:rsidP="00D3239D">
      <w:pPr>
        <w:rPr>
          <w:rFonts w:ascii="Times New Roman" w:hAnsi="Times New Roman" w:cs="Times New Roman"/>
          <w:b/>
          <w:bCs/>
          <w:sz w:val="24"/>
          <w:szCs w:val="24"/>
          <w:u w:val="single"/>
        </w:rPr>
      </w:pPr>
      <w:r>
        <w:rPr>
          <w:rFonts w:ascii="Times New Roman" w:hAnsi="Times New Roman" w:cs="Times New Roman"/>
          <w:b/>
          <w:bCs/>
          <w:sz w:val="24"/>
          <w:szCs w:val="24"/>
          <w:u w:val="single"/>
        </w:rPr>
        <w:t>Methodology (Qualitative and Quantitative)</w:t>
      </w:r>
    </w:p>
    <w:p w14:paraId="749ED318" w14:textId="77777777" w:rsidR="00D3239D" w:rsidRDefault="00D3239D" w:rsidP="00D3239D">
      <w:pPr>
        <w:rPr>
          <w:rFonts w:ascii="Times New Roman" w:hAnsi="Times New Roman" w:cs="Times New Roman"/>
          <w:i/>
          <w:iCs/>
          <w:sz w:val="24"/>
          <w:szCs w:val="24"/>
        </w:rPr>
      </w:pPr>
      <w:r>
        <w:rPr>
          <w:rFonts w:ascii="Times New Roman" w:hAnsi="Times New Roman" w:cs="Times New Roman"/>
          <w:i/>
          <w:iCs/>
          <w:sz w:val="24"/>
          <w:szCs w:val="24"/>
        </w:rPr>
        <w:t>Interviews</w:t>
      </w:r>
    </w:p>
    <w:p w14:paraId="0C153D3A" w14:textId="4F906AC7" w:rsidR="00D3239D" w:rsidRDefault="00CB2884" w:rsidP="00D3239D">
      <w:pPr>
        <w:rPr>
          <w:rFonts w:ascii="Times New Roman" w:hAnsi="Times New Roman" w:cs="Times New Roman"/>
          <w:sz w:val="24"/>
          <w:szCs w:val="24"/>
        </w:rPr>
      </w:pPr>
      <w:r>
        <w:rPr>
          <w:rFonts w:ascii="Times New Roman" w:hAnsi="Times New Roman" w:cs="Times New Roman"/>
          <w:sz w:val="24"/>
          <w:szCs w:val="24"/>
        </w:rPr>
        <w:t>In-depth</w:t>
      </w:r>
      <w:r w:rsidR="00D3239D">
        <w:rPr>
          <w:rFonts w:ascii="Times New Roman" w:hAnsi="Times New Roman" w:cs="Times New Roman"/>
          <w:sz w:val="24"/>
          <w:szCs w:val="24"/>
        </w:rPr>
        <w:t xml:space="preserve"> interviews will be conducted with key stakeholders involved in the solid waste unit. This includes the Manager of SVG’s SWMU Mr. Creese. Interviews will be done with the Prime Minister of SVG and the Minister of Health.</w:t>
      </w:r>
      <w:r w:rsidR="002B7926">
        <w:rPr>
          <w:rFonts w:ascii="Times New Roman" w:hAnsi="Times New Roman" w:cs="Times New Roman"/>
          <w:sz w:val="24"/>
          <w:szCs w:val="24"/>
        </w:rPr>
        <w:t xml:space="preserve"> An interview will be done with the contractor responsible for removing garbage, Mr. Jomo Jack and one of his workers, Mr. Roneil John. </w:t>
      </w:r>
      <w:r w:rsidR="00D3239D">
        <w:rPr>
          <w:rFonts w:ascii="Times New Roman" w:hAnsi="Times New Roman" w:cs="Times New Roman"/>
          <w:sz w:val="24"/>
          <w:szCs w:val="24"/>
        </w:rPr>
        <w:t xml:space="preserve"> These interviews will be done to explore perceptions, attitudes and challenges related to the current waste management practices</w:t>
      </w:r>
      <w:r w:rsidR="00C53C44">
        <w:rPr>
          <w:rFonts w:ascii="Times New Roman" w:hAnsi="Times New Roman" w:cs="Times New Roman"/>
          <w:sz w:val="24"/>
          <w:szCs w:val="24"/>
        </w:rPr>
        <w:t xml:space="preserve"> and policies </w:t>
      </w:r>
      <w:r w:rsidR="00D3239D">
        <w:rPr>
          <w:rFonts w:ascii="Times New Roman" w:hAnsi="Times New Roman" w:cs="Times New Roman"/>
          <w:sz w:val="24"/>
          <w:szCs w:val="24"/>
        </w:rPr>
        <w:t>and the potential adoption of the circular economy. This qualitative data will provide nuanced insights into stakeholder perspectives and guide the development of quantitative survey instruments.</w:t>
      </w:r>
    </w:p>
    <w:p w14:paraId="25DA9724" w14:textId="77777777" w:rsidR="00D3239D" w:rsidRDefault="00D3239D" w:rsidP="00D3239D">
      <w:pPr>
        <w:rPr>
          <w:rFonts w:ascii="Times New Roman" w:hAnsi="Times New Roman" w:cs="Times New Roman"/>
          <w:i/>
          <w:iCs/>
          <w:sz w:val="24"/>
          <w:szCs w:val="24"/>
        </w:rPr>
      </w:pPr>
      <w:r>
        <w:rPr>
          <w:rFonts w:ascii="Times New Roman" w:hAnsi="Times New Roman" w:cs="Times New Roman"/>
          <w:i/>
          <w:iCs/>
          <w:sz w:val="24"/>
          <w:szCs w:val="24"/>
        </w:rPr>
        <w:t>Surveys</w:t>
      </w:r>
    </w:p>
    <w:p w14:paraId="4DE4F4FA" w14:textId="49559E41" w:rsidR="00D3239D" w:rsidRDefault="00D3239D" w:rsidP="00D3239D">
      <w:pPr>
        <w:rPr>
          <w:rFonts w:ascii="Times New Roman" w:hAnsi="Times New Roman" w:cs="Times New Roman"/>
          <w:sz w:val="24"/>
          <w:szCs w:val="24"/>
        </w:rPr>
      </w:pPr>
      <w:r>
        <w:rPr>
          <w:rFonts w:ascii="Times New Roman" w:hAnsi="Times New Roman" w:cs="Times New Roman"/>
          <w:sz w:val="24"/>
          <w:szCs w:val="24"/>
        </w:rPr>
        <w:t>Surveys will be used to collect data from a broader sample of stakeholders which includes household residents</w:t>
      </w:r>
      <w:r w:rsidR="00C53C44">
        <w:rPr>
          <w:rFonts w:ascii="Times New Roman" w:hAnsi="Times New Roman" w:cs="Times New Roman"/>
          <w:sz w:val="24"/>
          <w:szCs w:val="24"/>
        </w:rPr>
        <w:t xml:space="preserve"> (domestics)</w:t>
      </w:r>
      <w:r>
        <w:rPr>
          <w:rFonts w:ascii="Times New Roman" w:hAnsi="Times New Roman" w:cs="Times New Roman"/>
          <w:sz w:val="24"/>
          <w:szCs w:val="24"/>
        </w:rPr>
        <w:t xml:space="preserve"> within service areas of SWMU.  </w:t>
      </w:r>
    </w:p>
    <w:p w14:paraId="6396FDCC" w14:textId="77777777" w:rsidR="00D3239D" w:rsidRDefault="00D3239D" w:rsidP="00D3239D">
      <w:pPr>
        <w:rPr>
          <w:rFonts w:ascii="Times New Roman" w:hAnsi="Times New Roman" w:cs="Times New Roman"/>
          <w:i/>
          <w:iCs/>
          <w:sz w:val="24"/>
          <w:szCs w:val="24"/>
        </w:rPr>
      </w:pPr>
      <w:r>
        <w:rPr>
          <w:rFonts w:ascii="Times New Roman" w:hAnsi="Times New Roman" w:cs="Times New Roman"/>
          <w:i/>
          <w:iCs/>
          <w:sz w:val="24"/>
          <w:szCs w:val="24"/>
        </w:rPr>
        <w:t>Sampling strategy</w:t>
      </w:r>
    </w:p>
    <w:p w14:paraId="3293794A" w14:textId="42696EFB" w:rsidR="00D3239D" w:rsidRDefault="00D3239D" w:rsidP="00D3239D">
      <w:pPr>
        <w:rPr>
          <w:rFonts w:ascii="Times New Roman" w:hAnsi="Times New Roman" w:cs="Times New Roman"/>
          <w:sz w:val="24"/>
          <w:szCs w:val="24"/>
        </w:rPr>
      </w:pPr>
      <w:r>
        <w:rPr>
          <w:rFonts w:ascii="Times New Roman" w:hAnsi="Times New Roman" w:cs="Times New Roman"/>
          <w:sz w:val="24"/>
          <w:szCs w:val="24"/>
        </w:rPr>
        <w:t xml:space="preserve">Stratified random sampling will be used to ensure representation from diverse stakeholder groups. The stratified samples will be based on demographics, role in waste management and geographic location. </w:t>
      </w:r>
      <w:r w:rsidR="002B7926">
        <w:rPr>
          <w:rFonts w:ascii="Times New Roman" w:hAnsi="Times New Roman" w:cs="Times New Roman"/>
          <w:sz w:val="24"/>
          <w:szCs w:val="24"/>
        </w:rPr>
        <w:t xml:space="preserve">Hence, 100 surveys will be conducted from the four main areas in SVG. </w:t>
      </w:r>
      <w:r w:rsidR="00971202">
        <w:rPr>
          <w:rFonts w:ascii="Times New Roman" w:hAnsi="Times New Roman" w:cs="Times New Roman"/>
          <w:sz w:val="24"/>
          <w:szCs w:val="24"/>
        </w:rPr>
        <w:t>Twenty-five</w:t>
      </w:r>
      <w:r w:rsidR="002B7926">
        <w:rPr>
          <w:rFonts w:ascii="Times New Roman" w:hAnsi="Times New Roman" w:cs="Times New Roman"/>
          <w:sz w:val="24"/>
          <w:szCs w:val="24"/>
        </w:rPr>
        <w:t xml:space="preserve"> surveys will be conducted from each area (Windward, Leeward, Kingstown and the Grenadines).</w:t>
      </w:r>
    </w:p>
    <w:p w14:paraId="7DE4A752" w14:textId="77777777" w:rsidR="002B7926" w:rsidRDefault="002B7926" w:rsidP="00D3239D">
      <w:pPr>
        <w:rPr>
          <w:rFonts w:ascii="Times New Roman" w:hAnsi="Times New Roman" w:cs="Times New Roman"/>
          <w:sz w:val="24"/>
          <w:szCs w:val="24"/>
        </w:rPr>
      </w:pPr>
    </w:p>
    <w:p w14:paraId="5EA0E139" w14:textId="5F494449" w:rsidR="00D3239D" w:rsidRDefault="00971202" w:rsidP="00D3239D">
      <w:pPr>
        <w:rPr>
          <w:rFonts w:ascii="Times New Roman" w:hAnsi="Times New Roman" w:cs="Times New Roman"/>
          <w:sz w:val="24"/>
          <w:szCs w:val="24"/>
        </w:rPr>
      </w:pPr>
      <w:r>
        <w:rPr>
          <w:rFonts w:ascii="Times New Roman" w:hAnsi="Times New Roman" w:cs="Times New Roman"/>
          <w:sz w:val="24"/>
          <w:szCs w:val="24"/>
        </w:rPr>
        <w:t>Bergen and Labonte’ (2020) suggested that in conducting any research it is important that the researcher tries to minimize bias in methodology. Therefore</w:t>
      </w:r>
      <w:r w:rsidR="003D603A">
        <w:rPr>
          <w:rFonts w:ascii="Times New Roman" w:hAnsi="Times New Roman" w:cs="Times New Roman"/>
          <w:sz w:val="24"/>
          <w:szCs w:val="24"/>
        </w:rPr>
        <w:t>,</w:t>
      </w:r>
      <w:r>
        <w:rPr>
          <w:rFonts w:ascii="Times New Roman" w:hAnsi="Times New Roman" w:cs="Times New Roman"/>
          <w:sz w:val="24"/>
          <w:szCs w:val="24"/>
        </w:rPr>
        <w:t xml:space="preserve"> in an effort to </w:t>
      </w:r>
      <w:r w:rsidR="00F44ED8">
        <w:rPr>
          <w:rFonts w:ascii="Times New Roman" w:hAnsi="Times New Roman" w:cs="Times New Roman"/>
          <w:sz w:val="24"/>
          <w:szCs w:val="24"/>
        </w:rPr>
        <w:t>minimize biases</w:t>
      </w:r>
      <w:r>
        <w:rPr>
          <w:rFonts w:ascii="Times New Roman" w:hAnsi="Times New Roman" w:cs="Times New Roman"/>
          <w:sz w:val="24"/>
          <w:szCs w:val="24"/>
        </w:rPr>
        <w:t xml:space="preserve"> </w:t>
      </w:r>
      <w:r w:rsidR="00C667C6">
        <w:rPr>
          <w:rFonts w:ascii="Times New Roman" w:hAnsi="Times New Roman" w:cs="Times New Roman"/>
          <w:sz w:val="24"/>
          <w:szCs w:val="24"/>
        </w:rPr>
        <w:t>in the</w:t>
      </w:r>
      <w:r>
        <w:rPr>
          <w:rFonts w:ascii="Times New Roman" w:hAnsi="Times New Roman" w:cs="Times New Roman"/>
          <w:sz w:val="24"/>
          <w:szCs w:val="24"/>
        </w:rPr>
        <w:t xml:space="preserve"> question design for both the interview and survey, the researcher will follow ethical principles to ensure anonymity and confidentiality of participants.</w:t>
      </w:r>
    </w:p>
    <w:p w14:paraId="5CED43A3" w14:textId="77777777" w:rsidR="00D3239D" w:rsidRPr="006A5EF3" w:rsidRDefault="00D3239D" w:rsidP="00D3239D">
      <w:pPr>
        <w:rPr>
          <w:rFonts w:ascii="Times New Roman" w:hAnsi="Times New Roman" w:cs="Times New Roman"/>
          <w:sz w:val="24"/>
          <w:szCs w:val="24"/>
        </w:rPr>
      </w:pPr>
      <w:r w:rsidRPr="006A5EF3">
        <w:rPr>
          <w:rFonts w:ascii="Times New Roman" w:hAnsi="Times New Roman" w:cs="Times New Roman"/>
          <w:sz w:val="24"/>
          <w:szCs w:val="24"/>
        </w:rPr>
        <w:t>Timeline</w:t>
      </w:r>
    </w:p>
    <w:p w14:paraId="1548AEB1" w14:textId="77777777" w:rsidR="00D3239D" w:rsidRDefault="00D3239D" w:rsidP="00D3239D">
      <w:pPr>
        <w:rPr>
          <w:rFonts w:ascii="Times New Roman" w:hAnsi="Times New Roman" w:cs="Times New Roman"/>
          <w:sz w:val="24"/>
          <w:szCs w:val="24"/>
        </w:rPr>
      </w:pPr>
    </w:p>
    <w:p w14:paraId="2062740D" w14:textId="4EEFDFF6" w:rsidR="00D3239D" w:rsidRPr="006A5EF3" w:rsidRDefault="00C53C44" w:rsidP="00D3239D">
      <w:pPr>
        <w:rPr>
          <w:rFonts w:ascii="Times New Roman" w:hAnsi="Times New Roman" w:cs="Times New Roman"/>
          <w:sz w:val="24"/>
          <w:szCs w:val="24"/>
          <w:highlight w:val="yellow"/>
        </w:rPr>
      </w:pPr>
      <w:r w:rsidRPr="006A5EF3">
        <w:rPr>
          <w:rFonts w:ascii="Times New Roman" w:hAnsi="Times New Roman" w:cs="Times New Roman"/>
          <w:sz w:val="24"/>
          <w:szCs w:val="24"/>
          <w:highlight w:val="yellow"/>
        </w:rPr>
        <w:t xml:space="preserve">Phase 1 October – November </w:t>
      </w:r>
    </w:p>
    <w:p w14:paraId="531034DA" w14:textId="1705107B" w:rsidR="00C53C44" w:rsidRPr="006A5EF3" w:rsidRDefault="00C53C44" w:rsidP="00D3239D">
      <w:pPr>
        <w:rPr>
          <w:rFonts w:ascii="Times New Roman" w:hAnsi="Times New Roman" w:cs="Times New Roman"/>
          <w:sz w:val="24"/>
          <w:szCs w:val="24"/>
          <w:highlight w:val="yellow"/>
        </w:rPr>
      </w:pPr>
      <w:r w:rsidRPr="006A5EF3">
        <w:rPr>
          <w:rFonts w:ascii="Times New Roman" w:hAnsi="Times New Roman" w:cs="Times New Roman"/>
          <w:sz w:val="24"/>
          <w:szCs w:val="24"/>
          <w:highlight w:val="yellow"/>
        </w:rPr>
        <w:lastRenderedPageBreak/>
        <w:t>Define Research Question and objectives.</w:t>
      </w:r>
    </w:p>
    <w:p w14:paraId="4FE33EEB" w14:textId="0F925AB7" w:rsidR="00C53C44" w:rsidRPr="006A5EF3" w:rsidRDefault="00C53C44" w:rsidP="00D3239D">
      <w:pPr>
        <w:rPr>
          <w:rFonts w:ascii="Times New Roman" w:hAnsi="Times New Roman" w:cs="Times New Roman"/>
          <w:color w:val="FFC000" w:themeColor="accent4"/>
          <w:sz w:val="24"/>
          <w:szCs w:val="24"/>
        </w:rPr>
      </w:pPr>
      <w:r w:rsidRPr="006A5EF3">
        <w:rPr>
          <w:rFonts w:ascii="Times New Roman" w:hAnsi="Times New Roman" w:cs="Times New Roman"/>
          <w:sz w:val="24"/>
          <w:szCs w:val="24"/>
          <w:highlight w:val="yellow"/>
        </w:rPr>
        <w:t>Conduct Preliminary Literature Review</w:t>
      </w:r>
      <w:r w:rsidRPr="006A5EF3">
        <w:rPr>
          <w:rFonts w:ascii="Times New Roman" w:hAnsi="Times New Roman" w:cs="Times New Roman"/>
          <w:color w:val="FFC000" w:themeColor="accent4"/>
          <w:sz w:val="24"/>
          <w:szCs w:val="24"/>
        </w:rPr>
        <w:t>.</w:t>
      </w:r>
    </w:p>
    <w:p w14:paraId="29BE55C8" w14:textId="77777777" w:rsidR="00DA73F9" w:rsidRPr="006A5EF3" w:rsidRDefault="00DA73F9" w:rsidP="00D3239D">
      <w:pPr>
        <w:rPr>
          <w:rFonts w:ascii="Times New Roman" w:hAnsi="Times New Roman" w:cs="Times New Roman"/>
          <w:color w:val="FFC000" w:themeColor="accent4"/>
          <w:sz w:val="24"/>
          <w:szCs w:val="24"/>
        </w:rPr>
      </w:pPr>
    </w:p>
    <w:p w14:paraId="6D737210" w14:textId="46BC81B8" w:rsidR="00DA73F9" w:rsidRPr="006A5EF3" w:rsidRDefault="00DA73F9" w:rsidP="00D3239D">
      <w:pPr>
        <w:rPr>
          <w:rFonts w:ascii="Times New Roman" w:hAnsi="Times New Roman" w:cs="Times New Roman"/>
          <w:sz w:val="24"/>
          <w:szCs w:val="24"/>
          <w:highlight w:val="darkBlue"/>
        </w:rPr>
      </w:pPr>
      <w:r w:rsidRPr="006A5EF3">
        <w:rPr>
          <w:rFonts w:ascii="Times New Roman" w:hAnsi="Times New Roman" w:cs="Times New Roman"/>
          <w:sz w:val="24"/>
          <w:szCs w:val="24"/>
          <w:highlight w:val="darkBlue"/>
        </w:rPr>
        <w:t>Phase 2 December- January 15</w:t>
      </w:r>
      <w:r w:rsidRPr="006A5EF3">
        <w:rPr>
          <w:rFonts w:ascii="Times New Roman" w:hAnsi="Times New Roman" w:cs="Times New Roman"/>
          <w:sz w:val="24"/>
          <w:szCs w:val="24"/>
          <w:highlight w:val="darkBlue"/>
          <w:vertAlign w:val="superscript"/>
        </w:rPr>
        <w:t>th</w:t>
      </w:r>
    </w:p>
    <w:p w14:paraId="6E83E014" w14:textId="29CE69E8" w:rsidR="00DA73F9" w:rsidRDefault="00DA73F9" w:rsidP="00D3239D">
      <w:pPr>
        <w:rPr>
          <w:rFonts w:ascii="Times New Roman" w:hAnsi="Times New Roman" w:cs="Times New Roman"/>
          <w:sz w:val="24"/>
          <w:szCs w:val="24"/>
        </w:rPr>
      </w:pPr>
      <w:r w:rsidRPr="006A5EF3">
        <w:rPr>
          <w:rFonts w:ascii="Times New Roman" w:hAnsi="Times New Roman" w:cs="Times New Roman"/>
          <w:sz w:val="24"/>
          <w:szCs w:val="24"/>
          <w:highlight w:val="darkBlue"/>
        </w:rPr>
        <w:t>Ethical approval and Proposal Refinement</w:t>
      </w:r>
    </w:p>
    <w:p w14:paraId="5A20F105" w14:textId="77777777" w:rsidR="00C53C44" w:rsidRDefault="00C53C44" w:rsidP="00D3239D">
      <w:pPr>
        <w:rPr>
          <w:rFonts w:ascii="Times New Roman" w:hAnsi="Times New Roman" w:cs="Times New Roman"/>
          <w:sz w:val="24"/>
          <w:szCs w:val="24"/>
        </w:rPr>
      </w:pPr>
    </w:p>
    <w:p w14:paraId="594EC46D" w14:textId="1B141B48" w:rsidR="00C53C44" w:rsidRPr="006A5EF3" w:rsidRDefault="00C53C44" w:rsidP="00D3239D">
      <w:pPr>
        <w:rPr>
          <w:rFonts w:ascii="Times New Roman" w:hAnsi="Times New Roman" w:cs="Times New Roman"/>
          <w:sz w:val="24"/>
          <w:szCs w:val="24"/>
          <w:highlight w:val="darkYellow"/>
        </w:rPr>
      </w:pPr>
      <w:r w:rsidRPr="006A5EF3">
        <w:rPr>
          <w:rFonts w:ascii="Times New Roman" w:hAnsi="Times New Roman" w:cs="Times New Roman"/>
          <w:sz w:val="24"/>
          <w:szCs w:val="24"/>
          <w:highlight w:val="darkYellow"/>
        </w:rPr>
        <w:t xml:space="preserve">Phase </w:t>
      </w:r>
      <w:r w:rsidR="00DA73F9" w:rsidRPr="006A5EF3">
        <w:rPr>
          <w:rFonts w:ascii="Times New Roman" w:hAnsi="Times New Roman" w:cs="Times New Roman"/>
          <w:sz w:val="24"/>
          <w:szCs w:val="24"/>
          <w:highlight w:val="darkYellow"/>
        </w:rPr>
        <w:t>3</w:t>
      </w:r>
      <w:r w:rsidRPr="006A5EF3">
        <w:rPr>
          <w:rFonts w:ascii="Times New Roman" w:hAnsi="Times New Roman" w:cs="Times New Roman"/>
          <w:sz w:val="24"/>
          <w:szCs w:val="24"/>
          <w:highlight w:val="darkYellow"/>
        </w:rPr>
        <w:t xml:space="preserve"> January</w:t>
      </w:r>
    </w:p>
    <w:p w14:paraId="3CD875A9" w14:textId="20ACE257" w:rsidR="00DA73F9" w:rsidRPr="006A5EF3" w:rsidRDefault="00DA73F9" w:rsidP="00D3239D">
      <w:pPr>
        <w:rPr>
          <w:rFonts w:ascii="Times New Roman" w:hAnsi="Times New Roman" w:cs="Times New Roman"/>
          <w:sz w:val="24"/>
          <w:szCs w:val="24"/>
          <w:highlight w:val="darkYellow"/>
        </w:rPr>
      </w:pPr>
      <w:r w:rsidRPr="006A5EF3">
        <w:rPr>
          <w:rFonts w:ascii="Times New Roman" w:hAnsi="Times New Roman" w:cs="Times New Roman"/>
          <w:sz w:val="24"/>
          <w:szCs w:val="24"/>
          <w:highlight w:val="darkYellow"/>
        </w:rPr>
        <w:t>Continue with Literature Review</w:t>
      </w:r>
    </w:p>
    <w:p w14:paraId="3039D958" w14:textId="7B07A11A" w:rsidR="00DA73F9" w:rsidRDefault="00DA73F9" w:rsidP="00D3239D">
      <w:pPr>
        <w:rPr>
          <w:rFonts w:ascii="Times New Roman" w:hAnsi="Times New Roman" w:cs="Times New Roman"/>
          <w:sz w:val="24"/>
          <w:szCs w:val="24"/>
        </w:rPr>
      </w:pPr>
      <w:r w:rsidRPr="006A5EF3">
        <w:rPr>
          <w:rFonts w:ascii="Times New Roman" w:hAnsi="Times New Roman" w:cs="Times New Roman"/>
          <w:sz w:val="24"/>
          <w:szCs w:val="24"/>
          <w:highlight w:val="darkYellow"/>
        </w:rPr>
        <w:t>Interview Design</w:t>
      </w:r>
    </w:p>
    <w:p w14:paraId="46D81BD3" w14:textId="77777777" w:rsidR="00DA73F9" w:rsidRDefault="00DA73F9" w:rsidP="00D3239D">
      <w:pPr>
        <w:rPr>
          <w:rFonts w:ascii="Times New Roman" w:hAnsi="Times New Roman" w:cs="Times New Roman"/>
          <w:sz w:val="24"/>
          <w:szCs w:val="24"/>
        </w:rPr>
      </w:pPr>
    </w:p>
    <w:p w14:paraId="6312B132" w14:textId="26EE06FD" w:rsidR="00DA73F9" w:rsidRPr="006A5EF3" w:rsidRDefault="00DA73F9" w:rsidP="00D3239D">
      <w:pPr>
        <w:rPr>
          <w:rFonts w:ascii="Times New Roman" w:hAnsi="Times New Roman" w:cs="Times New Roman"/>
          <w:sz w:val="24"/>
          <w:szCs w:val="24"/>
          <w:highlight w:val="green"/>
        </w:rPr>
      </w:pPr>
      <w:r w:rsidRPr="006A5EF3">
        <w:rPr>
          <w:rFonts w:ascii="Times New Roman" w:hAnsi="Times New Roman" w:cs="Times New Roman"/>
          <w:sz w:val="24"/>
          <w:szCs w:val="24"/>
          <w:highlight w:val="green"/>
        </w:rPr>
        <w:t>Phase 4 February</w:t>
      </w:r>
    </w:p>
    <w:p w14:paraId="4A41EB68" w14:textId="3581F91D" w:rsidR="00DA73F9" w:rsidRDefault="00DA73F9" w:rsidP="00D3239D">
      <w:pPr>
        <w:rPr>
          <w:rFonts w:ascii="Times New Roman" w:hAnsi="Times New Roman" w:cs="Times New Roman"/>
          <w:sz w:val="24"/>
          <w:szCs w:val="24"/>
        </w:rPr>
      </w:pPr>
      <w:r w:rsidRPr="006A5EF3">
        <w:rPr>
          <w:rFonts w:ascii="Times New Roman" w:hAnsi="Times New Roman" w:cs="Times New Roman"/>
          <w:sz w:val="24"/>
          <w:szCs w:val="24"/>
          <w:highlight w:val="green"/>
        </w:rPr>
        <w:t>Develop Survey instrument.</w:t>
      </w:r>
    </w:p>
    <w:p w14:paraId="4AACADBA" w14:textId="563EA473" w:rsidR="00DA73F9" w:rsidRPr="006A5EF3" w:rsidRDefault="00DA73F9" w:rsidP="00D3239D">
      <w:pPr>
        <w:rPr>
          <w:rFonts w:ascii="Times New Roman" w:hAnsi="Times New Roman" w:cs="Times New Roman"/>
          <w:sz w:val="24"/>
          <w:szCs w:val="24"/>
          <w:highlight w:val="darkCyan"/>
        </w:rPr>
      </w:pPr>
      <w:r w:rsidRPr="006A5EF3">
        <w:rPr>
          <w:rFonts w:ascii="Times New Roman" w:hAnsi="Times New Roman" w:cs="Times New Roman"/>
          <w:sz w:val="24"/>
          <w:szCs w:val="24"/>
          <w:highlight w:val="darkCyan"/>
        </w:rPr>
        <w:t>Refine Survey instrument.</w:t>
      </w:r>
    </w:p>
    <w:p w14:paraId="69E24591" w14:textId="3C37C497" w:rsidR="00DA73F9" w:rsidRDefault="00DA73F9" w:rsidP="00D3239D">
      <w:pPr>
        <w:rPr>
          <w:rFonts w:ascii="Times New Roman" w:hAnsi="Times New Roman" w:cs="Times New Roman"/>
          <w:sz w:val="24"/>
          <w:szCs w:val="24"/>
        </w:rPr>
      </w:pPr>
      <w:r w:rsidRPr="006A5EF3">
        <w:rPr>
          <w:rFonts w:ascii="Times New Roman" w:hAnsi="Times New Roman" w:cs="Times New Roman"/>
          <w:sz w:val="24"/>
          <w:szCs w:val="24"/>
          <w:highlight w:val="darkCyan"/>
        </w:rPr>
        <w:t>Prepare Sampling strategy.</w:t>
      </w:r>
    </w:p>
    <w:p w14:paraId="63573047" w14:textId="77777777" w:rsidR="00DA73F9" w:rsidRDefault="00DA73F9" w:rsidP="00D3239D">
      <w:pPr>
        <w:rPr>
          <w:rFonts w:ascii="Times New Roman" w:hAnsi="Times New Roman" w:cs="Times New Roman"/>
          <w:sz w:val="24"/>
          <w:szCs w:val="24"/>
        </w:rPr>
      </w:pPr>
    </w:p>
    <w:p w14:paraId="20BAE803" w14:textId="73D087F0" w:rsidR="00DA73F9" w:rsidRPr="006A5EF3" w:rsidRDefault="00DA73F9" w:rsidP="00D3239D">
      <w:pPr>
        <w:rPr>
          <w:rFonts w:ascii="Times New Roman" w:hAnsi="Times New Roman" w:cs="Times New Roman"/>
          <w:sz w:val="24"/>
          <w:szCs w:val="24"/>
          <w:highlight w:val="darkRed"/>
        </w:rPr>
      </w:pPr>
      <w:r w:rsidRPr="006A5EF3">
        <w:rPr>
          <w:rFonts w:ascii="Times New Roman" w:hAnsi="Times New Roman" w:cs="Times New Roman"/>
          <w:sz w:val="24"/>
          <w:szCs w:val="24"/>
          <w:highlight w:val="darkRed"/>
        </w:rPr>
        <w:t>Phase 5 March 1</w:t>
      </w:r>
      <w:r w:rsidRPr="006A5EF3">
        <w:rPr>
          <w:rFonts w:ascii="Times New Roman" w:hAnsi="Times New Roman" w:cs="Times New Roman"/>
          <w:sz w:val="24"/>
          <w:szCs w:val="24"/>
          <w:highlight w:val="darkRed"/>
          <w:vertAlign w:val="superscript"/>
        </w:rPr>
        <w:t>st</w:t>
      </w:r>
      <w:r w:rsidRPr="006A5EF3">
        <w:rPr>
          <w:rFonts w:ascii="Times New Roman" w:hAnsi="Times New Roman" w:cs="Times New Roman"/>
          <w:sz w:val="24"/>
          <w:szCs w:val="24"/>
          <w:highlight w:val="darkRed"/>
        </w:rPr>
        <w:t xml:space="preserve"> -April 30</w:t>
      </w:r>
      <w:r w:rsidRPr="006A5EF3">
        <w:rPr>
          <w:rFonts w:ascii="Times New Roman" w:hAnsi="Times New Roman" w:cs="Times New Roman"/>
          <w:sz w:val="24"/>
          <w:szCs w:val="24"/>
          <w:highlight w:val="darkRed"/>
          <w:vertAlign w:val="superscript"/>
        </w:rPr>
        <w:t>th</w:t>
      </w:r>
    </w:p>
    <w:p w14:paraId="23E7EE54" w14:textId="36E4ECF3" w:rsidR="00DA73F9" w:rsidRPr="006A5EF3" w:rsidRDefault="00DA73F9" w:rsidP="00D3239D">
      <w:pPr>
        <w:rPr>
          <w:rFonts w:ascii="Times New Roman" w:hAnsi="Times New Roman" w:cs="Times New Roman"/>
          <w:sz w:val="24"/>
          <w:szCs w:val="24"/>
          <w:highlight w:val="darkRed"/>
        </w:rPr>
      </w:pPr>
      <w:r w:rsidRPr="006A5EF3">
        <w:rPr>
          <w:rFonts w:ascii="Times New Roman" w:hAnsi="Times New Roman" w:cs="Times New Roman"/>
          <w:sz w:val="24"/>
          <w:szCs w:val="24"/>
          <w:highlight w:val="darkRed"/>
        </w:rPr>
        <w:t>Conduct interviews.</w:t>
      </w:r>
    </w:p>
    <w:p w14:paraId="7903135B" w14:textId="02D6CED6" w:rsidR="00DA73F9" w:rsidRPr="006A5EF3" w:rsidRDefault="00DA73F9" w:rsidP="00D3239D">
      <w:pPr>
        <w:rPr>
          <w:rFonts w:ascii="Times New Roman" w:hAnsi="Times New Roman" w:cs="Times New Roman"/>
          <w:sz w:val="24"/>
          <w:szCs w:val="24"/>
          <w:highlight w:val="darkRed"/>
        </w:rPr>
      </w:pPr>
      <w:r w:rsidRPr="006A5EF3">
        <w:rPr>
          <w:rFonts w:ascii="Times New Roman" w:hAnsi="Times New Roman" w:cs="Times New Roman"/>
          <w:sz w:val="24"/>
          <w:szCs w:val="24"/>
          <w:highlight w:val="darkRed"/>
        </w:rPr>
        <w:t>Administer Survey</w:t>
      </w:r>
    </w:p>
    <w:p w14:paraId="23123C7C" w14:textId="2653B697" w:rsidR="00DA73F9" w:rsidRDefault="00DA73F9" w:rsidP="00D3239D">
      <w:pPr>
        <w:rPr>
          <w:rFonts w:ascii="Times New Roman" w:hAnsi="Times New Roman" w:cs="Times New Roman"/>
          <w:sz w:val="24"/>
          <w:szCs w:val="24"/>
        </w:rPr>
      </w:pPr>
      <w:r w:rsidRPr="006A5EF3">
        <w:rPr>
          <w:rFonts w:ascii="Times New Roman" w:hAnsi="Times New Roman" w:cs="Times New Roman"/>
          <w:sz w:val="24"/>
          <w:szCs w:val="24"/>
          <w:highlight w:val="darkRed"/>
        </w:rPr>
        <w:t>Ensure Comprehensive Data Collection</w:t>
      </w:r>
    </w:p>
    <w:p w14:paraId="6605E6F6" w14:textId="77777777" w:rsidR="00DA73F9" w:rsidRDefault="00DA73F9" w:rsidP="00D3239D">
      <w:pPr>
        <w:rPr>
          <w:rFonts w:ascii="Times New Roman" w:hAnsi="Times New Roman" w:cs="Times New Roman"/>
          <w:sz w:val="24"/>
          <w:szCs w:val="24"/>
        </w:rPr>
      </w:pPr>
    </w:p>
    <w:p w14:paraId="6EF13A93" w14:textId="1DAD07E7" w:rsidR="00DA73F9" w:rsidRPr="006A5EF3" w:rsidRDefault="00DA73F9" w:rsidP="00D3239D">
      <w:pPr>
        <w:rPr>
          <w:rFonts w:ascii="Times New Roman" w:hAnsi="Times New Roman" w:cs="Times New Roman"/>
          <w:sz w:val="24"/>
          <w:szCs w:val="24"/>
          <w:highlight w:val="darkMagenta"/>
        </w:rPr>
      </w:pPr>
      <w:r w:rsidRPr="006A5EF3">
        <w:rPr>
          <w:rFonts w:ascii="Times New Roman" w:hAnsi="Times New Roman" w:cs="Times New Roman"/>
          <w:sz w:val="24"/>
          <w:szCs w:val="24"/>
          <w:highlight w:val="darkMagenta"/>
        </w:rPr>
        <w:t>Phase 6 May 1</w:t>
      </w:r>
      <w:r w:rsidRPr="006A5EF3">
        <w:rPr>
          <w:rFonts w:ascii="Times New Roman" w:hAnsi="Times New Roman" w:cs="Times New Roman"/>
          <w:sz w:val="24"/>
          <w:szCs w:val="24"/>
          <w:highlight w:val="darkMagenta"/>
          <w:vertAlign w:val="superscript"/>
        </w:rPr>
        <w:t>st</w:t>
      </w:r>
      <w:r w:rsidRPr="006A5EF3">
        <w:rPr>
          <w:rFonts w:ascii="Times New Roman" w:hAnsi="Times New Roman" w:cs="Times New Roman"/>
          <w:sz w:val="24"/>
          <w:szCs w:val="24"/>
          <w:highlight w:val="darkMagenta"/>
        </w:rPr>
        <w:t>- June 15</w:t>
      </w:r>
      <w:r w:rsidRPr="006A5EF3">
        <w:rPr>
          <w:rFonts w:ascii="Times New Roman" w:hAnsi="Times New Roman" w:cs="Times New Roman"/>
          <w:sz w:val="24"/>
          <w:szCs w:val="24"/>
          <w:highlight w:val="darkMagenta"/>
          <w:vertAlign w:val="superscript"/>
        </w:rPr>
        <w:t>th</w:t>
      </w:r>
    </w:p>
    <w:p w14:paraId="458B9E09" w14:textId="464BA831" w:rsidR="00DA73F9" w:rsidRPr="006A5EF3" w:rsidRDefault="00DA73F9" w:rsidP="00D3239D">
      <w:pPr>
        <w:rPr>
          <w:rFonts w:ascii="Times New Roman" w:hAnsi="Times New Roman" w:cs="Times New Roman"/>
          <w:sz w:val="24"/>
          <w:szCs w:val="24"/>
          <w:highlight w:val="darkMagenta"/>
        </w:rPr>
      </w:pPr>
      <w:r w:rsidRPr="006A5EF3">
        <w:rPr>
          <w:rFonts w:ascii="Times New Roman" w:hAnsi="Times New Roman" w:cs="Times New Roman"/>
          <w:sz w:val="24"/>
          <w:szCs w:val="24"/>
          <w:highlight w:val="darkMagenta"/>
        </w:rPr>
        <w:t>Begin Qualitative data analysis.</w:t>
      </w:r>
    </w:p>
    <w:p w14:paraId="53FF67F5" w14:textId="477D894F" w:rsidR="00DA73F9" w:rsidRPr="006A5EF3" w:rsidRDefault="00DA73F9" w:rsidP="00D3239D">
      <w:pPr>
        <w:rPr>
          <w:rFonts w:ascii="Times New Roman" w:hAnsi="Times New Roman" w:cs="Times New Roman"/>
          <w:sz w:val="24"/>
          <w:szCs w:val="24"/>
          <w:highlight w:val="darkMagenta"/>
        </w:rPr>
      </w:pPr>
      <w:r w:rsidRPr="006A5EF3">
        <w:rPr>
          <w:rFonts w:ascii="Times New Roman" w:hAnsi="Times New Roman" w:cs="Times New Roman"/>
          <w:sz w:val="24"/>
          <w:szCs w:val="24"/>
          <w:highlight w:val="darkMagenta"/>
        </w:rPr>
        <w:t>Start Quantitative data analysis.</w:t>
      </w:r>
    </w:p>
    <w:p w14:paraId="23A1644C" w14:textId="62591398" w:rsidR="00DA73F9" w:rsidRPr="006A5EF3" w:rsidRDefault="006A5EF3" w:rsidP="00D3239D">
      <w:pPr>
        <w:rPr>
          <w:rFonts w:ascii="Times New Roman" w:hAnsi="Times New Roman" w:cs="Times New Roman"/>
          <w:sz w:val="24"/>
          <w:szCs w:val="24"/>
          <w:highlight w:val="darkMagenta"/>
        </w:rPr>
      </w:pPr>
      <w:r w:rsidRPr="006A5EF3">
        <w:rPr>
          <w:rFonts w:ascii="Times New Roman" w:hAnsi="Times New Roman" w:cs="Times New Roman"/>
          <w:sz w:val="24"/>
          <w:szCs w:val="24"/>
          <w:highlight w:val="darkMagenta"/>
        </w:rPr>
        <w:t>Triangulate findings.</w:t>
      </w:r>
    </w:p>
    <w:p w14:paraId="6DF39E89" w14:textId="0852C0D6" w:rsidR="006A5EF3" w:rsidRDefault="006A5EF3" w:rsidP="00D3239D">
      <w:pPr>
        <w:rPr>
          <w:rFonts w:ascii="Times New Roman" w:hAnsi="Times New Roman" w:cs="Times New Roman"/>
          <w:sz w:val="24"/>
          <w:szCs w:val="24"/>
        </w:rPr>
      </w:pPr>
      <w:r w:rsidRPr="006A5EF3">
        <w:rPr>
          <w:rFonts w:ascii="Times New Roman" w:hAnsi="Times New Roman" w:cs="Times New Roman"/>
          <w:sz w:val="24"/>
          <w:szCs w:val="24"/>
          <w:highlight w:val="darkMagenta"/>
        </w:rPr>
        <w:t>Summarize key themes and trends.</w:t>
      </w:r>
    </w:p>
    <w:p w14:paraId="033DC544" w14:textId="77777777" w:rsidR="006A5EF3" w:rsidRDefault="006A5EF3" w:rsidP="00D3239D">
      <w:pPr>
        <w:rPr>
          <w:rFonts w:ascii="Times New Roman" w:hAnsi="Times New Roman" w:cs="Times New Roman"/>
          <w:sz w:val="24"/>
          <w:szCs w:val="24"/>
        </w:rPr>
      </w:pPr>
    </w:p>
    <w:p w14:paraId="6A9E9468" w14:textId="1B1300EC" w:rsidR="006A5EF3" w:rsidRPr="006A5EF3" w:rsidRDefault="006A5EF3" w:rsidP="00D3239D">
      <w:pPr>
        <w:rPr>
          <w:rFonts w:ascii="Times New Roman" w:hAnsi="Times New Roman" w:cs="Times New Roman"/>
          <w:sz w:val="24"/>
          <w:szCs w:val="24"/>
          <w:highlight w:val="darkGreen"/>
        </w:rPr>
      </w:pPr>
      <w:r w:rsidRPr="006A5EF3">
        <w:rPr>
          <w:rFonts w:ascii="Times New Roman" w:hAnsi="Times New Roman" w:cs="Times New Roman"/>
          <w:sz w:val="24"/>
          <w:szCs w:val="24"/>
          <w:highlight w:val="darkGreen"/>
        </w:rPr>
        <w:t>Phase 7 June 16</w:t>
      </w:r>
      <w:r w:rsidRPr="006A5EF3">
        <w:rPr>
          <w:rFonts w:ascii="Times New Roman" w:hAnsi="Times New Roman" w:cs="Times New Roman"/>
          <w:sz w:val="24"/>
          <w:szCs w:val="24"/>
          <w:highlight w:val="darkGreen"/>
          <w:vertAlign w:val="superscript"/>
        </w:rPr>
        <w:t>th</w:t>
      </w:r>
      <w:r w:rsidRPr="006A5EF3">
        <w:rPr>
          <w:rFonts w:ascii="Times New Roman" w:hAnsi="Times New Roman" w:cs="Times New Roman"/>
          <w:sz w:val="24"/>
          <w:szCs w:val="24"/>
          <w:highlight w:val="darkGreen"/>
        </w:rPr>
        <w:t>- 30</w:t>
      </w:r>
      <w:r w:rsidRPr="006A5EF3">
        <w:rPr>
          <w:rFonts w:ascii="Times New Roman" w:hAnsi="Times New Roman" w:cs="Times New Roman"/>
          <w:sz w:val="24"/>
          <w:szCs w:val="24"/>
          <w:highlight w:val="darkGreen"/>
          <w:vertAlign w:val="superscript"/>
        </w:rPr>
        <w:t>th</w:t>
      </w:r>
    </w:p>
    <w:p w14:paraId="6A35112C" w14:textId="13BA7481" w:rsidR="006A5EF3" w:rsidRDefault="006A5EF3" w:rsidP="00D3239D">
      <w:pPr>
        <w:rPr>
          <w:rFonts w:ascii="Times New Roman" w:hAnsi="Times New Roman" w:cs="Times New Roman"/>
          <w:sz w:val="24"/>
          <w:szCs w:val="24"/>
        </w:rPr>
      </w:pPr>
      <w:r w:rsidRPr="006A5EF3">
        <w:rPr>
          <w:rFonts w:ascii="Times New Roman" w:hAnsi="Times New Roman" w:cs="Times New Roman"/>
          <w:sz w:val="24"/>
          <w:szCs w:val="24"/>
          <w:highlight w:val="darkGreen"/>
        </w:rPr>
        <w:t>Results interpretation and discussion</w:t>
      </w:r>
    </w:p>
    <w:p w14:paraId="69012B3F" w14:textId="423343CA" w:rsidR="006A5EF3" w:rsidRDefault="006A5EF3" w:rsidP="00D3239D">
      <w:pPr>
        <w:rPr>
          <w:rFonts w:ascii="Times New Roman" w:hAnsi="Times New Roman" w:cs="Times New Roman"/>
          <w:sz w:val="24"/>
          <w:szCs w:val="24"/>
        </w:rPr>
      </w:pPr>
    </w:p>
    <w:p w14:paraId="09F40E7D" w14:textId="44706192" w:rsidR="006A5EF3" w:rsidRPr="006A5EF3" w:rsidRDefault="006A5EF3" w:rsidP="00D3239D">
      <w:pPr>
        <w:rPr>
          <w:rFonts w:ascii="Times New Roman" w:hAnsi="Times New Roman" w:cs="Times New Roman"/>
          <w:sz w:val="24"/>
          <w:szCs w:val="24"/>
          <w:highlight w:val="lightGray"/>
        </w:rPr>
      </w:pPr>
      <w:r w:rsidRPr="006A5EF3">
        <w:rPr>
          <w:rFonts w:ascii="Times New Roman" w:hAnsi="Times New Roman" w:cs="Times New Roman"/>
          <w:sz w:val="24"/>
          <w:szCs w:val="24"/>
          <w:highlight w:val="lightGray"/>
        </w:rPr>
        <w:t>Phase 8 July 1st- 15</w:t>
      </w:r>
      <w:r w:rsidRPr="006A5EF3">
        <w:rPr>
          <w:rFonts w:ascii="Times New Roman" w:hAnsi="Times New Roman" w:cs="Times New Roman"/>
          <w:sz w:val="24"/>
          <w:szCs w:val="24"/>
          <w:highlight w:val="lightGray"/>
          <w:vertAlign w:val="superscript"/>
        </w:rPr>
        <w:t>th</w:t>
      </w:r>
    </w:p>
    <w:p w14:paraId="2F80E639" w14:textId="529F0A94" w:rsidR="006A5EF3" w:rsidRDefault="006A5EF3" w:rsidP="00D3239D">
      <w:pPr>
        <w:rPr>
          <w:rFonts w:ascii="Times New Roman" w:hAnsi="Times New Roman" w:cs="Times New Roman"/>
          <w:sz w:val="24"/>
          <w:szCs w:val="24"/>
        </w:rPr>
      </w:pPr>
      <w:r w:rsidRPr="006A5EF3">
        <w:rPr>
          <w:rFonts w:ascii="Times New Roman" w:hAnsi="Times New Roman" w:cs="Times New Roman"/>
          <w:sz w:val="24"/>
          <w:szCs w:val="24"/>
          <w:highlight w:val="lightGray"/>
        </w:rPr>
        <w:t>Conclusion and Final edits</w:t>
      </w:r>
    </w:p>
    <w:p w14:paraId="68E37415" w14:textId="77777777" w:rsidR="006A5EF3" w:rsidRDefault="006A5EF3" w:rsidP="00D3239D">
      <w:pPr>
        <w:rPr>
          <w:rFonts w:ascii="Times New Roman" w:hAnsi="Times New Roman" w:cs="Times New Roman"/>
          <w:sz w:val="24"/>
          <w:szCs w:val="24"/>
        </w:rPr>
      </w:pPr>
    </w:p>
    <w:p w14:paraId="26441EC3" w14:textId="76BDBFA8" w:rsidR="006A5EF3" w:rsidRPr="006A5EF3" w:rsidRDefault="006A5EF3" w:rsidP="00D3239D">
      <w:pPr>
        <w:rPr>
          <w:rFonts w:ascii="Times New Roman" w:hAnsi="Times New Roman" w:cs="Times New Roman"/>
          <w:sz w:val="24"/>
          <w:szCs w:val="24"/>
          <w:highlight w:val="red"/>
        </w:rPr>
      </w:pPr>
      <w:r w:rsidRPr="006A5EF3">
        <w:rPr>
          <w:rFonts w:ascii="Times New Roman" w:hAnsi="Times New Roman" w:cs="Times New Roman"/>
          <w:sz w:val="24"/>
          <w:szCs w:val="24"/>
          <w:highlight w:val="red"/>
        </w:rPr>
        <w:t>Phase 9 July 16</w:t>
      </w:r>
      <w:r w:rsidRPr="006A5EF3">
        <w:rPr>
          <w:rFonts w:ascii="Times New Roman" w:hAnsi="Times New Roman" w:cs="Times New Roman"/>
          <w:sz w:val="24"/>
          <w:szCs w:val="24"/>
          <w:highlight w:val="red"/>
          <w:vertAlign w:val="superscript"/>
        </w:rPr>
        <w:t>th</w:t>
      </w:r>
      <w:r w:rsidRPr="006A5EF3">
        <w:rPr>
          <w:rFonts w:ascii="Times New Roman" w:hAnsi="Times New Roman" w:cs="Times New Roman"/>
          <w:sz w:val="24"/>
          <w:szCs w:val="24"/>
          <w:highlight w:val="red"/>
        </w:rPr>
        <w:t>- September 30</w:t>
      </w:r>
      <w:r w:rsidRPr="006A5EF3">
        <w:rPr>
          <w:rFonts w:ascii="Times New Roman" w:hAnsi="Times New Roman" w:cs="Times New Roman"/>
          <w:sz w:val="24"/>
          <w:szCs w:val="24"/>
          <w:highlight w:val="red"/>
          <w:vertAlign w:val="superscript"/>
        </w:rPr>
        <w:t>th</w:t>
      </w:r>
    </w:p>
    <w:p w14:paraId="75E7D0CC" w14:textId="1A588E1A" w:rsidR="006A5EF3" w:rsidRDefault="006A5EF3" w:rsidP="00D3239D">
      <w:pPr>
        <w:rPr>
          <w:rFonts w:ascii="Times New Roman" w:hAnsi="Times New Roman" w:cs="Times New Roman"/>
          <w:sz w:val="24"/>
          <w:szCs w:val="24"/>
        </w:rPr>
      </w:pPr>
      <w:r w:rsidRPr="006A5EF3">
        <w:rPr>
          <w:rFonts w:ascii="Times New Roman" w:hAnsi="Times New Roman" w:cs="Times New Roman"/>
          <w:sz w:val="24"/>
          <w:szCs w:val="24"/>
          <w:highlight w:val="red"/>
        </w:rPr>
        <w:t>Submission and Defense Preparation</w:t>
      </w:r>
    </w:p>
    <w:p w14:paraId="7C786EA5" w14:textId="77777777" w:rsidR="00DA73F9" w:rsidRDefault="00DA73F9" w:rsidP="00D3239D">
      <w:pPr>
        <w:rPr>
          <w:rFonts w:ascii="Times New Roman" w:hAnsi="Times New Roman" w:cs="Times New Roman"/>
          <w:sz w:val="24"/>
          <w:szCs w:val="24"/>
        </w:rPr>
      </w:pPr>
    </w:p>
    <w:p w14:paraId="1D6CA437" w14:textId="77777777" w:rsidR="00DA73F9" w:rsidRDefault="00DA73F9" w:rsidP="00D3239D">
      <w:pPr>
        <w:rPr>
          <w:rFonts w:ascii="Times New Roman" w:hAnsi="Times New Roman" w:cs="Times New Roman"/>
          <w:sz w:val="24"/>
          <w:szCs w:val="24"/>
        </w:rPr>
      </w:pPr>
    </w:p>
    <w:p w14:paraId="18758462" w14:textId="77777777" w:rsidR="00DF43E6" w:rsidRDefault="00DF43E6" w:rsidP="00D3239D">
      <w:pPr>
        <w:rPr>
          <w:rFonts w:ascii="Times New Roman" w:hAnsi="Times New Roman" w:cs="Times New Roman"/>
          <w:sz w:val="24"/>
          <w:szCs w:val="24"/>
        </w:rPr>
      </w:pPr>
    </w:p>
    <w:p w14:paraId="7AFCA2F0" w14:textId="77777777" w:rsidR="00DF43E6" w:rsidRDefault="00DF43E6" w:rsidP="00D3239D">
      <w:pPr>
        <w:rPr>
          <w:rFonts w:ascii="Times New Roman" w:hAnsi="Times New Roman" w:cs="Times New Roman"/>
          <w:sz w:val="24"/>
          <w:szCs w:val="24"/>
        </w:rPr>
      </w:pPr>
    </w:p>
    <w:p w14:paraId="3228BF37" w14:textId="77777777" w:rsidR="00DF43E6" w:rsidRDefault="00DF43E6" w:rsidP="00D3239D">
      <w:pPr>
        <w:rPr>
          <w:rFonts w:ascii="Times New Roman" w:hAnsi="Times New Roman" w:cs="Times New Roman"/>
          <w:sz w:val="24"/>
          <w:szCs w:val="24"/>
        </w:rPr>
      </w:pPr>
    </w:p>
    <w:p w14:paraId="08FED5F6" w14:textId="77777777" w:rsidR="00DF43E6" w:rsidRDefault="00DF43E6" w:rsidP="00D3239D">
      <w:pPr>
        <w:rPr>
          <w:rFonts w:ascii="Times New Roman" w:hAnsi="Times New Roman" w:cs="Times New Roman"/>
          <w:sz w:val="24"/>
          <w:szCs w:val="24"/>
        </w:rPr>
      </w:pPr>
    </w:p>
    <w:p w14:paraId="284731E9" w14:textId="77777777" w:rsidR="00971202" w:rsidRDefault="00971202" w:rsidP="00D3239D">
      <w:pPr>
        <w:rPr>
          <w:rFonts w:ascii="Times New Roman" w:hAnsi="Times New Roman" w:cs="Times New Roman"/>
          <w:sz w:val="24"/>
          <w:szCs w:val="24"/>
        </w:rPr>
      </w:pPr>
    </w:p>
    <w:p w14:paraId="4B7F8EF3" w14:textId="77777777" w:rsidR="00971202" w:rsidRDefault="00971202" w:rsidP="00D3239D">
      <w:pPr>
        <w:rPr>
          <w:rFonts w:ascii="Times New Roman" w:hAnsi="Times New Roman" w:cs="Times New Roman"/>
          <w:sz w:val="24"/>
          <w:szCs w:val="24"/>
        </w:rPr>
      </w:pPr>
    </w:p>
    <w:p w14:paraId="321F7628" w14:textId="77777777" w:rsidR="00971202" w:rsidRDefault="00971202" w:rsidP="00D3239D">
      <w:pPr>
        <w:rPr>
          <w:rFonts w:ascii="Times New Roman" w:hAnsi="Times New Roman" w:cs="Times New Roman"/>
          <w:sz w:val="24"/>
          <w:szCs w:val="24"/>
        </w:rPr>
      </w:pPr>
    </w:p>
    <w:p w14:paraId="59FDC164" w14:textId="77777777" w:rsidR="00971202" w:rsidRDefault="00971202" w:rsidP="00D3239D">
      <w:pPr>
        <w:rPr>
          <w:rFonts w:ascii="Times New Roman" w:hAnsi="Times New Roman" w:cs="Times New Roman"/>
          <w:sz w:val="24"/>
          <w:szCs w:val="24"/>
        </w:rPr>
      </w:pPr>
    </w:p>
    <w:p w14:paraId="182E61F2" w14:textId="77777777" w:rsidR="00971202" w:rsidRDefault="00971202" w:rsidP="00D3239D">
      <w:pPr>
        <w:rPr>
          <w:rFonts w:ascii="Times New Roman" w:hAnsi="Times New Roman" w:cs="Times New Roman"/>
          <w:sz w:val="24"/>
          <w:szCs w:val="24"/>
        </w:rPr>
      </w:pPr>
    </w:p>
    <w:p w14:paraId="5C541271" w14:textId="77777777" w:rsidR="00971202" w:rsidRDefault="00971202" w:rsidP="00D3239D">
      <w:pPr>
        <w:rPr>
          <w:rFonts w:ascii="Times New Roman" w:hAnsi="Times New Roman" w:cs="Times New Roman"/>
          <w:sz w:val="24"/>
          <w:szCs w:val="24"/>
        </w:rPr>
      </w:pPr>
    </w:p>
    <w:p w14:paraId="6274D307" w14:textId="77777777" w:rsidR="00971202" w:rsidRDefault="00971202" w:rsidP="00D3239D">
      <w:pPr>
        <w:rPr>
          <w:rFonts w:ascii="Times New Roman" w:hAnsi="Times New Roman" w:cs="Times New Roman"/>
          <w:sz w:val="24"/>
          <w:szCs w:val="24"/>
        </w:rPr>
      </w:pPr>
    </w:p>
    <w:p w14:paraId="42FDA923" w14:textId="77777777" w:rsidR="00971202" w:rsidRDefault="00971202" w:rsidP="00D3239D">
      <w:pPr>
        <w:rPr>
          <w:rFonts w:ascii="Times New Roman" w:hAnsi="Times New Roman" w:cs="Times New Roman"/>
          <w:sz w:val="24"/>
          <w:szCs w:val="24"/>
        </w:rPr>
      </w:pPr>
    </w:p>
    <w:p w14:paraId="1589E9E4" w14:textId="77777777" w:rsidR="00971202" w:rsidRDefault="00971202" w:rsidP="00D3239D">
      <w:pPr>
        <w:rPr>
          <w:rFonts w:ascii="Times New Roman" w:hAnsi="Times New Roman" w:cs="Times New Roman"/>
          <w:sz w:val="24"/>
          <w:szCs w:val="24"/>
        </w:rPr>
      </w:pPr>
    </w:p>
    <w:p w14:paraId="0340236A" w14:textId="77777777" w:rsidR="00971202" w:rsidRDefault="00971202" w:rsidP="00D3239D">
      <w:pPr>
        <w:rPr>
          <w:rFonts w:ascii="Times New Roman" w:hAnsi="Times New Roman" w:cs="Times New Roman"/>
          <w:sz w:val="24"/>
          <w:szCs w:val="24"/>
        </w:rPr>
      </w:pPr>
    </w:p>
    <w:p w14:paraId="372D0DFD" w14:textId="77777777" w:rsidR="00971202" w:rsidRDefault="00971202" w:rsidP="00D3239D">
      <w:pPr>
        <w:rPr>
          <w:rFonts w:ascii="Times New Roman" w:hAnsi="Times New Roman" w:cs="Times New Roman"/>
          <w:sz w:val="24"/>
          <w:szCs w:val="24"/>
        </w:rPr>
      </w:pPr>
    </w:p>
    <w:p w14:paraId="4CF4E9E3" w14:textId="77777777" w:rsidR="00971202" w:rsidRDefault="00971202" w:rsidP="00D3239D">
      <w:pPr>
        <w:rPr>
          <w:rFonts w:ascii="Times New Roman" w:hAnsi="Times New Roman" w:cs="Times New Roman"/>
          <w:sz w:val="24"/>
          <w:szCs w:val="24"/>
        </w:rPr>
      </w:pPr>
    </w:p>
    <w:p w14:paraId="05740137" w14:textId="77777777" w:rsidR="00971202" w:rsidRDefault="00971202" w:rsidP="00D3239D">
      <w:pPr>
        <w:rPr>
          <w:rFonts w:ascii="Times New Roman" w:hAnsi="Times New Roman" w:cs="Times New Roman"/>
          <w:sz w:val="24"/>
          <w:szCs w:val="24"/>
        </w:rPr>
      </w:pPr>
    </w:p>
    <w:p w14:paraId="3A99616F" w14:textId="77777777" w:rsidR="00971202" w:rsidRDefault="00971202" w:rsidP="00D3239D">
      <w:pPr>
        <w:rPr>
          <w:rFonts w:ascii="Times New Roman" w:hAnsi="Times New Roman" w:cs="Times New Roman"/>
          <w:sz w:val="24"/>
          <w:szCs w:val="24"/>
        </w:rPr>
      </w:pPr>
    </w:p>
    <w:p w14:paraId="71BFE2FF" w14:textId="77777777" w:rsidR="00971202" w:rsidRDefault="00971202" w:rsidP="00D3239D">
      <w:pPr>
        <w:rPr>
          <w:rFonts w:ascii="Times New Roman" w:hAnsi="Times New Roman" w:cs="Times New Roman"/>
          <w:sz w:val="24"/>
          <w:szCs w:val="24"/>
        </w:rPr>
      </w:pPr>
    </w:p>
    <w:p w14:paraId="2F454EBB" w14:textId="77777777" w:rsidR="00971202" w:rsidRDefault="00971202" w:rsidP="00D3239D">
      <w:pPr>
        <w:rPr>
          <w:rFonts w:ascii="Times New Roman" w:hAnsi="Times New Roman" w:cs="Times New Roman"/>
          <w:sz w:val="24"/>
          <w:szCs w:val="24"/>
        </w:rPr>
      </w:pPr>
    </w:p>
    <w:p w14:paraId="03B92322" w14:textId="77777777" w:rsidR="00971202" w:rsidRDefault="00971202" w:rsidP="00D3239D">
      <w:pPr>
        <w:rPr>
          <w:rFonts w:ascii="Times New Roman" w:hAnsi="Times New Roman" w:cs="Times New Roman"/>
          <w:sz w:val="24"/>
          <w:szCs w:val="24"/>
        </w:rPr>
      </w:pPr>
    </w:p>
    <w:p w14:paraId="4B86015F" w14:textId="77777777" w:rsidR="00971202" w:rsidRDefault="00971202" w:rsidP="00D3239D">
      <w:pPr>
        <w:rPr>
          <w:rFonts w:ascii="Times New Roman" w:hAnsi="Times New Roman" w:cs="Times New Roman"/>
          <w:sz w:val="24"/>
          <w:szCs w:val="24"/>
        </w:rPr>
      </w:pPr>
    </w:p>
    <w:p w14:paraId="7248DF74" w14:textId="77777777" w:rsidR="00971202" w:rsidRDefault="00971202" w:rsidP="00D3239D">
      <w:pPr>
        <w:rPr>
          <w:rFonts w:ascii="Times New Roman" w:hAnsi="Times New Roman" w:cs="Times New Roman"/>
          <w:sz w:val="24"/>
          <w:szCs w:val="24"/>
        </w:rPr>
      </w:pPr>
    </w:p>
    <w:p w14:paraId="5CE65C9E" w14:textId="77777777" w:rsidR="00971202" w:rsidRDefault="00971202" w:rsidP="00D3239D">
      <w:pPr>
        <w:rPr>
          <w:rFonts w:ascii="Times New Roman" w:hAnsi="Times New Roman" w:cs="Times New Roman"/>
          <w:sz w:val="24"/>
          <w:szCs w:val="24"/>
        </w:rPr>
      </w:pPr>
    </w:p>
    <w:p w14:paraId="737AB8F1" w14:textId="77777777" w:rsidR="00DF43E6" w:rsidRDefault="00DF43E6" w:rsidP="00D3239D">
      <w:pPr>
        <w:rPr>
          <w:rFonts w:ascii="Times New Roman" w:hAnsi="Times New Roman" w:cs="Times New Roman"/>
          <w:sz w:val="24"/>
          <w:szCs w:val="24"/>
        </w:rPr>
      </w:pPr>
    </w:p>
    <w:p w14:paraId="53FD5960" w14:textId="77777777" w:rsidR="00DF43E6" w:rsidRDefault="00DF43E6" w:rsidP="00D3239D">
      <w:pPr>
        <w:rPr>
          <w:rFonts w:ascii="Times New Roman" w:hAnsi="Times New Roman" w:cs="Times New Roman"/>
          <w:sz w:val="24"/>
          <w:szCs w:val="24"/>
        </w:rPr>
      </w:pPr>
    </w:p>
    <w:p w14:paraId="610B1CDE" w14:textId="77777777" w:rsidR="00DF43E6" w:rsidRDefault="00DF43E6" w:rsidP="00D3239D">
      <w:pPr>
        <w:rPr>
          <w:rFonts w:ascii="Times New Roman" w:hAnsi="Times New Roman" w:cs="Times New Roman"/>
          <w:sz w:val="24"/>
          <w:szCs w:val="24"/>
        </w:rPr>
      </w:pPr>
    </w:p>
    <w:p w14:paraId="3BDF883E" w14:textId="69AD9522" w:rsidR="00DF43E6" w:rsidRDefault="00DF43E6" w:rsidP="00D3239D">
      <w:pPr>
        <w:rPr>
          <w:rFonts w:ascii="Times New Roman" w:hAnsi="Times New Roman" w:cs="Times New Roman"/>
          <w:sz w:val="24"/>
          <w:szCs w:val="24"/>
        </w:rPr>
      </w:pPr>
      <w:r>
        <w:rPr>
          <w:rFonts w:ascii="Times New Roman" w:hAnsi="Times New Roman" w:cs="Times New Roman"/>
          <w:sz w:val="24"/>
          <w:szCs w:val="24"/>
        </w:rPr>
        <w:t>References</w:t>
      </w:r>
    </w:p>
    <w:p w14:paraId="3FBF7B6B" w14:textId="77777777" w:rsidR="00F44ED8" w:rsidRDefault="00F44ED8" w:rsidP="00D3239D">
      <w:pPr>
        <w:rPr>
          <w:rFonts w:ascii="Times New Roman" w:hAnsi="Times New Roman" w:cs="Times New Roman"/>
          <w:sz w:val="24"/>
          <w:szCs w:val="24"/>
        </w:rPr>
      </w:pPr>
    </w:p>
    <w:p w14:paraId="1DC6159A" w14:textId="77777777" w:rsidR="00F44ED8" w:rsidRPr="00F44ED8" w:rsidRDefault="00F44ED8" w:rsidP="00F44ED8">
      <w:pPr>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Bergen, N. and Labonté, R., 2020. “Everything is perfect, and we have no problems”: detecting and limiting social desirability bias in qualitative research. </w:t>
      </w:r>
      <w:r w:rsidRPr="00F44ED8">
        <w:rPr>
          <w:rFonts w:ascii="Times New Roman" w:hAnsi="Times New Roman" w:cs="Times New Roman"/>
          <w:i/>
          <w:iCs/>
          <w:color w:val="222222"/>
          <w:sz w:val="24"/>
          <w:szCs w:val="24"/>
          <w:shd w:val="clear" w:color="auto" w:fill="FFFFFF"/>
        </w:rPr>
        <w:t>Qualitative health research</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30</w:t>
      </w:r>
      <w:r w:rsidRPr="00F44ED8">
        <w:rPr>
          <w:rFonts w:ascii="Times New Roman" w:hAnsi="Times New Roman" w:cs="Times New Roman"/>
          <w:color w:val="222222"/>
          <w:sz w:val="24"/>
          <w:szCs w:val="24"/>
          <w:shd w:val="clear" w:color="auto" w:fill="FFFFFF"/>
        </w:rPr>
        <w:t>(5), pp.783-792.</w:t>
      </w:r>
    </w:p>
    <w:p w14:paraId="7E543560" w14:textId="77777777" w:rsidR="00F44ED8" w:rsidRPr="00F44ED8" w:rsidRDefault="00F44ED8" w:rsidP="00F44ED8">
      <w:pPr>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Elgie, A.R., Singh, S.J. and Telesford, J.N., 2021. You can't manage what you can't measure: The potential for circularity in Grenada's waste management system. </w:t>
      </w:r>
      <w:r w:rsidRPr="00F44ED8">
        <w:rPr>
          <w:rFonts w:ascii="Times New Roman" w:hAnsi="Times New Roman" w:cs="Times New Roman"/>
          <w:i/>
          <w:iCs/>
          <w:color w:val="222222"/>
          <w:sz w:val="24"/>
          <w:szCs w:val="24"/>
          <w:shd w:val="clear" w:color="auto" w:fill="FFFFFF"/>
        </w:rPr>
        <w:t>Resources, Conservation and Recycling</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164</w:t>
      </w:r>
      <w:r w:rsidRPr="00F44ED8">
        <w:rPr>
          <w:rFonts w:ascii="Times New Roman" w:hAnsi="Times New Roman" w:cs="Times New Roman"/>
          <w:color w:val="222222"/>
          <w:sz w:val="24"/>
          <w:szCs w:val="24"/>
          <w:shd w:val="clear" w:color="auto" w:fill="FFFFFF"/>
        </w:rPr>
        <w:t>, p.105170.</w:t>
      </w:r>
    </w:p>
    <w:p w14:paraId="6B19F38F" w14:textId="77777777" w:rsidR="00DF43E6" w:rsidRPr="00F44ED8" w:rsidRDefault="00DF43E6" w:rsidP="00D3239D">
      <w:pPr>
        <w:rPr>
          <w:rFonts w:ascii="Times New Roman" w:hAnsi="Times New Roman" w:cs="Times New Roman"/>
          <w:sz w:val="24"/>
          <w:szCs w:val="24"/>
        </w:rPr>
      </w:pPr>
    </w:p>
    <w:p w14:paraId="1C317310" w14:textId="60F83565" w:rsidR="00DF43E6" w:rsidRPr="00F44ED8" w:rsidRDefault="00DF43E6" w:rsidP="00D3239D">
      <w:pPr>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Gahman, L. and Thongs, G., 2020. Development justice, a proposal: Reckoning with disaster, catastrophe, and climate change in the Caribbean. </w:t>
      </w:r>
      <w:r w:rsidRPr="00F44ED8">
        <w:rPr>
          <w:rFonts w:ascii="Times New Roman" w:hAnsi="Times New Roman" w:cs="Times New Roman"/>
          <w:i/>
          <w:iCs/>
          <w:color w:val="222222"/>
          <w:sz w:val="24"/>
          <w:szCs w:val="24"/>
          <w:shd w:val="clear" w:color="auto" w:fill="FFFFFF"/>
        </w:rPr>
        <w:t>Transactions of the Institute of British Geographers</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45</w:t>
      </w:r>
      <w:r w:rsidRPr="00F44ED8">
        <w:rPr>
          <w:rFonts w:ascii="Times New Roman" w:hAnsi="Times New Roman" w:cs="Times New Roman"/>
          <w:color w:val="222222"/>
          <w:sz w:val="24"/>
          <w:szCs w:val="24"/>
          <w:shd w:val="clear" w:color="auto" w:fill="FFFFFF"/>
        </w:rPr>
        <w:t>(4), pp.763-778.</w:t>
      </w:r>
    </w:p>
    <w:p w14:paraId="0333E1AD" w14:textId="77777777" w:rsidR="00F44ED8" w:rsidRPr="00F44ED8" w:rsidRDefault="00F44ED8" w:rsidP="00D3239D">
      <w:pPr>
        <w:rPr>
          <w:rFonts w:ascii="Times New Roman" w:hAnsi="Times New Roman" w:cs="Times New Roman"/>
          <w:color w:val="222222"/>
          <w:sz w:val="24"/>
          <w:szCs w:val="24"/>
          <w:shd w:val="clear" w:color="auto" w:fill="FFFFFF"/>
        </w:rPr>
      </w:pPr>
    </w:p>
    <w:p w14:paraId="07DB761A" w14:textId="77777777" w:rsidR="00F44ED8" w:rsidRPr="00F44ED8" w:rsidRDefault="00F44ED8" w:rsidP="00F44ED8">
      <w:pPr>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Kirchherr, J., Yang, N.H.N., Schulze-Spüntrup, F., Heerink, M.J. and Hartley, K., 2023. Conceptualizing the Circular Economy (Revisited): An Analysis of 221 Definitions. </w:t>
      </w:r>
      <w:r w:rsidRPr="00F44ED8">
        <w:rPr>
          <w:rFonts w:ascii="Times New Roman" w:hAnsi="Times New Roman" w:cs="Times New Roman"/>
          <w:i/>
          <w:iCs/>
          <w:color w:val="222222"/>
          <w:sz w:val="24"/>
          <w:szCs w:val="24"/>
          <w:shd w:val="clear" w:color="auto" w:fill="FFFFFF"/>
        </w:rPr>
        <w:t>Resources, Conservation and Recycling</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194</w:t>
      </w:r>
      <w:r w:rsidRPr="00F44ED8">
        <w:rPr>
          <w:rFonts w:ascii="Times New Roman" w:hAnsi="Times New Roman" w:cs="Times New Roman"/>
          <w:color w:val="222222"/>
          <w:sz w:val="24"/>
          <w:szCs w:val="24"/>
          <w:shd w:val="clear" w:color="auto" w:fill="FFFFFF"/>
        </w:rPr>
        <w:t>, p.107001.</w:t>
      </w:r>
    </w:p>
    <w:p w14:paraId="1EB9B239" w14:textId="77777777" w:rsidR="00F44ED8" w:rsidRPr="00F44ED8" w:rsidRDefault="00F44ED8" w:rsidP="00F44ED8">
      <w:pPr>
        <w:rPr>
          <w:rFonts w:ascii="Times New Roman" w:hAnsi="Times New Roman" w:cs="Times New Roman"/>
          <w:color w:val="222222"/>
          <w:sz w:val="24"/>
          <w:szCs w:val="24"/>
          <w:shd w:val="clear" w:color="auto" w:fill="FFFFFF"/>
        </w:rPr>
      </w:pPr>
    </w:p>
    <w:p w14:paraId="44ACA2AB" w14:textId="77777777" w:rsidR="00F44ED8" w:rsidRPr="00F44ED8" w:rsidRDefault="00F44ED8" w:rsidP="00F44ED8">
      <w:pPr>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Mohammadi, E., Singh, S.J. and Habib, K., 2021. How big is circular economy potential on Caribbean islands considering e-waste?. </w:t>
      </w:r>
      <w:r w:rsidRPr="00F44ED8">
        <w:rPr>
          <w:rFonts w:ascii="Times New Roman" w:hAnsi="Times New Roman" w:cs="Times New Roman"/>
          <w:i/>
          <w:iCs/>
          <w:color w:val="222222"/>
          <w:sz w:val="24"/>
          <w:szCs w:val="24"/>
          <w:shd w:val="clear" w:color="auto" w:fill="FFFFFF"/>
        </w:rPr>
        <w:t>Journal of Cleaner Production</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317</w:t>
      </w:r>
      <w:r w:rsidRPr="00F44ED8">
        <w:rPr>
          <w:rFonts w:ascii="Times New Roman" w:hAnsi="Times New Roman" w:cs="Times New Roman"/>
          <w:color w:val="222222"/>
          <w:sz w:val="24"/>
          <w:szCs w:val="24"/>
          <w:shd w:val="clear" w:color="auto" w:fill="FFFFFF"/>
        </w:rPr>
        <w:t>, p.128457.</w:t>
      </w:r>
    </w:p>
    <w:p w14:paraId="2076A654" w14:textId="77777777" w:rsidR="00F44ED8" w:rsidRPr="00F44ED8" w:rsidRDefault="00F44ED8" w:rsidP="00F44ED8">
      <w:pPr>
        <w:rPr>
          <w:rFonts w:ascii="Times New Roman" w:hAnsi="Times New Roman" w:cs="Times New Roman"/>
          <w:color w:val="222222"/>
          <w:sz w:val="24"/>
          <w:szCs w:val="24"/>
          <w:shd w:val="clear" w:color="auto" w:fill="FFFFFF"/>
        </w:rPr>
      </w:pPr>
    </w:p>
    <w:p w14:paraId="3FDE1EE6" w14:textId="77777777" w:rsidR="00F44ED8" w:rsidRPr="00F44ED8" w:rsidRDefault="00F44ED8" w:rsidP="00F44ED8">
      <w:pPr>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Salvador, R., Pereira, R.B., Sales, G.F., de Oliveira, V.C.V., Halog, A. and De Francisco, A.C., 2022. Current Panorama, Practice Gaps, and Recommendations to Accelerate the Transition to a Circular Bioeconomy in Latin America and the Caribbean. </w:t>
      </w:r>
      <w:r w:rsidRPr="00F44ED8">
        <w:rPr>
          <w:rFonts w:ascii="Times New Roman" w:hAnsi="Times New Roman" w:cs="Times New Roman"/>
          <w:i/>
          <w:iCs/>
          <w:color w:val="222222"/>
          <w:sz w:val="24"/>
          <w:szCs w:val="24"/>
          <w:shd w:val="clear" w:color="auto" w:fill="FFFFFF"/>
        </w:rPr>
        <w:t>Circular Economy and Sustainability</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2</w:t>
      </w:r>
      <w:r w:rsidRPr="00F44ED8">
        <w:rPr>
          <w:rFonts w:ascii="Times New Roman" w:hAnsi="Times New Roman" w:cs="Times New Roman"/>
          <w:color w:val="222222"/>
          <w:sz w:val="24"/>
          <w:szCs w:val="24"/>
          <w:shd w:val="clear" w:color="auto" w:fill="FFFFFF"/>
        </w:rPr>
        <w:t>(1), pp.281-312.</w:t>
      </w:r>
    </w:p>
    <w:p w14:paraId="47544302" w14:textId="77777777" w:rsidR="00F44ED8" w:rsidRPr="00F44ED8" w:rsidRDefault="00F44ED8" w:rsidP="00F44ED8">
      <w:pPr>
        <w:rPr>
          <w:rFonts w:ascii="Times New Roman" w:hAnsi="Times New Roman" w:cs="Times New Roman"/>
          <w:sz w:val="24"/>
          <w:szCs w:val="24"/>
        </w:rPr>
      </w:pPr>
    </w:p>
    <w:p w14:paraId="069B7B52" w14:textId="77777777" w:rsidR="00F44ED8" w:rsidRPr="00F44ED8" w:rsidRDefault="00F44ED8" w:rsidP="00F44ED8">
      <w:pPr>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Schröder, P., Albaladejo, M., Ribas, P.A., MacEwen, M. and Tilkanen, J., 2020. The circular economy in Latin America and the Caribbean. </w:t>
      </w:r>
      <w:r w:rsidRPr="00F44ED8">
        <w:rPr>
          <w:rFonts w:ascii="Times New Roman" w:hAnsi="Times New Roman" w:cs="Times New Roman"/>
          <w:i/>
          <w:iCs/>
          <w:color w:val="222222"/>
          <w:sz w:val="24"/>
          <w:szCs w:val="24"/>
          <w:shd w:val="clear" w:color="auto" w:fill="FFFFFF"/>
        </w:rPr>
        <w:t>The Royal Institute of International Affairs, Chatham House: London, UK</w:t>
      </w:r>
      <w:r w:rsidRPr="00F44ED8">
        <w:rPr>
          <w:rFonts w:ascii="Times New Roman" w:hAnsi="Times New Roman" w:cs="Times New Roman"/>
          <w:color w:val="222222"/>
          <w:sz w:val="24"/>
          <w:szCs w:val="24"/>
          <w:shd w:val="clear" w:color="auto" w:fill="FFFFFF"/>
        </w:rPr>
        <w:t>.</w:t>
      </w:r>
    </w:p>
    <w:p w14:paraId="60FF8A40" w14:textId="77777777" w:rsidR="00F44ED8" w:rsidRPr="00F44ED8" w:rsidRDefault="00F44ED8" w:rsidP="00D3239D">
      <w:pPr>
        <w:rPr>
          <w:rFonts w:ascii="Times New Roman" w:hAnsi="Times New Roman" w:cs="Times New Roman"/>
          <w:color w:val="222222"/>
          <w:sz w:val="24"/>
          <w:szCs w:val="24"/>
          <w:shd w:val="clear" w:color="auto" w:fill="FFFFFF"/>
        </w:rPr>
      </w:pPr>
    </w:p>
    <w:p w14:paraId="5394C96C" w14:textId="77777777" w:rsidR="00DF43E6" w:rsidRPr="00F44ED8" w:rsidRDefault="00DF43E6" w:rsidP="00D3239D">
      <w:pPr>
        <w:rPr>
          <w:rFonts w:ascii="Times New Roman" w:hAnsi="Times New Roman" w:cs="Times New Roman"/>
          <w:color w:val="222222"/>
          <w:sz w:val="24"/>
          <w:szCs w:val="24"/>
          <w:shd w:val="clear" w:color="auto" w:fill="FFFFFF"/>
        </w:rPr>
      </w:pPr>
    </w:p>
    <w:p w14:paraId="4CC244CF" w14:textId="698CC800" w:rsidR="00DA73F9" w:rsidRPr="00F44ED8" w:rsidRDefault="00DF43E6" w:rsidP="00D3239D">
      <w:pPr>
        <w:rPr>
          <w:rFonts w:ascii="Times New Roman" w:hAnsi="Times New Roman" w:cs="Times New Roman"/>
          <w:sz w:val="24"/>
          <w:szCs w:val="24"/>
        </w:rPr>
      </w:pPr>
      <w:r w:rsidRPr="00F44ED8">
        <w:rPr>
          <w:rFonts w:ascii="Times New Roman" w:hAnsi="Times New Roman" w:cs="Times New Roman"/>
          <w:color w:val="222222"/>
          <w:sz w:val="24"/>
          <w:szCs w:val="24"/>
          <w:shd w:val="clear" w:color="auto" w:fill="FFFFFF"/>
        </w:rPr>
        <w:t>Smith, R.A., 2023. Climate Security and Global Climate Injustice: The Case of St. Vincent and the Grenadines. In </w:t>
      </w:r>
      <w:r w:rsidRPr="00F44ED8">
        <w:rPr>
          <w:rFonts w:ascii="Times New Roman" w:hAnsi="Times New Roman" w:cs="Times New Roman"/>
          <w:i/>
          <w:iCs/>
          <w:color w:val="222222"/>
          <w:sz w:val="24"/>
          <w:szCs w:val="24"/>
          <w:shd w:val="clear" w:color="auto" w:fill="FFFFFF"/>
        </w:rPr>
        <w:t>Climate Security in the Anthropocene: Exploring the Approaches of United Nations Security Council Member-States</w:t>
      </w:r>
      <w:r w:rsidRPr="00F44ED8">
        <w:rPr>
          <w:rFonts w:ascii="Times New Roman" w:hAnsi="Times New Roman" w:cs="Times New Roman"/>
          <w:color w:val="222222"/>
          <w:sz w:val="24"/>
          <w:szCs w:val="24"/>
          <w:shd w:val="clear" w:color="auto" w:fill="FFFFFF"/>
        </w:rPr>
        <w:t> (pp. 259-281). Cham: Springer International Publishing</w:t>
      </w:r>
    </w:p>
    <w:p w14:paraId="158A1F93" w14:textId="77777777" w:rsidR="00AB71AC" w:rsidRPr="00F44ED8" w:rsidRDefault="00AB71AC" w:rsidP="00D3239D">
      <w:pPr>
        <w:rPr>
          <w:rFonts w:ascii="Times New Roman" w:hAnsi="Times New Roman" w:cs="Times New Roman"/>
          <w:color w:val="222222"/>
          <w:sz w:val="24"/>
          <w:szCs w:val="24"/>
          <w:shd w:val="clear" w:color="auto" w:fill="FFFFFF"/>
        </w:rPr>
      </w:pPr>
    </w:p>
    <w:p w14:paraId="536A38E7" w14:textId="77777777" w:rsidR="00D632AA" w:rsidRPr="00F44ED8" w:rsidRDefault="00D632AA" w:rsidP="00D3239D">
      <w:pPr>
        <w:rPr>
          <w:rFonts w:ascii="Times New Roman" w:hAnsi="Times New Roman" w:cs="Times New Roman"/>
          <w:color w:val="222222"/>
          <w:sz w:val="24"/>
          <w:szCs w:val="24"/>
          <w:shd w:val="clear" w:color="auto" w:fill="FFFFFF"/>
        </w:rPr>
      </w:pPr>
    </w:p>
    <w:p w14:paraId="0DD8F878" w14:textId="77777777" w:rsidR="00971202" w:rsidRPr="00F44ED8" w:rsidRDefault="00971202" w:rsidP="00D3239D">
      <w:pPr>
        <w:rPr>
          <w:rFonts w:ascii="Times New Roman" w:hAnsi="Times New Roman" w:cs="Times New Roman"/>
          <w:color w:val="222222"/>
          <w:sz w:val="24"/>
          <w:szCs w:val="24"/>
          <w:shd w:val="clear" w:color="auto" w:fill="FFFFFF"/>
        </w:rPr>
      </w:pPr>
    </w:p>
    <w:p w14:paraId="09FD395A" w14:textId="0B9A10C7" w:rsidR="00F44ED8" w:rsidRPr="00F44ED8" w:rsidRDefault="00971202" w:rsidP="00D3239D">
      <w:pPr>
        <w:rPr>
          <w:rFonts w:ascii="Times New Roman" w:hAnsi="Times New Roman" w:cs="Times New Roman"/>
          <w:color w:val="222222"/>
          <w:sz w:val="24"/>
          <w:szCs w:val="24"/>
          <w:shd w:val="clear" w:color="auto" w:fill="FFFFFF"/>
        </w:rPr>
      </w:pPr>
      <w:r w:rsidRPr="00F44ED8">
        <w:rPr>
          <w:rFonts w:ascii="Times New Roman" w:hAnsi="Times New Roman" w:cs="Times New Roman"/>
          <w:color w:val="222222"/>
          <w:sz w:val="24"/>
          <w:szCs w:val="24"/>
          <w:shd w:val="clear" w:color="auto" w:fill="FFFFFF"/>
        </w:rPr>
        <w:t>Ulloa-Murillo, L.M., Villegas, L.M., Rodríguez-Ortiz, A.R., Duque-Acevedo, M. and Cortés-García, F.J., 2022. Management of the organic fraction of municipal solid waste in the context of a sustainable and circular model: Analysis of trends in Latin America and the Caribbean. </w:t>
      </w:r>
      <w:r w:rsidRPr="00F44ED8">
        <w:rPr>
          <w:rFonts w:ascii="Times New Roman" w:hAnsi="Times New Roman" w:cs="Times New Roman"/>
          <w:i/>
          <w:iCs/>
          <w:color w:val="222222"/>
          <w:sz w:val="24"/>
          <w:szCs w:val="24"/>
          <w:shd w:val="clear" w:color="auto" w:fill="FFFFFF"/>
        </w:rPr>
        <w:t>International Journal of Environmental Research and Public Health</w:t>
      </w:r>
      <w:r w:rsidRPr="00F44ED8">
        <w:rPr>
          <w:rFonts w:ascii="Times New Roman" w:hAnsi="Times New Roman" w:cs="Times New Roman"/>
          <w:color w:val="222222"/>
          <w:sz w:val="24"/>
          <w:szCs w:val="24"/>
          <w:shd w:val="clear" w:color="auto" w:fill="FFFFFF"/>
        </w:rPr>
        <w:t>, </w:t>
      </w:r>
      <w:r w:rsidRPr="00F44ED8">
        <w:rPr>
          <w:rFonts w:ascii="Times New Roman" w:hAnsi="Times New Roman" w:cs="Times New Roman"/>
          <w:i/>
          <w:iCs/>
          <w:color w:val="222222"/>
          <w:sz w:val="24"/>
          <w:szCs w:val="24"/>
          <w:shd w:val="clear" w:color="auto" w:fill="FFFFFF"/>
        </w:rPr>
        <w:t>19</w:t>
      </w:r>
      <w:r w:rsidRPr="00F44ED8">
        <w:rPr>
          <w:rFonts w:ascii="Times New Roman" w:hAnsi="Times New Roman" w:cs="Times New Roman"/>
          <w:color w:val="222222"/>
          <w:sz w:val="24"/>
          <w:szCs w:val="24"/>
          <w:shd w:val="clear" w:color="auto" w:fill="FFFFFF"/>
        </w:rPr>
        <w:t>(10), p.6041.</w:t>
      </w:r>
    </w:p>
    <w:p w14:paraId="1A7FBAB6" w14:textId="77777777" w:rsidR="00971202" w:rsidRPr="00F44ED8" w:rsidRDefault="00971202" w:rsidP="00D3239D">
      <w:pPr>
        <w:rPr>
          <w:rFonts w:ascii="Times New Roman" w:hAnsi="Times New Roman" w:cs="Times New Roman"/>
          <w:color w:val="222222"/>
          <w:sz w:val="24"/>
          <w:szCs w:val="24"/>
          <w:shd w:val="clear" w:color="auto" w:fill="FFFFFF"/>
        </w:rPr>
      </w:pPr>
    </w:p>
    <w:p w14:paraId="4B6D5308" w14:textId="77777777" w:rsidR="00971202" w:rsidRPr="00F44ED8" w:rsidRDefault="00971202" w:rsidP="00D3239D">
      <w:pPr>
        <w:rPr>
          <w:rFonts w:ascii="Times New Roman" w:hAnsi="Times New Roman" w:cs="Times New Roman"/>
          <w:sz w:val="24"/>
          <w:szCs w:val="24"/>
        </w:rPr>
      </w:pPr>
    </w:p>
    <w:p w14:paraId="29E054F0" w14:textId="77777777" w:rsidR="00D3239D" w:rsidRPr="00F44ED8" w:rsidRDefault="00D3239D" w:rsidP="00D3239D">
      <w:pPr>
        <w:rPr>
          <w:rFonts w:ascii="Times New Roman" w:hAnsi="Times New Roman" w:cs="Times New Roman"/>
          <w:sz w:val="24"/>
          <w:szCs w:val="24"/>
        </w:rPr>
      </w:pPr>
    </w:p>
    <w:p w14:paraId="1E274DB0" w14:textId="77777777" w:rsidR="00D3239D" w:rsidRPr="00F44ED8" w:rsidRDefault="00D3239D" w:rsidP="00D3239D">
      <w:pPr>
        <w:rPr>
          <w:rFonts w:ascii="Times New Roman" w:hAnsi="Times New Roman" w:cs="Times New Roman"/>
          <w:sz w:val="24"/>
          <w:szCs w:val="24"/>
        </w:rPr>
      </w:pPr>
    </w:p>
    <w:p w14:paraId="64DC0BE3" w14:textId="77777777" w:rsidR="00D3239D" w:rsidRPr="00F44ED8" w:rsidRDefault="00D3239D" w:rsidP="00D3239D">
      <w:pPr>
        <w:rPr>
          <w:rFonts w:ascii="Times New Roman" w:hAnsi="Times New Roman" w:cs="Times New Roman"/>
          <w:sz w:val="24"/>
          <w:szCs w:val="24"/>
        </w:rPr>
      </w:pPr>
    </w:p>
    <w:p w14:paraId="68C0F115" w14:textId="77777777" w:rsidR="00D3239D" w:rsidRPr="00F44ED8" w:rsidRDefault="00D3239D" w:rsidP="00D3239D">
      <w:pPr>
        <w:rPr>
          <w:rFonts w:ascii="Times New Roman" w:hAnsi="Times New Roman" w:cs="Times New Roman"/>
          <w:sz w:val="24"/>
          <w:szCs w:val="24"/>
        </w:rPr>
      </w:pPr>
    </w:p>
    <w:p w14:paraId="4CEDA8DE" w14:textId="77777777" w:rsidR="00D3239D" w:rsidRPr="00F44ED8" w:rsidRDefault="00D3239D" w:rsidP="00D3239D">
      <w:pPr>
        <w:rPr>
          <w:rFonts w:ascii="Times New Roman" w:hAnsi="Times New Roman" w:cs="Times New Roman"/>
          <w:sz w:val="24"/>
          <w:szCs w:val="24"/>
        </w:rPr>
      </w:pPr>
    </w:p>
    <w:p w14:paraId="54741840" w14:textId="77777777" w:rsidR="00D3239D" w:rsidRPr="00F44ED8" w:rsidRDefault="00D3239D" w:rsidP="00D3239D">
      <w:pPr>
        <w:rPr>
          <w:rFonts w:ascii="Times New Roman" w:hAnsi="Times New Roman" w:cs="Times New Roman"/>
          <w:sz w:val="24"/>
          <w:szCs w:val="24"/>
        </w:rPr>
      </w:pPr>
    </w:p>
    <w:p w14:paraId="04D333A8" w14:textId="77777777" w:rsidR="00D3239D" w:rsidRPr="00F44ED8" w:rsidRDefault="00D3239D" w:rsidP="00D3239D">
      <w:pPr>
        <w:rPr>
          <w:rFonts w:ascii="Times New Roman" w:hAnsi="Times New Roman" w:cs="Times New Roman"/>
          <w:b/>
          <w:bCs/>
          <w:sz w:val="24"/>
          <w:szCs w:val="24"/>
        </w:rPr>
      </w:pPr>
    </w:p>
    <w:p w14:paraId="26B197FD" w14:textId="77777777" w:rsidR="00E83C46" w:rsidRPr="00F44ED8" w:rsidRDefault="00E83C46">
      <w:pPr>
        <w:rPr>
          <w:rFonts w:ascii="Times New Roman" w:hAnsi="Times New Roman" w:cs="Times New Roman"/>
          <w:sz w:val="24"/>
          <w:szCs w:val="24"/>
        </w:rPr>
      </w:pPr>
    </w:p>
    <w:sectPr w:rsidR="00E83C46" w:rsidRPr="00F44E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7509E8"/>
    <w:multiLevelType w:val="hybridMultilevel"/>
    <w:tmpl w:val="F6DC13D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16cid:durableId="13477132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39D"/>
    <w:rsid w:val="000C531F"/>
    <w:rsid w:val="001F0F7E"/>
    <w:rsid w:val="00226242"/>
    <w:rsid w:val="002B7926"/>
    <w:rsid w:val="003D603A"/>
    <w:rsid w:val="00412C14"/>
    <w:rsid w:val="006A5EF3"/>
    <w:rsid w:val="00761F2B"/>
    <w:rsid w:val="00967F9C"/>
    <w:rsid w:val="00971202"/>
    <w:rsid w:val="009A33A6"/>
    <w:rsid w:val="00A55A6C"/>
    <w:rsid w:val="00AB71AC"/>
    <w:rsid w:val="00C53C44"/>
    <w:rsid w:val="00C667C6"/>
    <w:rsid w:val="00CB2884"/>
    <w:rsid w:val="00D3239D"/>
    <w:rsid w:val="00D632AA"/>
    <w:rsid w:val="00DA73F9"/>
    <w:rsid w:val="00DF43E6"/>
    <w:rsid w:val="00E83C46"/>
    <w:rsid w:val="00F44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2E2D"/>
  <w15:chartTrackingRefBased/>
  <w15:docId w15:val="{61A141F8-7625-4881-94F1-908408CF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39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39D"/>
    <w:pPr>
      <w:ind w:left="720"/>
      <w:contextualSpacing/>
    </w:pPr>
  </w:style>
  <w:style w:type="paragraph" w:customStyle="1" w:styleId="font9">
    <w:name w:val="font_9"/>
    <w:basedOn w:val="Normal"/>
    <w:rsid w:val="00D323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DefaultParagraphFont"/>
    <w:rsid w:val="00D3239D"/>
  </w:style>
  <w:style w:type="character" w:customStyle="1" w:styleId="wixguard">
    <w:name w:val="wixguard"/>
    <w:basedOn w:val="DefaultParagraphFont"/>
    <w:rsid w:val="00D32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773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O'rhanna Brewster</dc:creator>
  <cp:keywords/>
  <dc:description/>
  <cp:lastModifiedBy>Administrator</cp:lastModifiedBy>
  <cp:revision>3</cp:revision>
  <dcterms:created xsi:type="dcterms:W3CDTF">2024-09-12T13:17:00Z</dcterms:created>
  <dcterms:modified xsi:type="dcterms:W3CDTF">2024-09-12T14:52:00Z</dcterms:modified>
</cp:coreProperties>
</file>