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A137280" w:rsidP="10B30B85" w:rsidRDefault="0A137280" w14:paraId="5260F408" w14:textId="7C8FEDEF">
      <w:pPr>
        <w:pStyle w:val="Normal"/>
        <w:suppressLineNumbers w:val="0"/>
        <w:bidi w:val="0"/>
        <w:spacing w:before="0" w:beforeAutospacing="off" w:after="160" w:afterAutospacing="off" w:line="259" w:lineRule="auto"/>
        <w:ind w:left="0" w:right="0"/>
        <w:jc w:val="left"/>
      </w:pPr>
      <w:r w:rsidR="0A137280">
        <w:rPr/>
        <w:t>In considering the</w:t>
      </w:r>
      <w:r w:rsidR="00042565">
        <w:rPr/>
        <w:t xml:space="preserve"> practicalities of the</w:t>
      </w:r>
      <w:r w:rsidR="0A137280">
        <w:rPr/>
        <w:t xml:space="preserve"> reconstruction of ancient household activities and organisation from the archaeological record</w:t>
      </w:r>
      <w:r w:rsidR="15FD6760">
        <w:rPr/>
        <w:t xml:space="preserve"> in a Chalcolithic and Bronze Age Cypriot context, the overriding telos must be just that – a</w:t>
      </w:r>
      <w:r w:rsidR="3EA90A96">
        <w:rPr/>
        <w:t xml:space="preserve">n appreciation of practicality. </w:t>
      </w:r>
      <w:r w:rsidR="5CA06260">
        <w:rPr/>
        <w:t>This is not to neglect or minimise the importance of symbolic and non-materialistic context for select subjects from this record, but rather to situ</w:t>
      </w:r>
      <w:r w:rsidR="6306F8C4">
        <w:rPr/>
        <w:t xml:space="preserve">ate such contexts within the broader framework of a society defined by scarcity, limited </w:t>
      </w:r>
      <w:r w:rsidR="347E1773">
        <w:rPr/>
        <w:t>resources,</w:t>
      </w:r>
      <w:r w:rsidR="6306F8C4">
        <w:rPr/>
        <w:t xml:space="preserve"> and </w:t>
      </w:r>
      <w:r w:rsidR="2DF4D89C">
        <w:rPr/>
        <w:t xml:space="preserve">the tangible importance of prestige. In such a framework, these contexts are not devaluated </w:t>
      </w:r>
      <w:r w:rsidR="12CAAD0D">
        <w:rPr/>
        <w:t>in importance, but rather understandable as a sort of psychic scaffolding</w:t>
      </w:r>
      <w:r w:rsidR="3277068E">
        <w:rPr/>
        <w:t xml:space="preserve"> that at once shapes</w:t>
      </w:r>
      <w:r w:rsidR="3277068E">
        <w:rPr/>
        <w:t xml:space="preserve"> </w:t>
      </w:r>
      <w:r w:rsidR="3277068E">
        <w:rPr/>
        <w:t xml:space="preserve">and is shaped by </w:t>
      </w:r>
      <w:bookmarkStart w:name="_Int_gQuzmVFo" w:id="2130300190"/>
      <w:r w:rsidR="3277068E">
        <w:rPr/>
        <w:t>th</w:t>
      </w:r>
      <w:r w:rsidR="18300F8B">
        <w:rPr/>
        <w:t>e</w:t>
      </w:r>
      <w:r w:rsidR="1E96A5EF">
        <w:rPr/>
        <w:t xml:space="preserve"> </w:t>
      </w:r>
      <w:r w:rsidR="18300F8B">
        <w:rPr/>
        <w:t xml:space="preserve"> </w:t>
      </w:r>
      <w:r w:rsidR="18300F8B">
        <w:rPr/>
        <w:t>fundamental</w:t>
      </w:r>
      <w:bookmarkEnd w:id="2130300190"/>
      <w:r w:rsidR="18300F8B">
        <w:rPr/>
        <w:t xml:space="preserve"> subordination of Cypriot society during these periods to scarcity</w:t>
      </w:r>
      <w:r w:rsidR="0D7EE058">
        <w:rPr/>
        <w:t>, and its response to that condition.</w:t>
      </w:r>
    </w:p>
    <w:p w:rsidR="38FC5646" w:rsidP="6C735487" w:rsidRDefault="38FC5646" w14:paraId="5DAF9F1E" w14:textId="0D759A04">
      <w:pPr>
        <w:pStyle w:val="Normal"/>
        <w:suppressLineNumbers w:val="0"/>
        <w:spacing w:before="0" w:beforeAutospacing="off" w:after="160" w:afterAutospacing="off" w:line="259" w:lineRule="auto"/>
        <w:ind w:left="0" w:right="0"/>
        <w:jc w:val="left"/>
      </w:pPr>
      <w:r w:rsidR="38FC5646">
        <w:rPr/>
        <w:t>A useful case study</w:t>
      </w:r>
      <w:r w:rsidR="70FD4E03">
        <w:rPr/>
        <w:t xml:space="preserve"> in this regard</w:t>
      </w:r>
      <w:r w:rsidR="38FC5646">
        <w:rPr/>
        <w:t xml:space="preserve"> is </w:t>
      </w:r>
      <w:r w:rsidR="504FC09C">
        <w:rPr/>
        <w:t xml:space="preserve">the analysis of material unearthed at the </w:t>
      </w:r>
      <w:bookmarkStart w:name="_Int_Th3ZdNU8" w:id="60798772"/>
      <w:r w:rsidR="504FC09C">
        <w:rPr/>
        <w:t>Kissonerga-Mosphilia</w:t>
      </w:r>
      <w:bookmarkEnd w:id="60798772"/>
      <w:r w:rsidR="504FC09C">
        <w:rPr/>
        <w:t xml:space="preserve"> Chalcolithic site in </w:t>
      </w:r>
      <w:r w:rsidRPr="6C735487" w:rsidR="227B3408">
        <w:rPr>
          <w:i w:val="1"/>
          <w:iCs w:val="1"/>
        </w:rPr>
        <w:t xml:space="preserve">The Archaeology of Fertility and Birth: A Ritual Deposit </w:t>
      </w:r>
      <w:bookmarkStart w:name="_Int_RGL92i4S" w:id="1919190474"/>
      <w:r w:rsidRPr="6C735487" w:rsidR="227B3408">
        <w:rPr>
          <w:i w:val="1"/>
          <w:iCs w:val="1"/>
        </w:rPr>
        <w:t>From</w:t>
      </w:r>
      <w:bookmarkEnd w:id="1919190474"/>
      <w:r w:rsidRPr="6C735487" w:rsidR="227B3408">
        <w:rPr>
          <w:i w:val="1"/>
          <w:iCs w:val="1"/>
        </w:rPr>
        <w:t xml:space="preserve"> Chalcolithic Cyprus</w:t>
      </w:r>
      <w:r w:rsidR="227B3408">
        <w:rPr/>
        <w:t xml:space="preserve"> by Diane L. Bolger</w:t>
      </w:r>
      <w:r w:rsidR="14D70A10">
        <w:rPr/>
        <w:t xml:space="preserve">. On one level, the material concerns itself </w:t>
      </w:r>
      <w:r w:rsidR="4732F49B">
        <w:rPr/>
        <w:t>with elements of Chalcolithic-Cypriot life that seems, upon init</w:t>
      </w:r>
      <w:r w:rsidR="2CEBFD98">
        <w:rPr/>
        <w:t>ial inspection, divorced from the material condition of the average Chalcolithic-Cypriot, with Bolger’s anal</w:t>
      </w:r>
      <w:r w:rsidR="5C0D8064">
        <w:rPr/>
        <w:t xml:space="preserve">ysis </w:t>
      </w:r>
      <w:r w:rsidR="627416C8">
        <w:rPr/>
        <w:t>in particular focussing on the “Chalcolithic figurines”</w:t>
      </w:r>
      <w:r w:rsidRPr="6C735487">
        <w:rPr>
          <w:rStyle w:val="FootnoteReference"/>
        </w:rPr>
        <w:footnoteReference w:id="29780"/>
      </w:r>
      <w:r w:rsidR="006B6E93">
        <w:rPr/>
        <w:t xml:space="preserve"> and their </w:t>
      </w:r>
      <w:bookmarkStart w:name="_Int_LD4HbJom" w:id="827028431"/>
      <w:r w:rsidR="006B6E93">
        <w:rPr/>
        <w:t>possible utility</w:t>
      </w:r>
      <w:bookmarkEnd w:id="827028431"/>
      <w:r w:rsidR="006B6E93">
        <w:rPr/>
        <w:t xml:space="preserve"> as ritual ob</w:t>
      </w:r>
      <w:r w:rsidR="5FBDE12B">
        <w:rPr/>
        <w:t>jects (though the possibility of their being “children’s toys”</w:t>
      </w:r>
      <w:r w:rsidRPr="6C735487">
        <w:rPr>
          <w:rStyle w:val="FootnoteReference"/>
        </w:rPr>
        <w:footnoteReference w:id="3693"/>
      </w:r>
      <w:r w:rsidR="6624778F">
        <w:rPr/>
        <w:t xml:space="preserve"> is briefly mooted, </w:t>
      </w:r>
      <w:r w:rsidR="27495E84">
        <w:rPr/>
        <w:t xml:space="preserve">Bolger does not seriously entertain this circumstance). </w:t>
      </w:r>
    </w:p>
    <w:p w:rsidR="179BC80B" w:rsidP="6C735487" w:rsidRDefault="179BC80B" w14:paraId="1C66D78A" w14:textId="284C708D">
      <w:pPr>
        <w:pStyle w:val="Normal"/>
        <w:suppressLineNumbers w:val="0"/>
        <w:bidi w:val="0"/>
        <w:spacing w:before="0" w:beforeAutospacing="off" w:after="160" w:afterAutospacing="off" w:line="259" w:lineRule="auto"/>
        <w:ind w:left="0" w:right="0"/>
        <w:jc w:val="left"/>
      </w:pPr>
      <w:r w:rsidR="179BC80B">
        <w:rPr/>
        <w:t xml:space="preserve">Bolger, drawing on the research of </w:t>
      </w:r>
      <w:r w:rsidR="179BC80B">
        <w:rPr/>
        <w:t>Peltenburg</w:t>
      </w:r>
      <w:r w:rsidR="179BC80B">
        <w:rPr/>
        <w:t xml:space="preserve"> and Goring, accept</w:t>
      </w:r>
      <w:r w:rsidR="063519C9">
        <w:rPr/>
        <w:t>ed</w:t>
      </w:r>
      <w:r w:rsidR="179BC80B">
        <w:rPr/>
        <w:t xml:space="preserve"> that it ha</w:t>
      </w:r>
      <w:r w:rsidR="60936FF8">
        <w:rPr/>
        <w:t>d</w:t>
      </w:r>
      <w:r w:rsidR="179BC80B">
        <w:rPr/>
        <w:t xml:space="preserve"> been established “without question”</w:t>
      </w:r>
      <w:r w:rsidRPr="6C735487">
        <w:rPr>
          <w:rStyle w:val="FootnoteReference"/>
        </w:rPr>
        <w:footnoteReference w:id="9625"/>
      </w:r>
      <w:r w:rsidR="0337354A">
        <w:rPr/>
        <w:t xml:space="preserve"> that the figurines are fundamentally connected with “fertility and birth”</w:t>
      </w:r>
      <w:r w:rsidRPr="6C735487">
        <w:rPr>
          <w:rStyle w:val="FootnoteReference"/>
        </w:rPr>
        <w:footnoteReference w:id="29286"/>
      </w:r>
      <w:r w:rsidR="5640AD3C">
        <w:rPr/>
        <w:t xml:space="preserve">, and, proceeding from that basis </w:t>
      </w:r>
      <w:r w:rsidR="14E5926E">
        <w:rPr/>
        <w:t>and with the use of cross-cultural comparison with more contemporaneous “traditional societies”</w:t>
      </w:r>
      <w:r w:rsidRPr="6C735487">
        <w:rPr>
          <w:rStyle w:val="FootnoteReference"/>
        </w:rPr>
        <w:footnoteReference w:id="24282"/>
      </w:r>
      <w:r w:rsidR="14E5926E">
        <w:rPr/>
        <w:t xml:space="preserve"> (largely the Bantu and Ashante), argue</w:t>
      </w:r>
      <w:r w:rsidR="7AA4D93B">
        <w:rPr/>
        <w:t>d</w:t>
      </w:r>
      <w:r w:rsidR="14E5926E">
        <w:rPr/>
        <w:t xml:space="preserve"> that the </w:t>
      </w:r>
      <w:r w:rsidR="2693EF92">
        <w:rPr/>
        <w:t xml:space="preserve">ritual use of the figurines as objects is likely as aids to the procreative process. </w:t>
      </w:r>
      <w:r w:rsidR="3E24B0F8">
        <w:rPr/>
        <w:t xml:space="preserve">As such, the contribution of the archaeological record via these items seems, as it is currently understood, a distinctly religious or even magical (in the sense of </w:t>
      </w:r>
      <w:r w:rsidR="6E4767AA">
        <w:rPr/>
        <w:t xml:space="preserve">the ritual practice thereof) function, with little reference to the social utility required by a society defined by physical scarcity</w:t>
      </w:r>
      <w:r w:rsidR="492F508C">
        <w:rPr/>
        <w:t xml:space="preserve"> and the economic vitality of “fresh blood” to power largely manual domestic jobs in a household-based economy</w:t>
      </w:r>
      <w:r w:rsidR="6E4767AA">
        <w:rPr/>
        <w:t xml:space="preserve">. </w:t>
      </w:r>
      <w:r w:rsidR="3B6E7B5B">
        <w:rPr/>
        <w:t>Indeed, given the natural bias of the archaeological record in favour of those elements of society affluent enough to boost the odds of their possessions surviving the wear and tear of time,</w:t>
      </w:r>
      <w:r w:rsidR="4E1E0C65">
        <w:rPr/>
        <w:t xml:space="preserve"> </w:t>
      </w:r>
      <w:r w:rsidR="4E1E0C65">
        <w:rPr/>
        <w:t xml:space="preserve">it would seem </w:t>
      </w:r>
      <w:r w:rsidR="21278458">
        <w:rPr/>
        <w:t xml:space="preserve">highly plausible </w:t>
      </w:r>
      <w:r w:rsidR="4E1E0C65">
        <w:rPr/>
        <w:t>that</w:t>
      </w:r>
      <w:r w:rsidR="3B6E7B5B">
        <w:rPr/>
        <w:t xml:space="preserve"> </w:t>
      </w:r>
      <w:r w:rsidR="34A0678C">
        <w:rPr/>
        <w:t>these</w:t>
      </w:r>
      <w:r w:rsidR="3B6E7B5B">
        <w:rPr/>
        <w:t xml:space="preserve"> </w:t>
      </w:r>
      <w:r w:rsidR="24E1E86D">
        <w:rPr/>
        <w:t xml:space="preserve">figurines </w:t>
      </w:r>
      <w:r w:rsidR="3B6E7B5B">
        <w:rPr/>
        <w:t>might be elite items</w:t>
      </w:r>
      <w:r w:rsidR="218DB0CD">
        <w:rPr/>
        <w:t xml:space="preserve"> for women of a higher social “class” (as far as that concept might be applied to such a remote period).</w:t>
      </w:r>
      <w:r w:rsidR="356F75D0">
        <w:rPr/>
        <w:t xml:space="preserve"> </w:t>
      </w:r>
    </w:p>
    <w:p w:rsidR="356F75D0" w:rsidP="6C735487" w:rsidRDefault="356F75D0" w14:paraId="1D4D1BFE" w14:textId="214C05F4">
      <w:pPr>
        <w:pStyle w:val="Normal"/>
        <w:suppressLineNumbers w:val="0"/>
        <w:bidi w:val="0"/>
        <w:spacing w:before="0" w:beforeAutospacing="off" w:after="160" w:afterAutospacing="off" w:line="259" w:lineRule="auto"/>
        <w:ind w:left="0" w:right="0"/>
        <w:jc w:val="left"/>
      </w:pPr>
      <w:r w:rsidR="356F75D0">
        <w:rPr/>
        <w:t>However, on a real leve</w:t>
      </w:r>
      <w:r w:rsidR="02FAB20A">
        <w:rPr/>
        <w:t xml:space="preserve">l, the social utility of such figurines – even considered purely as </w:t>
      </w:r>
      <w:r w:rsidR="70CF5321">
        <w:rPr/>
        <w:t>placebos – is both informed by and a palliative to the situation of often socially-insecure women in a con</w:t>
      </w:r>
      <w:r w:rsidR="2F743853">
        <w:rPr/>
        <w:t xml:space="preserve">text of profound scarcity, and the social consequences implied by such. </w:t>
      </w:r>
      <w:r w:rsidR="466038D2">
        <w:rPr/>
        <w:t xml:space="preserve">While the study of </w:t>
      </w:r>
      <w:r w:rsidR="3337E3B8">
        <w:rPr/>
        <w:t xml:space="preserve">human reproduction cited by Bolder is </w:t>
      </w:r>
      <w:bookmarkStart w:name="_Int_aOxy94yM" w:id="1236539843"/>
      <w:r w:rsidR="3337E3B8">
        <w:rPr/>
        <w:t>considerably antiquated</w:t>
      </w:r>
      <w:bookmarkEnd w:id="1236539843"/>
      <w:r w:rsidR="3337E3B8">
        <w:rPr/>
        <w:t xml:space="preserve"> by modern academic standards, </w:t>
      </w:r>
      <w:r w:rsidR="2D557F76">
        <w:rPr/>
        <w:t>the alienation experienced by most childless women throughout the world is a real phenomenon</w:t>
      </w:r>
      <w:r w:rsidR="6237EFF4">
        <w:rPr/>
        <w:t xml:space="preserve">, </w:t>
      </w:r>
      <w:bookmarkStart w:name="_Int_7m4b8oR5" w:id="402219663"/>
      <w:r w:rsidR="6237EFF4">
        <w:rPr/>
        <w:t>seemingly resulting</w:t>
      </w:r>
      <w:bookmarkEnd w:id="402219663"/>
      <w:r w:rsidR="6237EFF4">
        <w:rPr/>
        <w:t xml:space="preserve"> from cultural strands themselves shaped by a relation to scarcity. It is a commonplace that </w:t>
      </w:r>
      <w:r w:rsidR="6B4682DB">
        <w:rPr/>
        <w:t xml:space="preserve">fertility is negatively correlated with affluence, but no less true for it – one need only compare the birth rate in </w:t>
      </w:r>
      <w:r w:rsidR="115972C1">
        <w:rPr/>
        <w:t xml:space="preserve">Tanzania (4.8. births per woman) to that in Japan (1.34 </w:t>
      </w:r>
      <w:r w:rsidR="38B40E5F">
        <w:rPr/>
        <w:t xml:space="preserve">births </w:t>
      </w:r>
      <w:r w:rsidR="115972C1">
        <w:rPr/>
        <w:t>per woman). This is a practical outcome of and response to the realities of high-scarcity society</w:t>
      </w:r>
      <w:r w:rsidR="4FFE57F2">
        <w:rPr/>
        <w:t xml:space="preserve"> – as less offspring are liable to survive childhood (infant mortality being as negatively correlated with scarcity as affluence is with fertility), the birth of </w:t>
      </w:r>
      <w:r w:rsidR="0EA33D24">
        <w:rPr/>
        <w:t>larger groupings of children is a practical expedient against depopulation and a means of ensuring the long-term health of the household in an unforgiving environment.</w:t>
      </w:r>
      <w:r w:rsidR="1B7069EC">
        <w:rPr/>
        <w:t xml:space="preserve"> </w:t>
      </w:r>
      <w:r w:rsidR="1B7069EC">
        <w:rPr/>
        <w:t>Accordingly</w:t>
      </w:r>
      <w:r w:rsidR="1B7069EC">
        <w:rPr/>
        <w:t xml:space="preserve">, it may be surmised that the more </w:t>
      </w:r>
      <w:bookmarkStart w:name="_Int_L8LiGe8R" w:id="437749236"/>
      <w:r w:rsidR="1B7069EC">
        <w:rPr/>
        <w:t>high-scarcity</w:t>
      </w:r>
      <w:bookmarkEnd w:id="437749236"/>
      <w:r w:rsidR="1B7069EC">
        <w:rPr/>
        <w:t xml:space="preserve"> (or “traditional”) the society, the greater the taboo against childlessness in women.</w:t>
      </w:r>
      <w:r w:rsidR="460AE7A2">
        <w:rPr/>
        <w:t xml:space="preserve"> In such a context, therefore, ritual aids such as the figurines do not constitute a mystical dive</w:t>
      </w:r>
      <w:r w:rsidR="4153D89C">
        <w:rPr/>
        <w:t xml:space="preserve">rsion or purely private spiritual function, but rather a practical expedient for </w:t>
      </w:r>
      <w:r w:rsidR="5CC47BFE">
        <w:rPr/>
        <w:t xml:space="preserve">a </w:t>
      </w:r>
      <w:r w:rsidR="4153D89C">
        <w:rPr/>
        <w:t>safe and potent</w:t>
      </w:r>
      <w:r w:rsidR="71E02794">
        <w:rPr/>
        <w:t xml:space="preserve"> rise in personal</w:t>
      </w:r>
      <w:r w:rsidR="4153D89C">
        <w:rPr/>
        <w:t xml:space="preserve"> fertility</w:t>
      </w:r>
      <w:r w:rsidR="0B7AB755">
        <w:rPr/>
        <w:t>, with its advantages of social prestige, greater labour available to the family unit (equating to reduced scarcity), and</w:t>
      </w:r>
      <w:r w:rsidR="74553D64">
        <w:rPr/>
        <w:t xml:space="preserve">, in the long term, </w:t>
      </w:r>
      <w:r w:rsidR="0B7AB755">
        <w:rPr/>
        <w:t>c</w:t>
      </w:r>
      <w:r w:rsidR="3C16EE97">
        <w:rPr/>
        <w:t>arers in the precarious condition of old age in a high-scarcity society.</w:t>
      </w:r>
    </w:p>
    <w:p w:rsidR="74EF4534" w:rsidP="705AF152" w:rsidRDefault="74EF4534" w14:paraId="05938498" w14:textId="76E8874E">
      <w:pPr>
        <w:pStyle w:val="Normal"/>
        <w:suppressLineNumbers w:val="0"/>
        <w:bidi w:val="0"/>
        <w:spacing w:before="0" w:beforeAutospacing="off" w:after="160" w:afterAutospacing="off" w:line="259" w:lineRule="auto"/>
        <w:ind w:left="0" w:right="0"/>
        <w:jc w:val="left"/>
      </w:pPr>
      <w:r w:rsidR="74EF4534">
        <w:rPr/>
        <w:t>In</w:t>
      </w:r>
      <w:r w:rsidR="6D74C200">
        <w:rPr/>
        <w:t xml:space="preserve"> this context, a strict division of Chalcolithic- and Bronze Age-Cypriot life between the religious and the secular </w:t>
      </w:r>
      <w:r w:rsidR="2B06C9CF">
        <w:rPr/>
        <w:t>is not useful</w:t>
      </w:r>
      <w:r w:rsidR="04C61450">
        <w:rPr/>
        <w:t xml:space="preserve"> for the purposes of scholarly analysis</w:t>
      </w:r>
      <w:r w:rsidR="2B06C9CF">
        <w:rPr/>
        <w:t xml:space="preserve">, and indeed </w:t>
      </w:r>
      <w:r w:rsidR="6D74C200">
        <w:rPr/>
        <w:t xml:space="preserve">constitutes a sort of anachronism. </w:t>
      </w:r>
      <w:r w:rsidR="3A4E2D80">
        <w:rPr/>
        <w:t>For a woman unable to</w:t>
      </w:r>
      <w:r w:rsidR="641886E8">
        <w:rPr/>
        <w:t xml:space="preserve"> or </w:t>
      </w:r>
      <w:bookmarkStart w:name="_Int_dopxOnCk" w:id="1072608689"/>
      <w:r w:rsidR="641886E8">
        <w:rPr/>
        <w:t>experiencing difficulty</w:t>
      </w:r>
      <w:bookmarkEnd w:id="1072608689"/>
      <w:r w:rsidR="641886E8">
        <w:rPr/>
        <w:t xml:space="preserve"> in</w:t>
      </w:r>
      <w:r w:rsidR="3A4E2D80">
        <w:rPr/>
        <w:t xml:space="preserve"> conceiv</w:t>
      </w:r>
      <w:r w:rsidR="06E786A1">
        <w:rPr/>
        <w:t>ing</w:t>
      </w:r>
      <w:r w:rsidR="3A4E2D80">
        <w:rPr/>
        <w:t xml:space="preserve"> a child, the social odium she was subject to for this perceived failing </w:t>
      </w:r>
      <w:r w:rsidR="2F0666C0">
        <w:rPr/>
        <w:t>(“</w:t>
      </w:r>
      <w:r w:rsidR="2F0666C0">
        <w:rPr/>
        <w:t xml:space="preserve">While medically those women may not have been infertile, culturally they </w:t>
      </w:r>
      <w:r w:rsidR="2F0666C0">
        <w:rPr/>
        <w:t>were judged to be at fault”</w:t>
      </w:r>
      <w:r w:rsidRPr="705AF152">
        <w:rPr>
          <w:rStyle w:val="FootnoteReference"/>
        </w:rPr>
        <w:footnoteReference w:id="25611"/>
      </w:r>
      <w:r w:rsidR="1C56D5B6">
        <w:rPr/>
        <w:t>)</w:t>
      </w:r>
      <w:r w:rsidR="13C1EEF2">
        <w:rPr/>
        <w:t xml:space="preserve"> </w:t>
      </w:r>
      <w:r w:rsidR="4464A5A9">
        <w:rPr/>
        <w:t xml:space="preserve">was not the principle root of her misfortune, but rather </w:t>
      </w:r>
      <w:r w:rsidR="077C49ED">
        <w:rPr/>
        <w:t xml:space="preserve">a symptom of </w:t>
      </w:r>
      <w:r w:rsidR="4464A5A9">
        <w:rPr/>
        <w:t>the</w:t>
      </w:r>
      <w:r w:rsidR="3A5921CB">
        <w:rPr/>
        <w:t xml:space="preserve"> arbitrary</w:t>
      </w:r>
      <w:r w:rsidR="4464A5A9">
        <w:rPr/>
        <w:t xml:space="preserve"> physical misfortune of a lack of fertility, lack of virility, or simple b</w:t>
      </w:r>
      <w:r w:rsidR="526A29C4">
        <w:rPr/>
        <w:t>ad luck in a high-scarcity society that penalised women unable to contribute units of labour to</w:t>
      </w:r>
      <w:r w:rsidR="5A85C1DF">
        <w:rPr/>
        <w:t xml:space="preserve"> eventually fulfil</w:t>
      </w:r>
      <w:r w:rsidR="526A29C4">
        <w:rPr/>
        <w:t xml:space="preserve"> the ho</w:t>
      </w:r>
      <w:r w:rsidR="27466B06">
        <w:rPr/>
        <w:t>usehold</w:t>
      </w:r>
      <w:r w:rsidR="48BC0C71">
        <w:rPr/>
        <w:t>’s needs.</w:t>
      </w:r>
      <w:r w:rsidR="022660C5">
        <w:rPr/>
        <w:t xml:space="preserve"> For the woman experiencing the social odium and anxiety resulting from this</w:t>
      </w:r>
      <w:r w:rsidR="2E0C3B96">
        <w:rPr/>
        <w:t>, the functional difference between her specific misfortune</w:t>
      </w:r>
      <w:r w:rsidR="167B7A30">
        <w:rPr/>
        <w:t xml:space="preserve"> and the physical aspect of the problem (difficulty in conceiving a child, or, a very rational anxiety, fear over the likelihood of death in childbirth) would </w:t>
      </w:r>
      <w:r w:rsidR="2AE00CF1">
        <w:rPr/>
        <w:t>not appear to be of very great interest. The secular and the religious, in this context, are not separate, but intersect. An appeal to the divine does not const</w:t>
      </w:r>
      <w:r w:rsidR="78842265">
        <w:rPr/>
        <w:t>itute a private personal interest in a rationalist-capitalist societal consensus, but rather a practical effort to negotiate an i</w:t>
      </w:r>
      <w:r w:rsidR="7A39241C">
        <w:rPr/>
        <w:t xml:space="preserve">ssue both personal (as it pertains to the survival of the woman experiencing childbirth, her likelihood of conceiving a child and so on) and communal (regarding the household’s need for a surplus of fresh children </w:t>
      </w:r>
      <w:r w:rsidR="272FAC2A">
        <w:rPr/>
        <w:t xml:space="preserve">in a society where high infant mortality and scarcity demand a certain level of unsentimental, even ruthless practicality). </w:t>
      </w:r>
    </w:p>
    <w:p w:rsidR="272FAC2A" w:rsidP="705AF152" w:rsidRDefault="272FAC2A" w14:paraId="1F3C3FBE" w14:textId="2DC1455A">
      <w:pPr>
        <w:pStyle w:val="Normal"/>
        <w:suppressLineNumbers w:val="0"/>
        <w:bidi w:val="0"/>
        <w:spacing w:before="0" w:beforeAutospacing="off" w:after="160" w:afterAutospacing="off" w:line="259" w:lineRule="auto"/>
        <w:ind w:left="0" w:right="0"/>
        <w:jc w:val="left"/>
      </w:pPr>
      <w:r w:rsidR="272FAC2A">
        <w:rPr/>
        <w:t xml:space="preserve">Undergirding this framework is an overwhelmingly practical understanding of the </w:t>
      </w:r>
      <w:r w:rsidR="688AC6F8">
        <w:rPr/>
        <w:t>divine that goes against the prevailing (secular) understanding of the religious sphere in the Western academic tradition. The divine is transcend</w:t>
      </w:r>
      <w:r w:rsidR="24037D85">
        <w:rPr/>
        <w:t xml:space="preserve">ent, but its utility is not purely supplementary. In a high-scarcity, high-mortality society, the figurines unearthed at Kissonerga-Mosphilia may be considered analogous in </w:t>
      </w:r>
      <w:r w:rsidR="4A936F2E">
        <w:rPr/>
        <w:t xml:space="preserve">function (if not in role or outcome) to going to a professional for aid in conceiving a child. It </w:t>
      </w:r>
      <w:r w:rsidR="0B1FDDF1">
        <w:rPr/>
        <w:t>may not as a solution constitute</w:t>
      </w:r>
      <w:r w:rsidR="4A936F2E">
        <w:rPr/>
        <w:t xml:space="preserve"> </w:t>
      </w:r>
      <w:r w:rsidR="4A936F2E">
        <w:rPr/>
        <w:t>a certain success, b</w:t>
      </w:r>
      <w:r w:rsidR="3302ADC8">
        <w:rPr/>
        <w:t xml:space="preserve">ut then for many couples neither is seeing a professional today. Indeed, </w:t>
      </w:r>
      <w:r w:rsidR="745DC896">
        <w:rPr/>
        <w:t>for a less secular comparison, one might take the pilgrimages made by many European families in the Middle Ages to holy sites to pray for the intercession of saints</w:t>
      </w:r>
      <w:r w:rsidR="2FD67F23">
        <w:rPr/>
        <w:t xml:space="preserve"> for the improvement of their own fertility or virility – </w:t>
      </w:r>
      <w:r w:rsidR="745DC896">
        <w:rPr/>
        <w:t>while</w:t>
      </w:r>
      <w:r w:rsidR="2FD67F23">
        <w:rPr/>
        <w:t xml:space="preserve"> the mechanism is hallowed, it is in practice subordinated to the pressing material</w:t>
      </w:r>
      <w:r w:rsidR="3302ADC8">
        <w:rPr/>
        <w:t xml:space="preserve"> </w:t>
      </w:r>
      <w:r w:rsidR="50840C8A">
        <w:rPr/>
        <w:t>need to reproduce and thus maintain the social fabric of the household if not the community, which is itself an outcome of scarcity. Further, as Bolger notes, the Cypriots at Kissonerga-Mosphilia demonstrate a decide</w:t>
      </w:r>
      <w:r w:rsidR="43B6DFC2">
        <w:rPr/>
        <w:t>dly unsentimental approach to fertility rites that failed beyond a certain frequency: “</w:t>
      </w:r>
      <w:r w:rsidR="2FBD1394">
        <w:rPr/>
        <w:t xml:space="preserve">The failure of the practices attested here to continue into the succeeding periods of the settlement suggests that the </w:t>
      </w:r>
      <w:r w:rsidR="2FBD1394">
        <w:rPr/>
        <w:t>deconsecration</w:t>
      </w:r>
      <w:r w:rsidR="2FBD1394">
        <w:rPr/>
        <w:t xml:space="preserve"> and ceremonial burial of the vessels, figurines, and other objects at approximately 3000 B.C. </w:t>
      </w:r>
      <w:r w:rsidR="2FBD1394">
        <w:rPr/>
        <w:t>signaled</w:t>
      </w:r>
      <w:r w:rsidR="2FBD1394">
        <w:rPr/>
        <w:t xml:space="preserve"> the demise of long-held beliefs about man's relationship to the supernatural”</w:t>
      </w:r>
      <w:r w:rsidRPr="705AF152">
        <w:rPr>
          <w:rStyle w:val="FootnoteReference"/>
        </w:rPr>
        <w:footnoteReference w:id="19717"/>
      </w:r>
      <w:r w:rsidR="29567D30">
        <w:rPr/>
        <w:t xml:space="preserve">. To put it more bluntly, although the care with which the </w:t>
      </w:r>
      <w:r w:rsidR="29567D30">
        <w:rPr/>
        <w:t xml:space="preserve">deconsecration</w:t>
      </w:r>
      <w:r w:rsidR="29567D30">
        <w:rPr/>
        <w:t xml:space="preserve"> was conducted </w:t>
      </w:r>
      <w:bookmarkStart w:name="_Int_oOvFhCbH" w:id="849292081"/>
      <w:r w:rsidR="29567D30">
        <w:rPr/>
        <w:t>rather puts</w:t>
      </w:r>
      <w:bookmarkEnd w:id="849292081"/>
      <w:r w:rsidR="29567D30">
        <w:rPr/>
        <w:t xml:space="preserve"> paid to any notion of an incipient </w:t>
      </w:r>
      <w:r w:rsidR="71182E62">
        <w:rPr/>
        <w:t>late-</w:t>
      </w:r>
      <w:r w:rsidR="29567D30">
        <w:rPr/>
        <w:t>Ch</w:t>
      </w:r>
      <w:r w:rsidR="65F10A62">
        <w:rPr/>
        <w:t xml:space="preserve">alcolithic </w:t>
      </w:r>
      <w:r w:rsidR="0F671CC1">
        <w:rPr/>
        <w:t>atheism, if the doctor seen by the community proved ineffectual, the community would find or manufacture other solutions.</w:t>
      </w:r>
      <w:r w:rsidR="7E5DE01B">
        <w:rPr/>
        <w:t xml:space="preserve"> </w:t>
      </w:r>
      <w:r w:rsidR="3AAD0F9D">
        <w:rPr/>
        <w:t xml:space="preserve">In order to properly reconstruct the Chalcolithic household’s organisation and activiti</w:t>
      </w:r>
      <w:r w:rsidR="2B3EF941">
        <w:rPr/>
        <w:t xml:space="preserve">es, an understanding of that household’s role as the basic unit of not simply the economy, but Cypriot life overall is a key – as such, any framework which fails to take into account the practical </w:t>
      </w:r>
      <w:r w:rsidR="63C6F132">
        <w:rPr/>
        <w:t xml:space="preserve">lack of sentimentality </w:t>
      </w:r>
      <w:r w:rsidR="2B3EF941">
        <w:rPr/>
        <w:t xml:space="preserve">shown by Chalcolithic </w:t>
      </w:r>
      <w:r w:rsidR="54A17501">
        <w:rPr/>
        <w:t xml:space="preserve">households to religious solutions to a lack of fresh labour to power those activities and their economic by-products is necessarily flawed.</w:t>
      </w:r>
    </w:p>
    <w:p w:rsidR="272FAC2A" w:rsidP="404B973A" w:rsidRDefault="272FAC2A" w14:paraId="4D98D4B7" w14:textId="17530701">
      <w:pPr>
        <w:pStyle w:val="Normal"/>
        <w:suppressLineNumbers w:val="0"/>
        <w:bidi w:val="0"/>
        <w:spacing w:before="0" w:beforeAutospacing="off" w:after="160" w:afterAutospacing="off" w:line="259" w:lineRule="auto"/>
        <w:ind w:left="0" w:right="0"/>
        <w:jc w:val="left"/>
      </w:pPr>
      <w:r w:rsidR="7E5DE01B">
        <w:rPr/>
        <w:t xml:space="preserve">Another useful example can be found in Edgar </w:t>
      </w:r>
      <w:r w:rsidR="7E5DE01B">
        <w:rPr/>
        <w:t>Peltenburg’s</w:t>
      </w:r>
      <w:r w:rsidR="7E5DE01B">
        <w:rPr/>
        <w:t xml:space="preserve"> </w:t>
      </w:r>
      <w:r w:rsidRPr="404B973A" w:rsidR="66AA563D">
        <w:rPr>
          <w:i w:val="1"/>
          <w:iCs w:val="1"/>
        </w:rPr>
        <w:t>Settlement Discontinuity and Resistance to Complexity in Cyprus, ca. 4500-2500 B.C.E</w:t>
      </w:r>
      <w:r w:rsidR="66AA563D">
        <w:rPr/>
        <w:t>.</w:t>
      </w:r>
      <w:r w:rsidR="7E5DE01B">
        <w:rPr/>
        <w:t xml:space="preserve"> </w:t>
      </w:r>
      <w:r w:rsidR="52301BA1">
        <w:rPr/>
        <w:t>Setting aside the segment concerned with Neolithic Cyp</w:t>
      </w:r>
      <w:r w:rsidR="0757E3A5">
        <w:rPr/>
        <w:t>rus,</w:t>
      </w:r>
      <w:r w:rsidR="52301BA1">
        <w:rPr/>
        <w:t xml:space="preserve"> </w:t>
      </w:r>
      <w:r w:rsidR="52301BA1">
        <w:rPr/>
        <w:t xml:space="preserve">the primary </w:t>
      </w:r>
      <w:r w:rsidR="406F1581">
        <w:rPr/>
        <w:t xml:space="preserve">thrust of </w:t>
      </w:r>
      <w:r w:rsidR="406F1581">
        <w:rPr/>
        <w:t>Peltenburg’s</w:t>
      </w:r>
      <w:r w:rsidR="406F1581">
        <w:rPr/>
        <w:t xml:space="preserve"> work </w:t>
      </w:r>
      <w:r w:rsidR="52B91FF1">
        <w:rPr/>
        <w:t xml:space="preserve">lies in his analysis of the evidence supplied by the archaeological record as it pertains to the </w:t>
      </w:r>
      <w:r w:rsidR="1A7AD124">
        <w:rPr/>
        <w:t xml:space="preserve">dynamics of power and ‘complexity’ in the relevant periods. Charting the development – or lack thereof – of Cypriot society over time, </w:t>
      </w:r>
      <w:r w:rsidR="1A7AD124">
        <w:rPr/>
        <w:t>Pel</w:t>
      </w:r>
      <w:r w:rsidR="5BD5EBF2">
        <w:rPr/>
        <w:t>tenburg</w:t>
      </w:r>
      <w:r w:rsidR="2F82418F">
        <w:rPr/>
        <w:t>, citing the research of Feinman and Neitzel,</w:t>
      </w:r>
      <w:r w:rsidR="5BD5EBF2">
        <w:rPr/>
        <w:t xml:space="preserve"> argues that, far from existing in a state of “sociopolitical homeostasis”</w:t>
      </w:r>
      <w:r w:rsidRPr="404B973A">
        <w:rPr>
          <w:rStyle w:val="FootnoteReference"/>
        </w:rPr>
        <w:footnoteReference w:id="17263"/>
      </w:r>
      <w:r w:rsidR="7C837959">
        <w:rPr/>
        <w:t>, Chalcolithic</w:t>
      </w:r>
      <w:r w:rsidR="5614FE40">
        <w:rPr/>
        <w:t>-to-Early Bronze Age</w:t>
      </w:r>
      <w:r w:rsidR="7C837959">
        <w:rPr/>
        <w:t xml:space="preserve"> (and, less germanely, Neolithic) Cyprus in fact experienced </w:t>
      </w:r>
      <w:r w:rsidR="15459C09">
        <w:rPr/>
        <w:t>"fluctuating asymmetric political relationships”</w:t>
      </w:r>
      <w:r w:rsidRPr="404B973A">
        <w:rPr>
          <w:rStyle w:val="FootnoteReference"/>
        </w:rPr>
        <w:footnoteReference w:id="13615"/>
      </w:r>
      <w:r w:rsidR="71E1D904">
        <w:rPr/>
        <w:t xml:space="preserve"> rather than the binary between evolution and homeostasis centred by more Western-centric “evolutionary” models of social complexity. </w:t>
      </w:r>
      <w:r w:rsidR="333CF3D3">
        <w:rPr/>
        <w:t xml:space="preserve">Key to </w:t>
      </w:r>
      <w:r w:rsidR="333CF3D3">
        <w:rPr/>
        <w:t>Peltenburg’s</w:t>
      </w:r>
      <w:r w:rsidR="333CF3D3">
        <w:rPr/>
        <w:t xml:space="preserve"> analysis is the erosion of extant resistance to the stratification – itself associated with complexification – of Cypriot society over time, </w:t>
      </w:r>
      <w:r w:rsidR="56A0B6D7">
        <w:rPr/>
        <w:t xml:space="preserve">and the mechanisms of power </w:t>
      </w:r>
      <w:r w:rsidR="610A34E0">
        <w:rPr/>
        <w:t xml:space="preserve">associated with this process. </w:t>
      </w:r>
    </w:p>
    <w:p w:rsidR="272FAC2A" w:rsidP="404B973A" w:rsidRDefault="272FAC2A" w14:paraId="171E63BD" w14:textId="10CD96C8">
      <w:pPr>
        <w:pStyle w:val="Normal"/>
        <w:suppressLineNumbers w:val="0"/>
        <w:bidi w:val="0"/>
        <w:spacing w:before="0" w:beforeAutospacing="off" w:after="160" w:afterAutospacing="off" w:line="259" w:lineRule="auto"/>
        <w:ind w:left="0" w:right="0"/>
        <w:jc w:val="left"/>
      </w:pPr>
      <w:r w:rsidR="610A34E0">
        <w:rPr/>
        <w:t>In analysing these mechanisms, the fundamental primacy of the material in a high-scarcity society</w:t>
      </w:r>
      <w:r w:rsidR="6BD20317">
        <w:rPr/>
        <w:t xml:space="preserve"> wherein the domestic environment is the key unit of the economy</w:t>
      </w:r>
      <w:r w:rsidR="610A34E0">
        <w:rPr/>
        <w:t xml:space="preserve"> once again asserts itself. For example, take the use of</w:t>
      </w:r>
      <w:r w:rsidR="3E843CDA">
        <w:rPr/>
        <w:t xml:space="preserve"> – </w:t>
      </w:r>
      <w:bookmarkStart w:name="_Int_ex4dqV7D" w:id="714615419"/>
      <w:r w:rsidR="3E843CDA">
        <w:rPr/>
        <w:t>possibly sacral</w:t>
      </w:r>
      <w:bookmarkEnd w:id="714615419"/>
      <w:r w:rsidR="3E843CDA">
        <w:rPr/>
        <w:t xml:space="preserve"> – feasting. As </w:t>
      </w:r>
      <w:r w:rsidR="3E843CDA">
        <w:rPr/>
        <w:t xml:space="preserve">Peltenburg</w:t>
      </w:r>
      <w:r w:rsidR="3E843CDA">
        <w:rPr/>
        <w:t xml:space="preserve"> notes, “[...] conspicuous largesse has of</w:t>
      </w:r>
      <w:r w:rsidR="0645EE0D">
        <w:rPr/>
        <w:t>ten been associated with the supernatural</w:t>
      </w:r>
      <w:bookmarkStart w:name="_Int_Dvm9GEcs" w:id="544823422"/>
      <w:r w:rsidR="0645EE0D">
        <w:rPr/>
        <w:t>”</w:t>
      </w:r>
      <w:r w:rsidRPr="452E8C79">
        <w:rPr>
          <w:rStyle w:val="FootnoteReference"/>
        </w:rPr>
        <w:footnoteReference w:id="17710"/>
      </w:r>
      <w:r w:rsidR="0645EE0D">
        <w:rPr/>
        <w:t>.</w:t>
      </w:r>
      <w:bookmarkEnd w:id="544823422"/>
      <w:r w:rsidR="0645EE0D">
        <w:rPr/>
        <w:t xml:space="preserve"> Once again, </w:t>
      </w:r>
      <w:r w:rsidR="7978C144">
        <w:rPr/>
        <w:t xml:space="preserve">the archaeological record points (at first) to a </w:t>
      </w:r>
      <w:bookmarkStart w:name="_Int_PogRo1Od" w:id="1686638800"/>
      <w:r w:rsidR="7978C144">
        <w:rPr/>
        <w:t>seemingly mystical</w:t>
      </w:r>
      <w:bookmarkEnd w:id="1686638800"/>
      <w:r w:rsidR="7978C144">
        <w:rPr/>
        <w:t xml:space="preserve"> and decidedly non-secular mechanism of social influence</w:t>
      </w:r>
      <w:r w:rsidR="1A264EAC">
        <w:rPr/>
        <w:t xml:space="preserve"> – one that can, much like the votive figurines, be </w:t>
      </w:r>
      <w:r w:rsidR="1A264EAC">
        <w:rPr/>
        <w:t>deemed</w:t>
      </w:r>
      <w:r w:rsidR="1A264EAC">
        <w:rPr/>
        <w:t xml:space="preserve"> a “magical” function. </w:t>
      </w:r>
      <w:r w:rsidR="02958D46">
        <w:rPr/>
        <w:t xml:space="preserve">However, once again, the fundamental context for such a mystical association </w:t>
      </w:r>
      <w:r w:rsidR="02958D46">
        <w:rPr/>
        <w:t>remains</w:t>
      </w:r>
      <w:r w:rsidR="02958D46">
        <w:rPr/>
        <w:t xml:space="preserve"> scarcity. </w:t>
      </w:r>
      <w:r w:rsidR="37A7AD6E">
        <w:rPr/>
        <w:t xml:space="preserve">In a high-abundance context, food becomes mundane, with </w:t>
      </w:r>
      <w:r w:rsidR="5E379F17">
        <w:rPr/>
        <w:t>its symbolic power, if any, being rooted in its regular delivery – take the Christian prayer “</w:t>
      </w:r>
      <w:r w:rsidR="46A6DDB1">
        <w:rPr/>
        <w:t xml:space="preserve">Give us this day our daily bread” in the context of the Roman grain dole, for example. In a high-scarcity, high-precarity environment with </w:t>
      </w:r>
      <w:r w:rsidR="4040474D">
        <w:rPr/>
        <w:t xml:space="preserve">insecure and fractious authority over a </w:t>
      </w:r>
      <w:bookmarkStart w:name="_Int_081AIJPK" w:id="1567881656"/>
      <w:r w:rsidR="4040474D">
        <w:rPr/>
        <w:t>relatively small</w:t>
      </w:r>
      <w:bookmarkEnd w:id="1567881656"/>
      <w:r w:rsidR="4040474D">
        <w:rPr/>
        <w:t xml:space="preserve"> area, however – one analogous to the fractured fiefdoms of Chalcolithic and early Bronze Age Cyprus – the </w:t>
      </w:r>
      <w:r w:rsidR="4040474D">
        <w:rPr/>
        <w:t>capacity</w:t>
      </w:r>
      <w:r w:rsidR="4040474D">
        <w:rPr/>
        <w:t xml:space="preserve"> to provide </w:t>
      </w:r>
      <w:r w:rsidR="019B621C">
        <w:rPr/>
        <w:t xml:space="preserve">a </w:t>
      </w:r>
      <w:r w:rsidR="4040474D">
        <w:rPr/>
        <w:t>regular</w:t>
      </w:r>
      <w:r w:rsidR="76594470">
        <w:rPr/>
        <w:t xml:space="preserve"> supply of food becomes not a basic priority of the state, but a positive boon. In such a context, therefore, a ruler’s provision of an outright abundance at </w:t>
      </w:r>
      <w:bookmarkStart w:name="_Int_9NE6dYu2" w:id="1869359742"/>
      <w:r w:rsidR="76594470">
        <w:rPr/>
        <w:t>select</w:t>
      </w:r>
      <w:bookmarkEnd w:id="1869359742"/>
      <w:r w:rsidR="76594470">
        <w:rPr/>
        <w:t xml:space="preserve"> oc</w:t>
      </w:r>
      <w:r w:rsidR="495D134E">
        <w:rPr/>
        <w:t>casions – especially if infused with sacral meaning from a member of the priestly caste – becomes a sign of supernatural favour. Once again, the sphere of the secular blurs with</w:t>
      </w:r>
      <w:r w:rsidR="0AB82E1D">
        <w:rPr/>
        <w:t xml:space="preserve"> that of</w:t>
      </w:r>
      <w:r w:rsidR="495D134E">
        <w:rPr/>
        <w:t xml:space="preserve"> the </w:t>
      </w:r>
      <w:r w:rsidR="17499D8F">
        <w:rPr/>
        <w:t>sublunar, material needs are met with spiritual solutions, and the archaeological rec</w:t>
      </w:r>
      <w:r w:rsidR="585C4391">
        <w:rPr/>
        <w:t xml:space="preserve">ord points to a means of control that subordinates occult means (at least in presentation) to eminently material ends. </w:t>
      </w:r>
      <w:r w:rsidR="21D2F67B">
        <w:rPr/>
        <w:t>As Service notes, "One of the most powerful of the new politically integrative ingredients [of chiefdoms] is ideological: The</w:t>
      </w:r>
      <w:r w:rsidR="6F770BEF">
        <w:rPr/>
        <w:t xml:space="preserve"> hierarchy </w:t>
      </w:r>
      <w:r w:rsidR="21D2F67B">
        <w:rPr/>
        <w:t xml:space="preserve">of the authority system has become supernaturally sanctioned in </w:t>
      </w:r>
      <w:bookmarkStart w:name="_Int_b8ViFu3y" w:id="1914667293"/>
      <w:r w:rsidR="21D2F67B">
        <w:rPr/>
        <w:t>mythology</w:t>
      </w:r>
      <w:r w:rsidR="21D2F67B">
        <w:rPr/>
        <w:t>”</w:t>
      </w:r>
      <w:r w:rsidRPr="404B973A">
        <w:rPr>
          <w:rStyle w:val="FootnoteReference"/>
        </w:rPr>
        <w:footnoteReference w:id="11996"/>
      </w:r>
      <w:bookmarkEnd w:id="1914667293"/>
      <w:r w:rsidR="45B576CA">
        <w:rPr/>
        <w:t>,</w:t>
      </w:r>
      <w:r w:rsidR="45B576CA">
        <w:rPr/>
        <w:t xml:space="preserve"> a verdict </w:t>
      </w:r>
      <w:r w:rsidR="45B576CA">
        <w:rPr/>
        <w:t>Peltenburg</w:t>
      </w:r>
      <w:r w:rsidR="45B576CA">
        <w:rPr/>
        <w:t xml:space="preserve"> considered “widely agreed [upon</w:t>
      </w:r>
      <w:bookmarkStart w:name="_Int_019NxFRC" w:id="483063059"/>
      <w:r w:rsidR="45B576CA">
        <w:rPr/>
        <w:t xml:space="preserve">]”</w:t>
      </w:r>
      <w:r w:rsidRPr="404B973A">
        <w:rPr>
          <w:rStyle w:val="FootnoteReference"/>
        </w:rPr>
        <w:footnoteReference w:id="235"/>
      </w:r>
      <w:bookmarkEnd w:id="483063059"/>
      <w:r w:rsidR="517FB425">
        <w:rPr/>
        <w:t xml:space="preserve"> in the academic community at the time. By answering material needs with a solution that, if not </w:t>
      </w:r>
      <w:bookmarkStart w:name="_Int_EjSwYffa" w:id="216253378"/>
      <w:r w:rsidR="517FB425">
        <w:rPr/>
        <w:t>actively ”magical</w:t>
      </w:r>
      <w:bookmarkEnd w:id="216253378"/>
      <w:bookmarkStart w:name="_Int_BMwydsi8" w:id="1375399493"/>
      <w:r w:rsidR="517FB425">
        <w:rPr/>
        <w:t>”,</w:t>
      </w:r>
      <w:bookmarkEnd w:id="1375399493"/>
      <w:r w:rsidR="517FB425">
        <w:rPr/>
        <w:t xml:space="preserve"> was presented as such</w:t>
      </w:r>
      <w:r w:rsidR="6BC6AB28">
        <w:rPr/>
        <w:t>, the material power of the executive was shored up, enabling the further entrenchment of their position.</w:t>
      </w:r>
      <w:r w:rsidR="383292CB">
        <w:rPr/>
        <w:t xml:space="preserve"> </w:t>
      </w:r>
    </w:p>
    <w:p w:rsidR="45973747" w:rsidP="452E8C79" w:rsidRDefault="45973747" w14:paraId="69D70118" w14:textId="77B1AFC4">
      <w:pPr>
        <w:pStyle w:val="Normal"/>
        <w:suppressLineNumbers w:val="0"/>
        <w:bidi w:val="0"/>
        <w:spacing w:before="0" w:beforeAutospacing="off" w:after="160" w:afterAutospacing="off" w:line="259" w:lineRule="auto"/>
        <w:ind w:left="0" w:right="0"/>
        <w:jc w:val="left"/>
      </w:pPr>
      <w:r w:rsidR="45973747">
        <w:rPr/>
        <w:t xml:space="preserve">However, this scarcity, while </w:t>
      </w:r>
      <w:bookmarkStart w:name="_Int_mrhXZ32J" w:id="713895341"/>
      <w:r w:rsidR="45973747">
        <w:rPr/>
        <w:t>highly important</w:t>
      </w:r>
      <w:bookmarkEnd w:id="713895341"/>
      <w:r w:rsidR="45973747">
        <w:rPr/>
        <w:t xml:space="preserve"> and fundamentally informing much of the lens through which Cypriot society understood itself, was not static, and </w:t>
      </w:r>
      <w:r w:rsidR="18A0AF3A">
        <w:rPr/>
        <w:t xml:space="preserve">fluxed. </w:t>
      </w:r>
      <w:r w:rsidR="1017B3F9">
        <w:rPr/>
        <w:t xml:space="preserve">Another of </w:t>
      </w:r>
      <w:r w:rsidR="1017B3F9">
        <w:rPr/>
        <w:t>Peltenburg’s</w:t>
      </w:r>
      <w:r w:rsidR="1017B3F9">
        <w:rPr/>
        <w:t xml:space="preserve"> works, </w:t>
      </w:r>
      <w:r w:rsidRPr="452E8C79" w:rsidR="1017B3F9">
        <w:rPr>
          <w:i w:val="1"/>
          <w:iCs w:val="1"/>
        </w:rPr>
        <w:t>Text Meets Material in</w:t>
      </w:r>
      <w:r w:rsidRPr="452E8C79" w:rsidR="5745946B">
        <w:rPr>
          <w:i w:val="1"/>
          <w:iCs w:val="1"/>
        </w:rPr>
        <w:t xml:space="preserve"> Late</w:t>
      </w:r>
      <w:r w:rsidRPr="452E8C79" w:rsidR="1017B3F9">
        <w:rPr>
          <w:i w:val="1"/>
          <w:iCs w:val="1"/>
        </w:rPr>
        <w:t xml:space="preserve"> Bronze Age Cyprus</w:t>
      </w:r>
      <w:r w:rsidR="1017B3F9">
        <w:rPr/>
        <w:t xml:space="preserve">, illustrates this </w:t>
      </w:r>
      <w:r w:rsidR="2B504044">
        <w:rPr/>
        <w:t xml:space="preserve">via his </w:t>
      </w:r>
      <w:r w:rsidR="5BF1DBF7">
        <w:rPr/>
        <w:t xml:space="preserve">synthetic analysis </w:t>
      </w:r>
      <w:r w:rsidR="2B504044">
        <w:rPr/>
        <w:t xml:space="preserve">of </w:t>
      </w:r>
      <w:r w:rsidR="2C4F0EA0">
        <w:rPr/>
        <w:t xml:space="preserve">both the archaeological record and surviving evidence of communications between contemporary heads of state during the period, and </w:t>
      </w:r>
      <w:r w:rsidR="41AAE4F4">
        <w:rPr/>
        <w:t xml:space="preserve">his resultant conclusions on the role and mechanisms of the state. </w:t>
      </w:r>
      <w:r w:rsidR="02E03259">
        <w:rPr/>
        <w:t xml:space="preserve">Noting a disconnect between the forms and styling used by the </w:t>
      </w:r>
      <w:r w:rsidR="55B6AB8B">
        <w:rPr/>
        <w:t>Alašiyan</w:t>
      </w:r>
      <w:r w:rsidR="55B6AB8B">
        <w:rPr/>
        <w:t xml:space="preserve"> monarch in communic</w:t>
      </w:r>
      <w:r w:rsidR="1D785CBE">
        <w:rPr/>
        <w:t>ation with contemporary heads of state</w:t>
      </w:r>
      <w:r w:rsidR="55B6AB8B">
        <w:rPr/>
        <w:t xml:space="preserve"> and the practical realit</w:t>
      </w:r>
      <w:r w:rsidR="06278E55">
        <w:rPr/>
        <w:t>ies implied by the archaeological record’s very lack of “</w:t>
      </w:r>
      <w:r w:rsidR="06278E55">
        <w:rPr/>
        <w:t>palatial centres, dynastic regalia and iconography of a ruling ideology that would more convincingly sustain the argument for a centrally administered stat</w:t>
      </w:r>
      <w:r w:rsidR="0BC9FF9A">
        <w:rPr/>
        <w:t>e [...]And yet, an entity that was internationally recognised in documentary sources as a highly ranked kingdom</w:t>
      </w:r>
      <w:r w:rsidR="3493251C">
        <w:rPr/>
        <w:t>, the equivalent of what by convention are called states elsewhere, did exist on Cyprus</w:t>
      </w:r>
      <w:r w:rsidR="06278E55">
        <w:rPr/>
        <w:t>”</w:t>
      </w:r>
      <w:r w:rsidRPr="452E8C79">
        <w:rPr>
          <w:rStyle w:val="FootnoteReference"/>
        </w:rPr>
        <w:footnoteReference w:id="3845"/>
      </w:r>
      <w:r w:rsidR="1434831F">
        <w:rPr/>
        <w:t xml:space="preserve">. </w:t>
      </w:r>
      <w:r w:rsidR="199C5537">
        <w:rPr/>
        <w:t>Peltenburg</w:t>
      </w:r>
      <w:r w:rsidR="199C5537">
        <w:rPr/>
        <w:t xml:space="preserve">, drawing on the language of his era, analogises the Cypriot monarch </w:t>
      </w:r>
      <w:r w:rsidR="5AF77005">
        <w:rPr/>
        <w:t xml:space="preserve">in function as an executive </w:t>
      </w:r>
      <w:bookmarkStart w:name="_Int_wZwvmEjS" w:id="526715401"/>
      <w:r w:rsidR="5AF77005">
        <w:rPr/>
        <w:t>that ”acts</w:t>
      </w:r>
      <w:bookmarkEnd w:id="526715401"/>
      <w:r w:rsidR="5AF77005">
        <w:rPr/>
        <w:t xml:space="preserve"> like a CEO”</w:t>
      </w:r>
      <w:r w:rsidRPr="452E8C79">
        <w:rPr>
          <w:rStyle w:val="FootnoteReference"/>
        </w:rPr>
        <w:footnoteReference w:id="18868"/>
      </w:r>
      <w:r w:rsidR="5AF77005">
        <w:rPr/>
        <w:t xml:space="preserve">, though he notes that </w:t>
      </w:r>
      <w:bookmarkStart w:name="_Int_irxJ8pLy" w:id="510498798"/>
      <w:r w:rsidR="5AF77005">
        <w:rPr/>
        <w:t>the ”</w:t>
      </w:r>
      <w:r w:rsidR="04C1C96E">
        <w:rPr/>
        <w:t>institutions</w:t>
      </w:r>
      <w:bookmarkEnd w:id="510498798"/>
      <w:r w:rsidR="04C1C96E">
        <w:rPr/>
        <w:t xml:space="preserve"> we refer to as “palaces” and “temples” were </w:t>
      </w:r>
      <w:bookmarkStart w:name="_Int_sSaIB8yZ" w:id="143518028"/>
      <w:r w:rsidR="04C1C96E">
        <w:rPr/>
        <w:t>mainly organised</w:t>
      </w:r>
      <w:bookmarkEnd w:id="143518028"/>
      <w:r w:rsidR="04C1C96E">
        <w:rPr/>
        <w:t xml:space="preserve"> along the metaphor of the household. Relationships between these institutional households were framed in terms of kinship, rather than the rational bureaucratic terminology most often used in archaeological and epigraphic reconstructions”</w:t>
      </w:r>
      <w:r w:rsidRPr="452E8C79">
        <w:rPr>
          <w:rStyle w:val="FootnoteReference"/>
        </w:rPr>
        <w:footnoteReference w:id="995"/>
      </w:r>
      <w:r w:rsidR="7E5B3309">
        <w:rPr/>
        <w:t xml:space="preserve">. </w:t>
      </w:r>
    </w:p>
    <w:p w:rsidR="7E5B3309" w:rsidP="452E8C79" w:rsidRDefault="7E5B3309" w14:paraId="417D885D" w14:textId="60115739">
      <w:pPr>
        <w:pStyle w:val="Normal"/>
        <w:suppressLineNumbers w:val="0"/>
        <w:bidi w:val="0"/>
        <w:spacing w:before="0" w:beforeAutospacing="off" w:after="160" w:afterAutospacing="off" w:line="259" w:lineRule="auto"/>
        <w:ind w:left="0" w:right="0"/>
        <w:jc w:val="left"/>
      </w:pPr>
      <w:r w:rsidR="7E5B3309">
        <w:rPr/>
        <w:t>Herein is the key insight</w:t>
      </w:r>
      <w:r w:rsidR="2D8AEEF0">
        <w:rPr/>
        <w:t xml:space="preserve"> in </w:t>
      </w:r>
      <w:r w:rsidR="2D8AEEF0">
        <w:rPr/>
        <w:t>Peltenburg’s</w:t>
      </w:r>
      <w:r w:rsidR="2D8AEEF0">
        <w:rPr/>
        <w:t xml:space="preserve"> work. Even in a period as removed from the scarcity of the Chalcolithic as the Late Bronze Age – one wherein Cyprus</w:t>
      </w:r>
      <w:r w:rsidR="28258C72">
        <w:rPr/>
        <w:t xml:space="preserve"> as the </w:t>
      </w:r>
      <w:r w:rsidR="28258C72">
        <w:rPr/>
        <w:t>Alašiyan</w:t>
      </w:r>
      <w:r w:rsidR="28258C72">
        <w:rPr/>
        <w:t xml:space="preserve"> monarchy</w:t>
      </w:r>
      <w:r w:rsidR="2D8AEEF0">
        <w:rPr/>
        <w:t xml:space="preserve"> is internationally acknowledged</w:t>
      </w:r>
      <w:r w:rsidR="6063DB3F">
        <w:rPr/>
        <w:t xml:space="preserve"> as worthy of the diplomatic </w:t>
      </w:r>
      <w:r w:rsidR="70070CF4">
        <w:rPr/>
        <w:t xml:space="preserve">address </w:t>
      </w:r>
      <w:r w:rsidR="6063DB3F">
        <w:rPr/>
        <w:t>appropriate to</w:t>
      </w:r>
      <w:r w:rsidR="6063DB3F">
        <w:rPr/>
        <w:t xml:space="preserve"> a high-ranking </w:t>
      </w:r>
      <w:r w:rsidR="1651341F">
        <w:rPr/>
        <w:t xml:space="preserve">power – the </w:t>
      </w:r>
      <w:r w:rsidR="551C147F">
        <w:rPr/>
        <w:t xml:space="preserve">conceptual grammar of its social organisation is fundamentally couched in the language of the household. </w:t>
      </w:r>
      <w:r w:rsidR="0A2E34A8">
        <w:rPr/>
        <w:t xml:space="preserve">While, </w:t>
      </w:r>
      <w:bookmarkStart w:name="_Int_F8SZaka8" w:id="616828339"/>
      <w:r w:rsidR="0A2E34A8">
        <w:rPr/>
        <w:t>relatively speaking</w:t>
      </w:r>
      <w:bookmarkEnd w:id="616828339"/>
      <w:r w:rsidR="0A2E34A8">
        <w:rPr/>
        <w:t>, the Cyprus of the Late Bronze Age is a monumentally different beast to that of the Chalcolithic</w:t>
      </w:r>
      <w:r w:rsidR="24752BAB">
        <w:rPr/>
        <w:t xml:space="preserve">, existing on the other side of a yawning gulf of prosperity, influence and awareness of the world around it, the thoughts of its rulers remained couched in the language of </w:t>
      </w:r>
      <w:r w:rsidR="6C36DCDD">
        <w:rPr/>
        <w:t xml:space="preserve">the household or family unit (though a decidedly non-nuclear variation thereupon). Beyond the terms of address common </w:t>
      </w:r>
      <w:r w:rsidR="1CF3DB58">
        <w:rPr/>
        <w:t>between</w:t>
      </w:r>
      <w:r w:rsidR="2D91F7AC">
        <w:rPr/>
        <w:t xml:space="preserve"> </w:t>
      </w:r>
      <w:r w:rsidR="4090BFA6">
        <w:rPr/>
        <w:t>heads of state at the time (father, brother and so on), this metaphor of kinship pervaded a functionally corporate</w:t>
      </w:r>
      <w:r w:rsidR="2AF1D7B5">
        <w:rPr/>
        <w:t>-mercantile</w:t>
      </w:r>
      <w:r w:rsidR="4090BFA6">
        <w:rPr/>
        <w:t xml:space="preserve"> social model </w:t>
      </w:r>
      <w:r w:rsidR="0FCEB4E2">
        <w:rPr/>
        <w:t>even in conditions of comparative super-abundance. Cyprio</w:t>
      </w:r>
      <w:r w:rsidR="307C4249">
        <w:rPr/>
        <w:t xml:space="preserve">t society, well into the Late Bronze Age, still thought in the grammar of scarcity, still considered the household the basic social unit, and, indeed, came to organise their society </w:t>
      </w:r>
      <w:bookmarkStart w:name="_Int_Yfs34PNb" w:id="1908114653"/>
      <w:r w:rsidR="307C4249">
        <w:rPr/>
        <w:t xml:space="preserve">along </w:t>
      </w:r>
      <w:r w:rsidR="3E7A3EA6">
        <w:rPr/>
        <w:t>the lines of</w:t>
      </w:r>
      <w:bookmarkEnd w:id="1908114653"/>
      <w:r w:rsidR="3E7A3EA6">
        <w:rPr/>
        <w:t xml:space="preserve"> a principle of economic "survival of the fittest” - as</w:t>
      </w:r>
      <w:r w:rsidR="2C303B09">
        <w:rPr/>
        <w:t>, to quote McGeough, “the palace operated not as manager of a state-economy but as the biggest household in a network of households”</w:t>
      </w:r>
      <w:r w:rsidRPr="452E8C79">
        <w:rPr>
          <w:rStyle w:val="FootnoteReference"/>
        </w:rPr>
        <w:footnoteReference w:id="22473"/>
      </w:r>
      <w:r w:rsidR="6D8B55D7">
        <w:rPr/>
        <w:t xml:space="preserve">. There being no formal separation between polity and economy in the political economic social structure, this grammar of the </w:t>
      </w:r>
      <w:r w:rsidR="0E38E33F">
        <w:rPr/>
        <w:t>household</w:t>
      </w:r>
      <w:r w:rsidR="43ED4307">
        <w:rPr/>
        <w:t>, of the domestic</w:t>
      </w:r>
      <w:r w:rsidR="0E38E33F">
        <w:rPr/>
        <w:t xml:space="preserve"> - which, in its conception of the world with its roots identifiable in the Chalcolithic culture studied by the likes of Bolger, must also be considered a grammar of scarcity</w:t>
      </w:r>
      <w:r w:rsidR="4F93FE0D">
        <w:rPr/>
        <w:t xml:space="preserve"> – the Late Bronze Age Cypriot-</w:t>
      </w:r>
      <w:r w:rsidR="4F93FE0D">
        <w:rPr/>
        <w:t>Ališiyan</w:t>
      </w:r>
      <w:r w:rsidR="4F93FE0D">
        <w:rPr/>
        <w:t xml:space="preserve"> </w:t>
      </w:r>
      <w:r w:rsidR="69DAF510">
        <w:rPr/>
        <w:t xml:space="preserve">state may be considered the principle of the subordination of </w:t>
      </w:r>
      <w:r w:rsidR="2B360FDF">
        <w:rPr/>
        <w:t>societal purpose to the material (i.e. the profit motive) made manifest.</w:t>
      </w:r>
      <w:r w:rsidR="2CEF4F4A">
        <w:rPr/>
        <w:t xml:space="preserve"> In an international system positively abundant with divine monarchies</w:t>
      </w:r>
      <w:r w:rsidR="40C69C4E">
        <w:rPr/>
        <w:t xml:space="preserve">, the leadership of some of which were </w:t>
      </w:r>
      <w:r w:rsidR="2CEF4F4A">
        <w:rPr/>
        <w:t>so pro</w:t>
      </w:r>
      <w:r w:rsidR="3C67E5B6">
        <w:rPr/>
        <w:t xml:space="preserve">foundly abstracted </w:t>
      </w:r>
      <w:r w:rsidR="2F2515F7">
        <w:rPr/>
        <w:t xml:space="preserve">from scarcity that their monuments to their own divinity are </w:t>
      </w:r>
      <w:r w:rsidR="0221B71D">
        <w:rPr/>
        <w:t xml:space="preserve">ubiquitous images to the broader public today (i.e. the Pyramids), </w:t>
      </w:r>
      <w:r w:rsidR="160217BC">
        <w:rPr/>
        <w:t xml:space="preserve">the </w:t>
      </w:r>
      <w:r w:rsidR="04D7ECBA">
        <w:rPr/>
        <w:t xml:space="preserve">Late Bronze Age </w:t>
      </w:r>
      <w:r w:rsidR="04D7ECBA">
        <w:rPr/>
        <w:t>Alašiyan</w:t>
      </w:r>
      <w:r w:rsidR="04D7ECBA">
        <w:rPr/>
        <w:t xml:space="preserve"> </w:t>
      </w:r>
      <w:r w:rsidR="0221B71D">
        <w:rPr/>
        <w:t>Cypru</w:t>
      </w:r>
      <w:r w:rsidR="54A6FCED">
        <w:rPr/>
        <w:t>s</w:t>
      </w:r>
      <w:r w:rsidR="1EE788D1">
        <w:rPr/>
        <w:t xml:space="preserve"> revealed by the archaeological and textual synthesis of </w:t>
      </w:r>
      <w:r w:rsidR="1EE788D1">
        <w:rPr/>
        <w:t>Peltenburg</w:t>
      </w:r>
      <w:r w:rsidR="54A6FCED">
        <w:rPr/>
        <w:t xml:space="preserve"> </w:t>
      </w:r>
      <w:r w:rsidR="54A6FCED">
        <w:rPr/>
        <w:t>is thus a kind of sociopolitical mutan</w:t>
      </w:r>
      <w:r w:rsidR="4E6255DD">
        <w:rPr/>
        <w:t xml:space="preserve">t. While utilising the </w:t>
      </w:r>
      <w:r w:rsidRPr="452E8C79" w:rsidR="2D569FE3">
        <w:rPr>
          <w:i w:val="1"/>
          <w:iCs w:val="1"/>
        </w:rPr>
        <w:t xml:space="preserve">forms </w:t>
      </w:r>
      <w:r w:rsidR="2D569FE3">
        <w:rPr/>
        <w:t xml:space="preserve">of </w:t>
      </w:r>
      <w:r w:rsidR="575D328A">
        <w:rPr/>
        <w:t>an international community whose dominant understanding of international legitimacy was that of divine monarchy (</w:t>
      </w:r>
      <w:r w:rsidR="46330788">
        <w:rPr/>
        <w:t xml:space="preserve">a Cypriot society that, owing to its overwhelmingly textual basing in the source, </w:t>
      </w:r>
      <w:r w:rsidR="6079FE8B">
        <w:rPr/>
        <w:t xml:space="preserve">may be said to exist </w:t>
      </w:r>
      <w:r w:rsidR="1BF2B518">
        <w:rPr/>
        <w:t>on</w:t>
      </w:r>
      <w:r w:rsidR="0B32A35D">
        <w:rPr/>
        <w:t xml:space="preserve">-tablet </w:t>
      </w:r>
      <w:r w:rsidR="6079FE8B">
        <w:rPr/>
        <w:t>if not on</w:t>
      </w:r>
      <w:r w:rsidR="6E5A4D88">
        <w:rPr/>
        <w:t>-</w:t>
      </w:r>
      <w:r w:rsidR="6079FE8B">
        <w:rPr/>
        <w:t>paper)</w:t>
      </w:r>
      <w:r w:rsidR="575D328A">
        <w:rPr/>
        <w:t xml:space="preserve">, the Cypriot society </w:t>
      </w:r>
      <w:r w:rsidR="575D328A">
        <w:rPr/>
        <w:t>indicated by the archaeological</w:t>
      </w:r>
      <w:r w:rsidR="6BE02938">
        <w:rPr/>
        <w:t xml:space="preserve"> record and the ”exceptional commercial tenor of its Amarna letters”</w:t>
      </w:r>
      <w:r w:rsidRPr="452E8C79">
        <w:rPr>
          <w:rStyle w:val="FootnoteReference"/>
        </w:rPr>
        <w:footnoteReference w:id="3380"/>
      </w:r>
      <w:r w:rsidR="5D4DCFE6">
        <w:rPr/>
        <w:t xml:space="preserve"> is one evidenced to, once again, subordinate mystical ends to the needs of a materially-oriented social system</w:t>
      </w:r>
      <w:r w:rsidR="2C95E811">
        <w:rPr/>
        <w:t>, one that indeed understood the business of state as another domestic activity</w:t>
      </w:r>
      <w:r w:rsidR="5D4DCFE6">
        <w:rPr/>
        <w:t xml:space="preserve">. Just as with </w:t>
      </w:r>
      <w:r w:rsidR="2DFD21FC">
        <w:rPr/>
        <w:t xml:space="preserve">Bolger’s votive figurines, or again the ovens that spurred </w:t>
      </w:r>
      <w:r w:rsidR="2DFD21FC">
        <w:rPr/>
        <w:t>Peltenburg’s</w:t>
      </w:r>
      <w:r w:rsidR="2DFD21FC">
        <w:rPr/>
        <w:t xml:space="preserve"> analysis of feasting, the </w:t>
      </w:r>
      <w:bookmarkStart w:name="_Int_x0cfYVIL" w:id="415829839"/>
      <w:r w:rsidR="2DFD21FC">
        <w:rPr/>
        <w:t>apparently mystical</w:t>
      </w:r>
      <w:bookmarkEnd w:id="415829839"/>
      <w:r w:rsidR="2DFD21FC">
        <w:rPr/>
        <w:t xml:space="preserve"> in the context of a high-scarcity society proves a practical measure </w:t>
      </w:r>
      <w:r w:rsidR="4EAAAF63">
        <w:rPr/>
        <w:t>for ameliorating, enhancing or otherwise affecting distinctly material means, motives, and ends</w:t>
      </w:r>
      <w:r w:rsidR="36AA1D37">
        <w:rPr/>
        <w:t>, resulting in their common empirical framework, in-tune with the fundamentally material-subordinated outlook of the Cypriots them</w:t>
      </w:r>
      <w:r w:rsidR="5757AA9E">
        <w:rPr/>
        <w:t>selves</w:t>
      </w:r>
      <w:r w:rsidR="4C0FE3DE">
        <w:rPr/>
        <w:t xml:space="preserve"> and the evidence of the archaeological record</w:t>
      </w:r>
      <w:r w:rsidR="5757AA9E">
        <w:rPr/>
        <w:t>, emerging as the most efficient means of reconstructing the overall Cypriot lifeworld</w:t>
      </w:r>
      <w:r w:rsidR="0F04D130">
        <w:rPr/>
        <w:t>.</w:t>
      </w:r>
    </w:p>
    <w:p w:rsidR="7936B99F" w:rsidP="452E8C79" w:rsidRDefault="7936B99F" w14:paraId="22E2D3CD" w14:textId="2EB3C7F8">
      <w:pPr>
        <w:pStyle w:val="Normal"/>
        <w:suppressLineNumbers w:val="0"/>
        <w:bidi w:val="0"/>
        <w:spacing w:before="0" w:beforeAutospacing="off" w:after="160" w:afterAutospacing="off" w:line="259" w:lineRule="auto"/>
        <w:ind w:left="0" w:right="0"/>
        <w:jc w:val="left"/>
      </w:pPr>
      <w:r w:rsidR="7936B99F">
        <w:rPr/>
        <w:t xml:space="preserve">The archaeological record itself, across all three cases and indeed throughout human history, may be considered an embodiment of this principle. </w:t>
      </w:r>
      <w:r w:rsidR="66872895">
        <w:rPr/>
        <w:t xml:space="preserve">Whatever the </w:t>
      </w:r>
      <w:r w:rsidR="66872895">
        <w:rPr/>
        <w:t>objective</w:t>
      </w:r>
      <w:r w:rsidR="66872895">
        <w:rPr/>
        <w:t xml:space="preserve">, </w:t>
      </w:r>
      <w:bookmarkStart w:name="_Int_WJCKRH5C" w:id="1752574288"/>
      <w:r w:rsidR="66872895">
        <w:rPr/>
        <w:t>inspiration</w:t>
      </w:r>
      <w:bookmarkEnd w:id="1752574288"/>
      <w:r w:rsidR="66872895">
        <w:rPr/>
        <w:t xml:space="preserve"> or telos of the human who </w:t>
      </w:r>
      <w:r w:rsidR="66872895">
        <w:rPr/>
        <w:t>initiates</w:t>
      </w:r>
      <w:r w:rsidR="66872895">
        <w:rPr/>
        <w:t xml:space="preserve"> the process that leaves this record, and whatsoever the particulars of that process or the form the record </w:t>
      </w:r>
      <w:r w:rsidR="4EF6672F">
        <w:rPr/>
        <w:t>takes, what is left is, in a word, material</w:t>
      </w:r>
      <w:r w:rsidR="758658D8">
        <w:rPr/>
        <w:t>, and reflective of the frailties, needs and physicality of the human species</w:t>
      </w:r>
      <w:r w:rsidR="4EF6672F">
        <w:rPr/>
        <w:t>.</w:t>
      </w:r>
      <w:r w:rsidR="7BECEF3C">
        <w:rPr/>
        <w:t xml:space="preserve"> Whether the votive figurine, the oven, or the remains of a household,</w:t>
      </w:r>
      <w:r w:rsidR="3D480A0B">
        <w:rPr/>
        <w:t xml:space="preserve"> the materiality of each is informed by the circumstances of their construction, which, however particular, is informed by the</w:t>
      </w:r>
      <w:r w:rsidR="5DF59772">
        <w:rPr/>
        <w:t xml:space="preserve"> bounds and limits of human experience – whether seeking to defy the fundamental </w:t>
      </w:r>
      <w:r w:rsidR="2B99ACE7">
        <w:rPr/>
        <w:t xml:space="preserve">limits imposed by entropy, as with a pyramid, or to make use of it, as with ovens for the purpose of sacralised eating, or to simply </w:t>
      </w:r>
      <w:r w:rsidR="6F2DFB8E">
        <w:rPr/>
        <w:t>address and ease the pain of childbirth. This is more obvious than usual in the case of the pe</w:t>
      </w:r>
      <w:r w:rsidR="5A4536AB">
        <w:rPr/>
        <w:t xml:space="preserve">riods of Chalcolithic and Bronze Age Cyprus, </w:t>
      </w:r>
      <w:r w:rsidR="3A3B965B">
        <w:rPr/>
        <w:t xml:space="preserve">which both – albeit much </w:t>
      </w:r>
      <w:r w:rsidR="3A3B965B">
        <w:rPr/>
        <w:t>moreso</w:t>
      </w:r>
      <w:r w:rsidR="3A3B965B">
        <w:rPr/>
        <w:t xml:space="preserve"> with the former than the latter – constitute high-scarcity societies. </w:t>
      </w:r>
      <w:r w:rsidR="7B96B129">
        <w:rPr/>
        <w:t xml:space="preserve">In such a context, the </w:t>
      </w:r>
      <w:r w:rsidR="54A0E2CF">
        <w:rPr/>
        <w:t xml:space="preserve">priorities of a society may be judged </w:t>
      </w:r>
      <w:bookmarkStart w:name="_Int_2KXOgc1B" w:id="1914176785"/>
      <w:r w:rsidR="54A0E2CF">
        <w:rPr/>
        <w:t>considerably closer</w:t>
      </w:r>
      <w:bookmarkEnd w:id="1914176785"/>
      <w:r w:rsidR="54A0E2CF">
        <w:rPr/>
        <w:t xml:space="preserve"> to the base of Maslow’s hierarchy of needs than its peak</w:t>
      </w:r>
      <w:r w:rsidR="5757186C">
        <w:rPr/>
        <w:t xml:space="preserve">. The utility of the archaeological record as a source, at least in part, depends on </w:t>
      </w:r>
      <w:r w:rsidR="6BBBAB2D">
        <w:rPr/>
        <w:t>a frank and anti-Gnostic acknowledgement of the subordination of the abstract to the immediate, the mental to the physical, the</w:t>
      </w:r>
      <w:r w:rsidR="1EBA7363">
        <w:rPr/>
        <w:t xml:space="preserve"> Platonic</w:t>
      </w:r>
      <w:r w:rsidR="6BBBAB2D">
        <w:rPr/>
        <w:t xml:space="preserve"> </w:t>
      </w:r>
      <w:r w:rsidR="363214C6">
        <w:rPr/>
        <w:t>world of forms to the world of the concrete.</w:t>
      </w:r>
      <w:r w:rsidR="671A6E74">
        <w:rPr/>
        <w:t xml:space="preserve"> In short, th</w:t>
      </w:r>
      <w:r w:rsidR="233FB5A0">
        <w:rPr/>
        <w:t xml:space="preserve">e theoretical framework must be subordinated </w:t>
      </w:r>
      <w:r w:rsidR="671A6E74">
        <w:rPr/>
        <w:t xml:space="preserve">to </w:t>
      </w:r>
      <w:r w:rsidR="175CCC75">
        <w:rPr/>
        <w:t>the e</w:t>
      </w:r>
      <w:r w:rsidR="671A6E74">
        <w:rPr/>
        <w:t>vidence.</w:t>
      </w:r>
    </w:p>
    <w:p w:rsidR="671A6E74" w:rsidP="452E8C79" w:rsidRDefault="671A6E74" w14:paraId="5AD6D0CD" w14:textId="2059B72C">
      <w:pPr>
        <w:pStyle w:val="Normal"/>
        <w:suppressLineNumbers w:val="0"/>
        <w:bidi w:val="0"/>
        <w:spacing w:before="0" w:beforeAutospacing="off" w:after="160" w:afterAutospacing="off" w:line="259" w:lineRule="auto"/>
        <w:ind w:left="0" w:right="0"/>
        <w:jc w:val="left"/>
      </w:pPr>
      <w:r w:rsidR="671A6E74">
        <w:rPr/>
        <w:t xml:space="preserve">To conclude: </w:t>
      </w:r>
      <w:r w:rsidR="382D8C07">
        <w:rPr/>
        <w:t xml:space="preserve">in analysing </w:t>
      </w:r>
      <w:r w:rsidR="671A6E74">
        <w:rPr/>
        <w:t>the ar</w:t>
      </w:r>
      <w:r w:rsidR="07C7FBDC">
        <w:rPr/>
        <w:t xml:space="preserve">chaeological record of Cyprus in the Bronze Age and Chalcolithic, primarily through the extant scholarship surrounding it, </w:t>
      </w:r>
      <w:r w:rsidR="7B7922C3">
        <w:rPr/>
        <w:t>analysis shows a framework rooted in an appreciation of the practicalities of a high-scarcity envir</w:t>
      </w:r>
      <w:r w:rsidR="462B8864">
        <w:rPr/>
        <w:t>onment is best suited to consistent</w:t>
      </w:r>
      <w:r w:rsidR="7C80351B">
        <w:rPr/>
        <w:t xml:space="preserve"> </w:t>
      </w:r>
      <w:r w:rsidR="3864CD19">
        <w:rPr/>
        <w:t>evidence of the</w:t>
      </w:r>
      <w:r w:rsidR="7C80351B">
        <w:rPr/>
        <w:t xml:space="preserve"> subordination of</w:t>
      </w:r>
      <w:r w:rsidR="01F3D0B4">
        <w:rPr/>
        <w:t xml:space="preserve"> </w:t>
      </w:r>
      <w:bookmarkStart w:name="_Int_sZekB6bh" w:id="1811049726"/>
      <w:r w:rsidR="01F3D0B4">
        <w:rPr/>
        <w:t>ostensibly</w:t>
      </w:r>
      <w:r w:rsidR="7C80351B">
        <w:rPr/>
        <w:t xml:space="preserve"> supernatural</w:t>
      </w:r>
      <w:bookmarkEnd w:id="1811049726"/>
      <w:r w:rsidR="7C80351B">
        <w:rPr/>
        <w:t xml:space="preserve">, mystical, even divine means to eminently human and material ends. </w:t>
      </w:r>
      <w:r w:rsidR="1C7D938A">
        <w:rPr/>
        <w:t>Whether in the use of votive figurines, the supernatural connotation of abundant feasting or the discrepancy between the international styling and domestic mechanics of the Cypriot stat</w:t>
      </w:r>
      <w:r w:rsidR="643F44BC">
        <w:rPr/>
        <w:t xml:space="preserve">e, the overriding motif is the practicality of the Cypriot approach and the </w:t>
      </w:r>
      <w:r w:rsidR="6C3775E2">
        <w:rPr/>
        <w:t xml:space="preserve">entirely human characteristic of the needs addressed by each </w:t>
      </w:r>
      <w:r w:rsidR="6C3775E2">
        <w:rPr/>
        <w:t>portion</w:t>
      </w:r>
      <w:r w:rsidR="6C3775E2">
        <w:rPr/>
        <w:t xml:space="preserve"> of the archaeological record subjected to scrutiny. </w:t>
      </w:r>
      <w:r w:rsidR="0CE5034A">
        <w:rPr/>
        <w:t>Accordingly</w:t>
      </w:r>
      <w:r w:rsidR="0CE5034A">
        <w:rPr/>
        <w:t>, Cypriot society in the Chalcolithic and Bronze Age periods can be summarised</w:t>
      </w:r>
      <w:r w:rsidR="04DD68CE">
        <w:rPr/>
        <w:t>, based on the archaeological record</w:t>
      </w:r>
      <w:r w:rsidR="559BA02B">
        <w:rPr/>
        <w:t xml:space="preserve"> and the extant scholarship</w:t>
      </w:r>
      <w:r w:rsidR="04DD68CE">
        <w:rPr/>
        <w:t>,</w:t>
      </w:r>
      <w:r w:rsidR="0CE5034A">
        <w:rPr/>
        <w:t xml:space="preserve"> as subordinating religious means to secular ends.</w:t>
      </w:r>
      <w:r w:rsidR="1F1A67FA">
        <w:rPr/>
        <w:t xml:space="preserve"> As such, the most useful framework for the reconstruction of household activities and the “daily life” they collectively construct is one that accounts for this fun</w:t>
      </w:r>
      <w:r w:rsidR="6FAA3DBB">
        <w:rPr/>
        <w:t>damental practicality.</w:t>
      </w:r>
    </w:p>
    <w:p w:rsidR="0CE5034A" w:rsidP="452E8C79" w:rsidRDefault="0CE5034A" w14:paraId="53BA7924" w14:textId="1A6813B1">
      <w:pPr>
        <w:pStyle w:val="Normal"/>
        <w:suppressLineNumbers w:val="0"/>
        <w:bidi w:val="0"/>
        <w:spacing w:before="0" w:beforeAutospacing="off" w:after="160" w:afterAutospacing="off" w:line="259" w:lineRule="auto"/>
        <w:ind w:left="0" w:right="0"/>
        <w:jc w:val="left"/>
      </w:pPr>
      <w:r w:rsidR="0CE5034A">
        <w:rPr/>
        <w:t>Reference List</w:t>
      </w:r>
    </w:p>
    <w:p w:rsidR="2C9E3734" w:rsidP="452E8C79" w:rsidRDefault="2C9E3734" w14:paraId="098B9EC8" w14:textId="1A4A5698">
      <w:pPr>
        <w:pStyle w:val="ListParagraph"/>
        <w:numPr>
          <w:ilvl w:val="0"/>
          <w:numId w:val="1"/>
        </w:numPr>
        <w:suppressLineNumbers w:val="0"/>
        <w:bidi w:val="0"/>
        <w:spacing w:before="0" w:beforeAutospacing="off" w:after="160" w:afterAutospacing="off" w:line="259" w:lineRule="auto"/>
        <w:ind w:right="0"/>
        <w:jc w:val="left"/>
        <w:rPr/>
      </w:pPr>
      <w:r w:rsidRPr="452E8C79" w:rsidR="2C9E3734">
        <w:rPr>
          <w:noProof w:val="0"/>
          <w:lang w:val="en-GB"/>
        </w:rPr>
        <w:t xml:space="preserve">Bolger, D.L. (1992). The Archaeology of Fertility and Birth: A Ritual Deposit from Chalcolithic Cyprus. </w:t>
      </w:r>
      <w:r w:rsidRPr="452E8C79" w:rsidR="2C9E3734">
        <w:rPr>
          <w:i w:val="1"/>
          <w:iCs w:val="1"/>
          <w:noProof w:val="0"/>
          <w:lang w:val="en-GB"/>
        </w:rPr>
        <w:t>Journal of Anthropological Research</w:t>
      </w:r>
      <w:r w:rsidRPr="452E8C79" w:rsidR="2C9E3734">
        <w:rPr>
          <w:noProof w:val="0"/>
          <w:lang w:val="en-GB"/>
        </w:rPr>
        <w:t>, 48(2), pp.145–164. doi: https://doi.org/10.1086/jar.48.2.3630408.</w:t>
      </w:r>
    </w:p>
    <w:p w:rsidR="2C9E3734" w:rsidP="452E8C79" w:rsidRDefault="2C9E3734" w14:paraId="40A32944" w14:textId="6B797EBC">
      <w:pPr>
        <w:pStyle w:val="ListParagraph"/>
        <w:numPr>
          <w:ilvl w:val="0"/>
          <w:numId w:val="1"/>
        </w:numPr>
        <w:suppressLineNumbers w:val="0"/>
        <w:bidi w:val="0"/>
        <w:spacing w:before="0" w:beforeAutospacing="off" w:after="160" w:afterAutospacing="off" w:line="259" w:lineRule="auto"/>
        <w:ind w:right="0"/>
        <w:jc w:val="left"/>
        <w:rPr/>
      </w:pPr>
      <w:r w:rsidRPr="452E8C79" w:rsidR="2C9E3734">
        <w:rPr>
          <w:noProof w:val="0"/>
          <w:lang w:val="en-GB"/>
        </w:rPr>
        <w:t xml:space="preserve">Bolger, D.L. (1992). The Archaeology of Fertility and Birth: A Ritual Deposit from Chalcolithic Cyprus. </w:t>
      </w:r>
      <w:r w:rsidRPr="452E8C79" w:rsidR="2C9E3734">
        <w:rPr>
          <w:i w:val="1"/>
          <w:iCs w:val="1"/>
          <w:noProof w:val="0"/>
          <w:lang w:val="en-GB"/>
        </w:rPr>
        <w:t>Journal of Anthropological Research</w:t>
      </w:r>
      <w:r w:rsidRPr="452E8C79" w:rsidR="2C9E3734">
        <w:rPr>
          <w:noProof w:val="0"/>
          <w:lang w:val="en-GB"/>
        </w:rPr>
        <w:t xml:space="preserve">, 48(2), pp.145–164. </w:t>
      </w:r>
      <w:r w:rsidRPr="452E8C79" w:rsidR="2C9E3734">
        <w:rPr>
          <w:noProof w:val="0"/>
          <w:lang w:val="en-GB"/>
        </w:rPr>
        <w:t>doi</w:t>
      </w:r>
      <w:r w:rsidRPr="452E8C79" w:rsidR="2C9E3734">
        <w:rPr>
          <w:noProof w:val="0"/>
          <w:lang w:val="en-GB"/>
        </w:rPr>
        <w:t>: https://doi.org/10.1086/jar.48.2.3630408.</w:t>
      </w:r>
    </w:p>
    <w:p w:rsidR="2C9E3734" w:rsidP="452E8C79" w:rsidRDefault="2C9E3734" w14:paraId="0E1DB1EE" w14:textId="365E0D04">
      <w:pPr>
        <w:pStyle w:val="ListParagraph"/>
        <w:numPr>
          <w:ilvl w:val="0"/>
          <w:numId w:val="1"/>
        </w:numPr>
        <w:suppressLineNumbers w:val="0"/>
        <w:bidi w:val="0"/>
        <w:spacing w:before="0" w:beforeAutospacing="off" w:after="160" w:afterAutospacing="off" w:line="259" w:lineRule="auto"/>
        <w:ind w:right="0"/>
        <w:jc w:val="left"/>
        <w:rPr/>
      </w:pPr>
      <w:r w:rsidRPr="452E8C79" w:rsidR="2C9E3734">
        <w:rPr>
          <w:noProof w:val="0"/>
          <w:lang w:val="en-GB"/>
        </w:rPr>
        <w:t xml:space="preserve">Bolger, D.L. (1992). The Archaeology of Fertility and Birth: A Ritual Deposit from Chalcolithic Cyprus. </w:t>
      </w:r>
      <w:r w:rsidRPr="452E8C79" w:rsidR="2C9E3734">
        <w:rPr>
          <w:i w:val="1"/>
          <w:iCs w:val="1"/>
          <w:noProof w:val="0"/>
          <w:lang w:val="en-GB"/>
        </w:rPr>
        <w:t>Journal of Anthropological Research</w:t>
      </w:r>
      <w:r w:rsidRPr="452E8C79" w:rsidR="2C9E3734">
        <w:rPr>
          <w:noProof w:val="0"/>
          <w:lang w:val="en-GB"/>
        </w:rPr>
        <w:t xml:space="preserve">, 48(2), pp.145–164. </w:t>
      </w:r>
      <w:r w:rsidRPr="452E8C79" w:rsidR="2C9E3734">
        <w:rPr>
          <w:noProof w:val="0"/>
          <w:lang w:val="en-GB"/>
        </w:rPr>
        <w:t>doi</w:t>
      </w:r>
      <w:r w:rsidRPr="452E8C79" w:rsidR="2C9E3734">
        <w:rPr>
          <w:noProof w:val="0"/>
          <w:lang w:val="en-GB"/>
        </w:rPr>
        <w:t>: https://doi.org/10.1086/jar.48.2.3630408.</w:t>
      </w:r>
    </w:p>
    <w:p w:rsidR="2C9E3734" w:rsidP="452E8C79" w:rsidRDefault="2C9E3734" w14:paraId="36884253" w14:textId="039735CC">
      <w:pPr>
        <w:pStyle w:val="ListParagraph"/>
        <w:numPr>
          <w:ilvl w:val="0"/>
          <w:numId w:val="1"/>
        </w:numPr>
        <w:suppressLineNumbers w:val="0"/>
        <w:bidi w:val="0"/>
        <w:spacing w:before="0" w:beforeAutospacing="off" w:after="160" w:afterAutospacing="off" w:line="259" w:lineRule="auto"/>
        <w:ind w:right="0"/>
        <w:jc w:val="left"/>
        <w:rPr/>
      </w:pPr>
      <w:r w:rsidRPr="452E8C79" w:rsidR="2C9E3734">
        <w:rPr>
          <w:noProof w:val="0"/>
          <w:lang w:val="en-GB"/>
        </w:rPr>
        <w:t xml:space="preserve">Bolger, D.L. (1992). The Archaeology of Fertility and Birth: A Ritual Deposit from Chalcolithic Cyprus. </w:t>
      </w:r>
      <w:r w:rsidRPr="452E8C79" w:rsidR="2C9E3734">
        <w:rPr>
          <w:i w:val="1"/>
          <w:iCs w:val="1"/>
          <w:noProof w:val="0"/>
          <w:lang w:val="en-GB"/>
        </w:rPr>
        <w:t>Journal of Anthropological Research</w:t>
      </w:r>
      <w:r w:rsidRPr="452E8C79" w:rsidR="2C9E3734">
        <w:rPr>
          <w:noProof w:val="0"/>
          <w:lang w:val="en-GB"/>
        </w:rPr>
        <w:t xml:space="preserve">, 48(2), pp.145–164. </w:t>
      </w:r>
      <w:r w:rsidRPr="452E8C79" w:rsidR="2C9E3734">
        <w:rPr>
          <w:noProof w:val="0"/>
          <w:lang w:val="en-GB"/>
        </w:rPr>
        <w:t>doi</w:t>
      </w:r>
      <w:r w:rsidRPr="452E8C79" w:rsidR="2C9E3734">
        <w:rPr>
          <w:noProof w:val="0"/>
          <w:lang w:val="en-GB"/>
        </w:rPr>
        <w:t>: https://doi.org/10.1086/jar.48.2.3630408.</w:t>
      </w:r>
    </w:p>
    <w:p w:rsidR="2C9E3734" w:rsidP="452E8C79" w:rsidRDefault="2C9E3734" w14:paraId="43657FA8" w14:textId="1B74F0B3">
      <w:pPr>
        <w:pStyle w:val="ListParagraph"/>
        <w:numPr>
          <w:ilvl w:val="0"/>
          <w:numId w:val="1"/>
        </w:numPr>
        <w:suppressLineNumbers w:val="0"/>
        <w:bidi w:val="0"/>
        <w:spacing w:before="0" w:beforeAutospacing="off" w:after="160" w:afterAutospacing="off" w:line="259" w:lineRule="auto"/>
        <w:ind w:right="0"/>
        <w:jc w:val="left"/>
        <w:rPr/>
      </w:pPr>
      <w:r w:rsidRPr="452E8C79" w:rsidR="2C9E3734">
        <w:rPr>
          <w:noProof w:val="0"/>
          <w:lang w:val="en-GB"/>
        </w:rPr>
        <w:t xml:space="preserve">Bolger, D.L. (1992). The Archaeology of Fertility and Birth: A Ritual Deposit from Chalcolithic Cyprus. </w:t>
      </w:r>
      <w:r w:rsidRPr="452E8C79" w:rsidR="2C9E3734">
        <w:rPr>
          <w:i w:val="1"/>
          <w:iCs w:val="1"/>
          <w:noProof w:val="0"/>
          <w:lang w:val="en-GB"/>
        </w:rPr>
        <w:t>Journal of Anthropological Research</w:t>
      </w:r>
      <w:r w:rsidRPr="452E8C79" w:rsidR="2C9E3734">
        <w:rPr>
          <w:noProof w:val="0"/>
          <w:lang w:val="en-GB"/>
        </w:rPr>
        <w:t xml:space="preserve">, 48(2), pp.145–164. </w:t>
      </w:r>
      <w:r w:rsidRPr="452E8C79" w:rsidR="2C9E3734">
        <w:rPr>
          <w:noProof w:val="0"/>
          <w:lang w:val="en-GB"/>
        </w:rPr>
        <w:t>doi: https</w:t>
      </w:r>
      <w:r w:rsidRPr="452E8C79" w:rsidR="2C9E3734">
        <w:rPr>
          <w:noProof w:val="0"/>
          <w:lang w:val="en-GB"/>
        </w:rPr>
        <w:t>://doi.org/10.1086/jar.48.2.3630408.</w:t>
      </w:r>
    </w:p>
    <w:p w:rsidR="2C9E3734" w:rsidP="452E8C79" w:rsidRDefault="2C9E3734" w14:paraId="2EE61CD1" w14:textId="314B7C30">
      <w:pPr>
        <w:pStyle w:val="ListParagraph"/>
        <w:numPr>
          <w:ilvl w:val="0"/>
          <w:numId w:val="1"/>
        </w:numPr>
        <w:suppressLineNumbers w:val="0"/>
        <w:bidi w:val="0"/>
        <w:spacing w:before="0" w:beforeAutospacing="off" w:after="160" w:afterAutospacing="off" w:line="259" w:lineRule="auto"/>
        <w:ind w:right="0"/>
        <w:jc w:val="left"/>
        <w:rPr/>
      </w:pPr>
      <w:r w:rsidRPr="452E8C79" w:rsidR="2C9E3734">
        <w:rPr>
          <w:noProof w:val="0"/>
          <w:lang w:val="en-GB"/>
        </w:rPr>
        <w:t xml:space="preserve">Bolger, D.L. (1992). The Archaeology of Fertility and Birth: A Ritual Deposit from Chalcolithic Cyprus. </w:t>
      </w:r>
      <w:r w:rsidRPr="452E8C79" w:rsidR="2C9E3734">
        <w:rPr>
          <w:i w:val="1"/>
          <w:iCs w:val="1"/>
          <w:noProof w:val="0"/>
          <w:lang w:val="en-GB"/>
        </w:rPr>
        <w:t>Journal of Anthropological Research</w:t>
      </w:r>
      <w:r w:rsidRPr="452E8C79" w:rsidR="2C9E3734">
        <w:rPr>
          <w:noProof w:val="0"/>
          <w:lang w:val="en-GB"/>
        </w:rPr>
        <w:t xml:space="preserve">, 48(2), pp.145–164. </w:t>
      </w:r>
      <w:r w:rsidRPr="452E8C79" w:rsidR="2C9E3734">
        <w:rPr>
          <w:noProof w:val="0"/>
          <w:lang w:val="en-GB"/>
        </w:rPr>
        <w:t>doi: https</w:t>
      </w:r>
      <w:r w:rsidRPr="452E8C79" w:rsidR="2C9E3734">
        <w:rPr>
          <w:noProof w:val="0"/>
          <w:lang w:val="en-GB"/>
        </w:rPr>
        <w:t>://doi.org/10.1086/jar.48.2.3630408.</w:t>
      </w:r>
    </w:p>
    <w:p w:rsidR="2C9E3734" w:rsidP="452E8C79" w:rsidRDefault="2C9E3734" w14:paraId="21EC7D2A" w14:textId="0BA17A3A">
      <w:pPr>
        <w:pStyle w:val="ListParagraph"/>
        <w:numPr>
          <w:ilvl w:val="0"/>
          <w:numId w:val="1"/>
        </w:numPr>
        <w:suppressLineNumbers w:val="0"/>
        <w:bidi w:val="0"/>
        <w:spacing w:before="0" w:beforeAutospacing="off" w:after="160" w:afterAutospacing="off" w:line="259" w:lineRule="auto"/>
        <w:ind w:right="0"/>
        <w:jc w:val="left"/>
        <w:rPr/>
      </w:pPr>
      <w:r w:rsidRPr="452E8C79" w:rsidR="2C9E3734">
        <w:rPr>
          <w:noProof w:val="0"/>
          <w:lang w:val="en-GB"/>
        </w:rPr>
        <w:t xml:space="preserve">Bolger, D.L. (1992). The Archaeology of Fertility and Birth: A Ritual Deposit from Chalcolithic Cyprus. </w:t>
      </w:r>
      <w:r w:rsidRPr="452E8C79" w:rsidR="2C9E3734">
        <w:rPr>
          <w:i w:val="1"/>
          <w:iCs w:val="1"/>
          <w:noProof w:val="0"/>
          <w:lang w:val="en-GB"/>
        </w:rPr>
        <w:t>Journal of Anthropological Research</w:t>
      </w:r>
      <w:r w:rsidRPr="452E8C79" w:rsidR="2C9E3734">
        <w:rPr>
          <w:noProof w:val="0"/>
          <w:lang w:val="en-GB"/>
        </w:rPr>
        <w:t xml:space="preserve">, 48(2), pp.145–164. </w:t>
      </w:r>
      <w:r w:rsidRPr="452E8C79" w:rsidR="2C9E3734">
        <w:rPr>
          <w:noProof w:val="0"/>
          <w:lang w:val="en-GB"/>
        </w:rPr>
        <w:t>doi: https</w:t>
      </w:r>
      <w:r w:rsidRPr="452E8C79" w:rsidR="2C9E3734">
        <w:rPr>
          <w:noProof w:val="0"/>
          <w:lang w:val="en-GB"/>
        </w:rPr>
        <w:t>://doi.org/10.1086/jar.48.2.3630408.</w:t>
      </w:r>
    </w:p>
    <w:p w:rsidR="2C9E3734" w:rsidP="452E8C79" w:rsidRDefault="2C9E3734" w14:paraId="21752BAD" w14:textId="52E59622">
      <w:pPr>
        <w:pStyle w:val="ListParagraph"/>
        <w:numPr>
          <w:ilvl w:val="0"/>
          <w:numId w:val="1"/>
        </w:numPr>
        <w:suppressLineNumbers w:val="0"/>
        <w:bidi w:val="0"/>
        <w:spacing w:before="0" w:beforeAutospacing="off" w:after="160" w:afterAutospacing="off" w:line="259" w:lineRule="auto"/>
        <w:ind w:right="0"/>
        <w:jc w:val="left"/>
        <w:rPr/>
      </w:pPr>
      <w:r w:rsidRPr="452E8C79" w:rsidR="2C9E3734">
        <w:rPr>
          <w:noProof w:val="0"/>
          <w:lang w:val="en-GB"/>
        </w:rPr>
        <w:t>Peltenburg</w:t>
      </w:r>
      <w:r w:rsidRPr="452E8C79" w:rsidR="2C9E3734">
        <w:rPr>
          <w:noProof w:val="0"/>
          <w:lang w:val="en-GB"/>
        </w:rPr>
        <w:t xml:space="preserve">, E. (1993). Settlement Discontinuity and Resistance to Complexity in Cyprus, ca. 4500-2500 B. C. E. </w:t>
      </w:r>
      <w:r w:rsidRPr="452E8C79" w:rsidR="2C9E3734">
        <w:rPr>
          <w:i w:val="1"/>
          <w:iCs w:val="1"/>
          <w:noProof w:val="0"/>
          <w:lang w:val="en-GB"/>
        </w:rPr>
        <w:t>Bulletin of the American Schools of Oriental Research</w:t>
      </w:r>
      <w:r w:rsidRPr="452E8C79" w:rsidR="2C9E3734">
        <w:rPr>
          <w:noProof w:val="0"/>
          <w:lang w:val="en-GB"/>
        </w:rPr>
        <w:t xml:space="preserve">, 292, pp.9–23. </w:t>
      </w:r>
      <w:r w:rsidRPr="452E8C79" w:rsidR="2C9E3734">
        <w:rPr>
          <w:noProof w:val="0"/>
          <w:lang w:val="en-GB"/>
        </w:rPr>
        <w:t>doi: https</w:t>
      </w:r>
      <w:r w:rsidRPr="452E8C79" w:rsidR="2C9E3734">
        <w:rPr>
          <w:noProof w:val="0"/>
          <w:lang w:val="en-GB"/>
        </w:rPr>
        <w:t>://doi.org/10.2307/1357245.</w:t>
      </w:r>
    </w:p>
    <w:p w:rsidR="2C9E3734" w:rsidP="452E8C79" w:rsidRDefault="2C9E3734" w14:paraId="307E1DE8" w14:textId="2C47782A">
      <w:pPr>
        <w:pStyle w:val="ListParagraph"/>
        <w:numPr>
          <w:ilvl w:val="0"/>
          <w:numId w:val="1"/>
        </w:numPr>
        <w:suppressLineNumbers w:val="0"/>
        <w:bidi w:val="0"/>
        <w:spacing w:before="0" w:beforeAutospacing="off" w:after="160" w:afterAutospacing="off" w:line="259" w:lineRule="auto"/>
        <w:ind w:right="0"/>
        <w:jc w:val="left"/>
        <w:rPr>
          <w:noProof w:val="0"/>
          <w:lang w:val="en-GB"/>
        </w:rPr>
      </w:pPr>
      <w:r w:rsidRPr="452E8C79" w:rsidR="2C9E3734">
        <w:rPr>
          <w:noProof w:val="0"/>
          <w:lang w:val="en-GB"/>
        </w:rPr>
        <w:t>Peltenburg</w:t>
      </w:r>
      <w:r w:rsidRPr="452E8C79" w:rsidR="2C9E3734">
        <w:rPr>
          <w:noProof w:val="0"/>
          <w:lang w:val="en-GB"/>
        </w:rPr>
        <w:t xml:space="preserve">, E. (1993). Settlement Discontinuity and Resistance to Complexity in Cyprus, ca. 4500-2500 B. C. E. </w:t>
      </w:r>
      <w:r w:rsidRPr="452E8C79" w:rsidR="2C9E3734">
        <w:rPr>
          <w:i w:val="1"/>
          <w:iCs w:val="1"/>
          <w:noProof w:val="0"/>
          <w:lang w:val="en-GB"/>
        </w:rPr>
        <w:t>Bulletin of the American Schools of Oriental Research</w:t>
      </w:r>
      <w:r w:rsidRPr="452E8C79" w:rsidR="2C9E3734">
        <w:rPr>
          <w:noProof w:val="0"/>
          <w:lang w:val="en-GB"/>
        </w:rPr>
        <w:t xml:space="preserve">, 292, pp.9–23. </w:t>
      </w:r>
      <w:r w:rsidRPr="452E8C79" w:rsidR="2C9E3734">
        <w:rPr>
          <w:noProof w:val="0"/>
          <w:lang w:val="en-GB"/>
        </w:rPr>
        <w:t>doi</w:t>
      </w:r>
      <w:r w:rsidRPr="452E8C79" w:rsidR="2C9E3734">
        <w:rPr>
          <w:noProof w:val="0"/>
          <w:lang w:val="en-GB"/>
        </w:rPr>
        <w:t xml:space="preserve">: </w:t>
      </w:r>
      <w:hyperlink r:id="R84239a24bb1e4c89">
        <w:r w:rsidRPr="452E8C79" w:rsidR="2C9E3734">
          <w:rPr>
            <w:rStyle w:val="Hyperlink"/>
            <w:noProof w:val="0"/>
            <w:lang w:val="en-GB"/>
          </w:rPr>
          <w:t>https</w:t>
        </w:r>
        <w:r w:rsidRPr="452E8C79" w:rsidR="2C9E3734">
          <w:rPr>
            <w:rStyle w:val="Hyperlink"/>
            <w:noProof w:val="0"/>
            <w:lang w:val="en-GB"/>
          </w:rPr>
          <w:t>://doi.org/10.2307/1357245</w:t>
        </w:r>
      </w:hyperlink>
      <w:r w:rsidRPr="452E8C79" w:rsidR="2C9E3734">
        <w:rPr>
          <w:noProof w:val="0"/>
          <w:lang w:val="en-GB"/>
        </w:rPr>
        <w:t>.</w:t>
      </w:r>
    </w:p>
    <w:p w:rsidR="0E22AD48" w:rsidP="452E8C79" w:rsidRDefault="0E22AD48" w14:paraId="4D3D9A23" w14:textId="612E70FF">
      <w:pPr>
        <w:pStyle w:val="ListParagraph"/>
        <w:numPr>
          <w:ilvl w:val="0"/>
          <w:numId w:val="1"/>
        </w:numPr>
        <w:suppressLineNumbers w:val="0"/>
        <w:bidi w:val="0"/>
        <w:spacing w:before="0" w:beforeAutospacing="off" w:after="160" w:afterAutospacing="off" w:line="259" w:lineRule="auto"/>
        <w:ind w:right="0"/>
        <w:jc w:val="left"/>
        <w:rPr/>
      </w:pPr>
      <w:r w:rsidRPr="452E8C79" w:rsidR="0E22AD48">
        <w:rPr>
          <w:noProof w:val="0"/>
          <w:lang w:val="en-GB"/>
        </w:rPr>
        <w:t>Peltenburg</w:t>
      </w:r>
      <w:r w:rsidRPr="452E8C79" w:rsidR="0E22AD48">
        <w:rPr>
          <w:noProof w:val="0"/>
          <w:lang w:val="en-GB"/>
        </w:rPr>
        <w:t xml:space="preserve">, E. (1993). Settlement Discontinuity and Resistance to Complexity in Cyprus, ca. 4500-2500 B. C. E. </w:t>
      </w:r>
      <w:r w:rsidRPr="452E8C79" w:rsidR="0E22AD48">
        <w:rPr>
          <w:i w:val="1"/>
          <w:iCs w:val="1"/>
          <w:noProof w:val="0"/>
          <w:lang w:val="en-GB"/>
        </w:rPr>
        <w:t>Bulletin of the American Schools of Oriental Research</w:t>
      </w:r>
      <w:r w:rsidRPr="452E8C79" w:rsidR="0E22AD48">
        <w:rPr>
          <w:noProof w:val="0"/>
          <w:lang w:val="en-GB"/>
        </w:rPr>
        <w:t xml:space="preserve">, 292, pp.9–23. </w:t>
      </w:r>
      <w:r w:rsidRPr="452E8C79" w:rsidR="0E22AD48">
        <w:rPr>
          <w:noProof w:val="0"/>
          <w:lang w:val="en-GB"/>
        </w:rPr>
        <w:t>doi</w:t>
      </w:r>
      <w:r w:rsidRPr="452E8C79" w:rsidR="0E22AD48">
        <w:rPr>
          <w:noProof w:val="0"/>
          <w:lang w:val="en-GB"/>
        </w:rPr>
        <w:t>: https://doi.org/10.2307/1357245.</w:t>
      </w:r>
    </w:p>
    <w:p w:rsidR="7A303919" w:rsidP="452E8C79" w:rsidRDefault="7A303919" w14:paraId="72439CE2" w14:textId="59579CC2">
      <w:pPr>
        <w:pStyle w:val="ListParagraph"/>
        <w:numPr>
          <w:ilvl w:val="0"/>
          <w:numId w:val="1"/>
        </w:numPr>
        <w:suppressLineNumbers w:val="0"/>
        <w:bidi w:val="0"/>
        <w:spacing w:before="0" w:beforeAutospacing="off" w:after="160" w:afterAutospacing="off" w:line="259" w:lineRule="auto"/>
        <w:ind w:right="0"/>
        <w:jc w:val="left"/>
        <w:rPr>
          <w:noProof w:val="0"/>
          <w:lang w:val="en-GB"/>
        </w:rPr>
      </w:pPr>
      <w:r w:rsidRPr="452E8C79" w:rsidR="7A303919">
        <w:rPr>
          <w:noProof w:val="0"/>
          <w:lang w:val="en-GB"/>
        </w:rPr>
        <w:t xml:space="preserve">Elman Rogers Service (1975). </w:t>
      </w:r>
      <w:r w:rsidRPr="452E8C79" w:rsidR="7A303919">
        <w:rPr>
          <w:i w:val="1"/>
          <w:iCs w:val="1"/>
          <w:noProof w:val="0"/>
          <w:lang w:val="en-GB"/>
        </w:rPr>
        <w:t xml:space="preserve">Origins of the </w:t>
      </w:r>
      <w:r w:rsidRPr="452E8C79" w:rsidR="2ED03AAF">
        <w:rPr>
          <w:i w:val="1"/>
          <w:iCs w:val="1"/>
          <w:noProof w:val="0"/>
          <w:lang w:val="en-GB"/>
        </w:rPr>
        <w:t>S</w:t>
      </w:r>
      <w:r w:rsidRPr="452E8C79" w:rsidR="7A303919">
        <w:rPr>
          <w:i w:val="1"/>
          <w:iCs w:val="1"/>
          <w:noProof w:val="0"/>
          <w:lang w:val="en-GB"/>
        </w:rPr>
        <w:t xml:space="preserve">tate and </w:t>
      </w:r>
      <w:bookmarkStart w:name="_Int_J9Ej7wFs" w:id="1121050351"/>
      <w:r w:rsidRPr="452E8C79" w:rsidR="1F001CDE">
        <w:rPr>
          <w:i w:val="1"/>
          <w:iCs w:val="1"/>
          <w:noProof w:val="0"/>
          <w:lang w:val="en-GB"/>
        </w:rPr>
        <w:t>C</w:t>
      </w:r>
      <w:bookmarkStart w:name="_Int_2T8oocC2" w:id="898655584"/>
      <w:r w:rsidRPr="452E8C79" w:rsidR="7A303919">
        <w:rPr>
          <w:i w:val="1"/>
          <w:iCs w:val="1"/>
          <w:noProof w:val="0"/>
          <w:lang w:val="en-GB"/>
        </w:rPr>
        <w:t>ivilization</w:t>
      </w:r>
      <w:r w:rsidRPr="452E8C79" w:rsidR="6F9F9DB6">
        <w:rPr>
          <w:i w:val="1"/>
          <w:iCs w:val="1"/>
          <w:noProof w:val="0"/>
          <w:lang w:val="en-GB"/>
        </w:rPr>
        <w:t>:</w:t>
      </w:r>
      <w:bookmarkEnd w:id="898655584"/>
      <w:bookmarkEnd w:id="1121050351"/>
      <w:r w:rsidRPr="452E8C79" w:rsidR="7A303919">
        <w:rPr>
          <w:i w:val="1"/>
          <w:iCs w:val="1"/>
          <w:noProof w:val="0"/>
          <w:lang w:val="en-GB"/>
        </w:rPr>
        <w:t xml:space="preserve"> </w:t>
      </w:r>
      <w:bookmarkStart w:name="_Int_Qs3SSapO" w:id="120310614"/>
      <w:r w:rsidRPr="452E8C79" w:rsidR="7A303919">
        <w:rPr>
          <w:i w:val="1"/>
          <w:iCs w:val="1"/>
          <w:noProof w:val="0"/>
          <w:lang w:val="en-GB"/>
        </w:rPr>
        <w:t>the</w:t>
      </w:r>
      <w:bookmarkEnd w:id="120310614"/>
      <w:r w:rsidRPr="452E8C79" w:rsidR="7A303919">
        <w:rPr>
          <w:i w:val="1"/>
          <w:iCs w:val="1"/>
          <w:noProof w:val="0"/>
          <w:lang w:val="en-GB"/>
        </w:rPr>
        <w:t xml:space="preserve"> </w:t>
      </w:r>
      <w:r w:rsidRPr="452E8C79" w:rsidR="7F5D2248">
        <w:rPr>
          <w:i w:val="1"/>
          <w:iCs w:val="1"/>
          <w:noProof w:val="0"/>
          <w:lang w:val="en-GB"/>
        </w:rPr>
        <w:t>P</w:t>
      </w:r>
      <w:r w:rsidRPr="452E8C79" w:rsidR="7A303919">
        <w:rPr>
          <w:i w:val="1"/>
          <w:iCs w:val="1"/>
          <w:noProof w:val="0"/>
          <w:lang w:val="en-GB"/>
        </w:rPr>
        <w:t xml:space="preserve">rocess of </w:t>
      </w:r>
      <w:r w:rsidRPr="452E8C79" w:rsidR="021D44E5">
        <w:rPr>
          <w:i w:val="1"/>
          <w:iCs w:val="1"/>
          <w:noProof w:val="0"/>
          <w:lang w:val="en-GB"/>
        </w:rPr>
        <w:t>C</w:t>
      </w:r>
      <w:r w:rsidRPr="452E8C79" w:rsidR="7A303919">
        <w:rPr>
          <w:i w:val="1"/>
          <w:iCs w:val="1"/>
          <w:noProof w:val="0"/>
          <w:lang w:val="en-GB"/>
        </w:rPr>
        <w:t xml:space="preserve">ultural </w:t>
      </w:r>
      <w:r w:rsidRPr="452E8C79" w:rsidR="40CD39F0">
        <w:rPr>
          <w:i w:val="1"/>
          <w:iCs w:val="1"/>
          <w:noProof w:val="0"/>
          <w:lang w:val="en-GB"/>
        </w:rPr>
        <w:t>E</w:t>
      </w:r>
      <w:r w:rsidRPr="452E8C79" w:rsidR="7A303919">
        <w:rPr>
          <w:i w:val="1"/>
          <w:iCs w:val="1"/>
          <w:noProof w:val="0"/>
          <w:lang w:val="en-GB"/>
        </w:rPr>
        <w:t>volution</w:t>
      </w:r>
      <w:r w:rsidRPr="452E8C79" w:rsidR="7A303919">
        <w:rPr>
          <w:noProof w:val="0"/>
          <w:lang w:val="en-GB"/>
        </w:rPr>
        <w:t>. New York: Norton.</w:t>
      </w:r>
    </w:p>
    <w:p w:rsidR="4F7DC816" w:rsidP="452E8C79" w:rsidRDefault="4F7DC816" w14:paraId="1D61B056" w14:textId="631C21EA">
      <w:pPr>
        <w:pStyle w:val="ListParagraph"/>
        <w:numPr>
          <w:ilvl w:val="0"/>
          <w:numId w:val="1"/>
        </w:numPr>
        <w:suppressLineNumbers w:val="0"/>
        <w:bidi w:val="0"/>
        <w:spacing w:before="0" w:beforeAutospacing="off" w:after="160" w:afterAutospacing="off" w:line="259" w:lineRule="auto"/>
        <w:ind w:right="0"/>
        <w:jc w:val="left"/>
        <w:rPr/>
      </w:pPr>
      <w:r w:rsidRPr="452E8C79" w:rsidR="4F7DC816">
        <w:rPr>
          <w:noProof w:val="0"/>
          <w:lang w:val="en-GB"/>
        </w:rPr>
        <w:t xml:space="preserve">Peltenburg, E. (1993). Settlement Discontinuity and Resistance to Complexity in Cyprus, ca. 4500-2500 B. C. E. </w:t>
      </w:r>
      <w:r w:rsidRPr="452E8C79" w:rsidR="4F7DC816">
        <w:rPr>
          <w:i w:val="1"/>
          <w:iCs w:val="1"/>
          <w:noProof w:val="0"/>
          <w:lang w:val="en-GB"/>
        </w:rPr>
        <w:t>Bulletin of the American Schools of Oriental Research</w:t>
      </w:r>
      <w:r w:rsidRPr="452E8C79" w:rsidR="4F7DC816">
        <w:rPr>
          <w:noProof w:val="0"/>
          <w:lang w:val="en-GB"/>
        </w:rPr>
        <w:t>, 292, pp.9–23. doi: https://doi.org/10.2307/1357245.</w:t>
      </w:r>
    </w:p>
    <w:p w:rsidR="48912231" w:rsidP="452E8C79" w:rsidRDefault="48912231" w14:paraId="782238DE" w14:textId="777D18B1">
      <w:pPr>
        <w:pStyle w:val="ListParagraph"/>
        <w:numPr>
          <w:ilvl w:val="0"/>
          <w:numId w:val="1"/>
        </w:numPr>
        <w:suppressLineNumbers w:val="0"/>
        <w:bidi w:val="0"/>
        <w:spacing w:before="0" w:beforeAutospacing="off" w:after="160" w:afterAutospacing="off" w:line="259" w:lineRule="auto"/>
        <w:ind w:right="0"/>
        <w:jc w:val="left"/>
        <w:rPr>
          <w:noProof w:val="0"/>
          <w:lang w:val="en-GB"/>
        </w:rPr>
      </w:pPr>
      <w:r w:rsidRPr="452E8C79" w:rsidR="48912231">
        <w:rPr>
          <w:noProof w:val="0"/>
          <w:lang w:val="en-GB"/>
        </w:rPr>
        <w:t>Peltenburg</w:t>
      </w:r>
      <w:r w:rsidRPr="452E8C79" w:rsidR="48912231">
        <w:rPr>
          <w:noProof w:val="0"/>
          <w:lang w:val="en-GB"/>
        </w:rPr>
        <w:t xml:space="preserve">, E. (2012). Text Meets Material in Bronze Age Cyprus. In A. Georgiou (Ed.), </w:t>
      </w:r>
      <w:r w:rsidRPr="452E8C79" w:rsidR="48912231">
        <w:rPr>
          <w:i w:val="1"/>
          <w:iCs w:val="1"/>
          <w:noProof w:val="0"/>
          <w:lang w:val="en-GB"/>
        </w:rPr>
        <w:t>Cyprus: An island culture: Society and Social Relations from the Bronze Age to the Venetian Period</w:t>
      </w:r>
      <w:r w:rsidRPr="452E8C79" w:rsidR="48912231">
        <w:rPr>
          <w:noProof w:val="0"/>
          <w:lang w:val="en-GB"/>
        </w:rPr>
        <w:t xml:space="preserve"> (pp. 1–23). Oxbow Books. </w:t>
      </w:r>
      <w:hyperlink r:id="R115b07150af64c8f">
        <w:r w:rsidRPr="452E8C79" w:rsidR="48912231">
          <w:rPr>
            <w:rStyle w:val="Hyperlink"/>
            <w:noProof w:val="0"/>
            <w:lang w:val="en-GB"/>
          </w:rPr>
          <w:t>https://doi.org/10.2307/j.ctvh1djv0.6</w:t>
        </w:r>
      </w:hyperlink>
    </w:p>
    <w:p w:rsidR="461DB289" w:rsidP="452E8C79" w:rsidRDefault="461DB289" w14:paraId="634B4F3B" w14:textId="39E9D8ED">
      <w:pPr>
        <w:pStyle w:val="ListParagraph"/>
        <w:numPr>
          <w:ilvl w:val="0"/>
          <w:numId w:val="1"/>
        </w:numPr>
        <w:suppressLineNumbers w:val="0"/>
        <w:bidi w:val="0"/>
        <w:spacing w:before="0" w:beforeAutospacing="off" w:after="160" w:afterAutospacing="off" w:line="259" w:lineRule="auto"/>
        <w:ind w:right="0"/>
        <w:jc w:val="left"/>
        <w:rPr>
          <w:noProof w:val="0"/>
          <w:lang w:val="en-GB"/>
        </w:rPr>
      </w:pPr>
      <w:r w:rsidRPr="452E8C79" w:rsidR="461DB289">
        <w:rPr>
          <w:noProof w:val="0"/>
          <w:lang w:val="en-GB"/>
        </w:rPr>
        <w:t xml:space="preserve">Peltenburg, E. (2012). TEXT MEETS MATERIAL IN LATE BRONZE AGE CYPRUS. In A. Georgiou (Ed.), </w:t>
      </w:r>
      <w:r w:rsidRPr="452E8C79" w:rsidR="461DB289">
        <w:rPr>
          <w:i w:val="1"/>
          <w:iCs w:val="1"/>
          <w:noProof w:val="0"/>
          <w:lang w:val="en-GB"/>
        </w:rPr>
        <w:t>Cyprus: An island culture: Society and Social Relations from the Bronze Age to the Venetian Period</w:t>
      </w:r>
      <w:r w:rsidRPr="452E8C79" w:rsidR="461DB289">
        <w:rPr>
          <w:noProof w:val="0"/>
          <w:lang w:val="en-GB"/>
        </w:rPr>
        <w:t xml:space="preserve"> (pp. 1–23). Oxbow Books. </w:t>
      </w:r>
      <w:hyperlink r:id="Rb179b19e9d094ae8">
        <w:r w:rsidRPr="452E8C79" w:rsidR="461DB289">
          <w:rPr>
            <w:rStyle w:val="Hyperlink"/>
            <w:noProof w:val="0"/>
            <w:lang w:val="en-GB"/>
          </w:rPr>
          <w:t>https://doi.org/10.2307/j.ctvh1djv0.6</w:t>
        </w:r>
      </w:hyperlink>
    </w:p>
    <w:p w:rsidR="461DB289" w:rsidP="452E8C79" w:rsidRDefault="461DB289" w14:paraId="09E8C22D" w14:textId="02ECFCB2">
      <w:pPr>
        <w:pStyle w:val="ListParagraph"/>
        <w:numPr>
          <w:ilvl w:val="0"/>
          <w:numId w:val="1"/>
        </w:numPr>
        <w:suppressLineNumbers w:val="0"/>
        <w:bidi w:val="0"/>
        <w:spacing w:before="0" w:beforeAutospacing="off" w:after="160" w:afterAutospacing="off" w:line="259" w:lineRule="auto"/>
        <w:ind w:right="0"/>
        <w:jc w:val="left"/>
        <w:rPr>
          <w:noProof w:val="0"/>
          <w:lang w:val="en-GB"/>
        </w:rPr>
      </w:pPr>
      <w:r w:rsidRPr="452E8C79" w:rsidR="461DB289">
        <w:rPr>
          <w:noProof w:val="0"/>
          <w:lang w:val="en-GB"/>
        </w:rPr>
        <w:t xml:space="preserve">Peltenburg, E. (2012). TEXT MEETS MATERIAL IN LATE BRONZE AGE CYPRUS. In A. Georgiou (Ed.), </w:t>
      </w:r>
      <w:r w:rsidRPr="452E8C79" w:rsidR="461DB289">
        <w:rPr>
          <w:i w:val="1"/>
          <w:iCs w:val="1"/>
          <w:noProof w:val="0"/>
          <w:lang w:val="en-GB"/>
        </w:rPr>
        <w:t>Cyprus: An island culture: Society and Social Relations from the Bronze Age to the Venetian Period</w:t>
      </w:r>
      <w:r w:rsidRPr="452E8C79" w:rsidR="461DB289">
        <w:rPr>
          <w:noProof w:val="0"/>
          <w:lang w:val="en-GB"/>
        </w:rPr>
        <w:t xml:space="preserve"> (pp. 1–23). Oxbow Books. </w:t>
      </w:r>
      <w:hyperlink r:id="R52465f14e1b14a12">
        <w:r w:rsidRPr="452E8C79" w:rsidR="461DB289">
          <w:rPr>
            <w:rStyle w:val="Hyperlink"/>
            <w:noProof w:val="0"/>
            <w:lang w:val="en-GB"/>
          </w:rPr>
          <w:t>https://doi.org/10.2307/j.ctvh1djv0.6</w:t>
        </w:r>
      </w:hyperlink>
    </w:p>
    <w:p w:rsidR="31DEFBAE" w:rsidP="452E8C79" w:rsidRDefault="31DEFBAE" w14:paraId="389017F5" w14:textId="5E4DB54D">
      <w:pPr>
        <w:pStyle w:val="ListParagraph"/>
        <w:numPr>
          <w:ilvl w:val="0"/>
          <w:numId w:val="1"/>
        </w:numPr>
        <w:suppressLineNumbers w:val="0"/>
        <w:bidi w:val="0"/>
        <w:spacing w:before="0" w:beforeAutospacing="off" w:after="160" w:afterAutospacing="off" w:line="259" w:lineRule="auto"/>
        <w:ind w:right="0"/>
        <w:jc w:val="left"/>
        <w:rPr>
          <w:noProof w:val="0"/>
          <w:lang w:val="en-GB"/>
        </w:rPr>
      </w:pPr>
      <w:r w:rsidRPr="452E8C79" w:rsidR="31DEFBAE">
        <w:rPr>
          <w:noProof w:val="0"/>
          <w:lang w:val="en-GB"/>
        </w:rPr>
        <w:t xml:space="preserve">McGeough, K. (2007) Exchange relationships at Ugarit, </w:t>
      </w:r>
      <w:r w:rsidRPr="452E8C79" w:rsidR="31DEFBAE">
        <w:rPr>
          <w:i w:val="1"/>
          <w:iCs w:val="1"/>
          <w:noProof w:val="0"/>
          <w:lang w:val="en-GB"/>
        </w:rPr>
        <w:t>Ancient Near Eastern Studies Supplement 26</w:t>
      </w:r>
      <w:r w:rsidRPr="452E8C79" w:rsidR="31DEFBAE">
        <w:rPr>
          <w:noProof w:val="0"/>
          <w:lang w:val="en-GB"/>
        </w:rPr>
        <w:t>, Leuven, Peeters.</w:t>
      </w:r>
    </w:p>
    <w:p w:rsidR="42060F8D" w:rsidP="452E8C79" w:rsidRDefault="42060F8D" w14:paraId="312262BB" w14:textId="6C8BF1CA">
      <w:pPr>
        <w:pStyle w:val="ListParagraph"/>
        <w:numPr>
          <w:ilvl w:val="0"/>
          <w:numId w:val="1"/>
        </w:numPr>
        <w:suppressLineNumbers w:val="0"/>
        <w:bidi w:val="0"/>
        <w:spacing w:before="0" w:beforeAutospacing="off" w:after="160" w:afterAutospacing="off" w:line="259" w:lineRule="auto"/>
        <w:ind w:right="0"/>
        <w:jc w:val="left"/>
        <w:rPr>
          <w:noProof w:val="0"/>
          <w:lang w:val="en-GB"/>
        </w:rPr>
      </w:pPr>
      <w:r w:rsidRPr="452E8C79" w:rsidR="42060F8D">
        <w:rPr>
          <w:noProof w:val="0"/>
          <w:lang w:val="en-GB"/>
        </w:rPr>
        <w:t xml:space="preserve">Peltenburg, E. (2012). TEXT MEETS MATERIAL IN LATE BRONZE AGE CYPRUS. In A. Georgiou (Ed.), </w:t>
      </w:r>
      <w:r w:rsidRPr="452E8C79" w:rsidR="42060F8D">
        <w:rPr>
          <w:i w:val="1"/>
          <w:iCs w:val="1"/>
          <w:noProof w:val="0"/>
          <w:lang w:val="en-GB"/>
        </w:rPr>
        <w:t>Cyprus: An island culture: Society and Social Relations from the Bronze Age to the Venetian Period</w:t>
      </w:r>
      <w:r w:rsidRPr="452E8C79" w:rsidR="42060F8D">
        <w:rPr>
          <w:noProof w:val="0"/>
          <w:lang w:val="en-GB"/>
        </w:rPr>
        <w:t xml:space="preserve"> (pp. 1–23). Oxbow Books. </w:t>
      </w:r>
      <w:hyperlink r:id="Rf9e353c3ed354c80">
        <w:r w:rsidRPr="452E8C79" w:rsidR="42060F8D">
          <w:rPr>
            <w:rStyle w:val="Hyperlink"/>
            <w:noProof w:val="0"/>
            <w:lang w:val="en-GB"/>
          </w:rPr>
          <w:t>https://doi.org/10.2307/j.ctvh1djv0.6</w:t>
        </w:r>
      </w:hyperlink>
    </w:p>
    <w:p w:rsidR="452E8C79" w:rsidP="452E8C79" w:rsidRDefault="452E8C79" w14:paraId="0A3FF7B1" w14:textId="3E80ED8B">
      <w:pPr>
        <w:pStyle w:val="Normal"/>
        <w:suppressLineNumbers w:val="0"/>
        <w:bidi w:val="0"/>
        <w:spacing w:before="0" w:beforeAutospacing="off" w:after="160" w:afterAutospacing="off" w:line="259" w:lineRule="auto"/>
        <w:ind w:left="0" w:right="0"/>
        <w:jc w:val="left"/>
        <w:rPr>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C735487" w:rsidRDefault="6C735487" w14:paraId="7324B91F" w14:textId="33718346">
      <w:pPr>
        <w:spacing w:after="0" w:line="240" w:lineRule="auto"/>
      </w:pPr>
      <w:r>
        <w:separator/>
      </w:r>
    </w:p>
  </w:footnote>
  <w:footnote w:type="continuationSeparator" w:id="0">
    <w:p w:rsidR="6C735487" w:rsidRDefault="6C735487" w14:paraId="043BC89D" w14:textId="05A42434">
      <w:pPr>
        <w:spacing w:after="0" w:line="240" w:lineRule="auto"/>
      </w:pPr>
      <w:r>
        <w:continuationSeparator/>
      </w:r>
    </w:p>
  </w:footnote>
  <w:footnote w:id="29780">
    <w:p w:rsidR="6C735487" w:rsidP="6C735487" w:rsidRDefault="6C735487" w14:paraId="58E84401" w14:textId="4F4A55B4">
      <w:pPr>
        <w:pStyle w:val="FootnoteText"/>
        <w:bidi w:val="0"/>
      </w:pPr>
      <w:r w:rsidRPr="6C735487">
        <w:rPr>
          <w:rStyle w:val="FootnoteReference"/>
        </w:rPr>
        <w:footnoteRef/>
      </w:r>
      <w:r w:rsidR="6C735487">
        <w:rPr/>
        <w:t xml:space="preserve">  (Bolger, 1992)</w:t>
      </w:r>
    </w:p>
  </w:footnote>
  <w:footnote w:id="3693">
    <w:p w:rsidR="6C735487" w:rsidP="6C735487" w:rsidRDefault="6C735487" w14:paraId="27CF5A73" w14:textId="15920A75">
      <w:pPr>
        <w:pStyle w:val="FootnoteText"/>
        <w:bidi w:val="0"/>
      </w:pPr>
      <w:r w:rsidRPr="6C735487">
        <w:rPr>
          <w:rStyle w:val="FootnoteReference"/>
        </w:rPr>
        <w:footnoteRef/>
      </w:r>
      <w:r w:rsidR="6C735487">
        <w:rPr/>
        <w:t xml:space="preserve"> (Bolger, 1992)</w:t>
      </w:r>
    </w:p>
  </w:footnote>
  <w:footnote w:id="9625">
    <w:p w:rsidR="6C735487" w:rsidP="6C735487" w:rsidRDefault="6C735487" w14:paraId="1B0CC10F" w14:textId="272D12DE">
      <w:pPr>
        <w:pStyle w:val="FootnoteText"/>
        <w:bidi w:val="0"/>
      </w:pPr>
      <w:r w:rsidRPr="6C735487">
        <w:rPr>
          <w:rStyle w:val="FootnoteReference"/>
        </w:rPr>
        <w:footnoteRef/>
      </w:r>
      <w:r w:rsidR="6C735487">
        <w:rPr/>
        <w:t xml:space="preserve"> (Bolger, 1992)</w:t>
      </w:r>
    </w:p>
  </w:footnote>
  <w:footnote w:id="29286">
    <w:p w:rsidR="6C735487" w:rsidP="6C735487" w:rsidRDefault="6C735487" w14:paraId="14054314" w14:textId="51475E42">
      <w:pPr>
        <w:pStyle w:val="FootnoteText"/>
        <w:bidi w:val="0"/>
      </w:pPr>
      <w:r w:rsidRPr="6C735487">
        <w:rPr>
          <w:rStyle w:val="FootnoteReference"/>
        </w:rPr>
        <w:footnoteRef/>
      </w:r>
      <w:r w:rsidR="6C735487">
        <w:rPr/>
        <w:t xml:space="preserve"> (Bolger, 1992)</w:t>
      </w:r>
    </w:p>
  </w:footnote>
  <w:footnote w:id="24282">
    <w:p w:rsidR="6C735487" w:rsidP="6C735487" w:rsidRDefault="6C735487" w14:paraId="3F730151" w14:textId="271E7142">
      <w:pPr>
        <w:pStyle w:val="FootnoteText"/>
        <w:bidi w:val="0"/>
      </w:pPr>
      <w:r w:rsidRPr="6C735487">
        <w:rPr>
          <w:rStyle w:val="FootnoteReference"/>
        </w:rPr>
        <w:footnoteRef/>
      </w:r>
      <w:r w:rsidR="6C735487">
        <w:rPr/>
        <w:t xml:space="preserve"> (Bolger, 1992)</w:t>
      </w:r>
    </w:p>
  </w:footnote>
  <w:footnote w:id="25611">
    <w:p w:rsidR="705AF152" w:rsidP="705AF152" w:rsidRDefault="705AF152" w14:paraId="644313B9" w14:textId="6F54345B">
      <w:pPr>
        <w:pStyle w:val="FootnoteText"/>
        <w:bidi w:val="0"/>
      </w:pPr>
      <w:r w:rsidRPr="705AF152">
        <w:rPr>
          <w:rStyle w:val="FootnoteReference"/>
        </w:rPr>
        <w:footnoteRef/>
      </w:r>
      <w:r w:rsidR="705AF152">
        <w:rPr/>
        <w:t xml:space="preserve"> (Bolger, 1992)</w:t>
      </w:r>
    </w:p>
  </w:footnote>
  <w:footnote w:id="19717">
    <w:p w:rsidR="705AF152" w:rsidP="705AF152" w:rsidRDefault="705AF152" w14:paraId="59C42E4F" w14:textId="68A4DFB9">
      <w:pPr>
        <w:pStyle w:val="FootnoteText"/>
        <w:bidi w:val="0"/>
      </w:pPr>
      <w:r w:rsidRPr="705AF152">
        <w:rPr>
          <w:rStyle w:val="FootnoteReference"/>
        </w:rPr>
        <w:footnoteRef/>
      </w:r>
      <w:r w:rsidR="705AF152">
        <w:rPr/>
        <w:t xml:space="preserve"> (Bolger, 1992)</w:t>
      </w:r>
    </w:p>
  </w:footnote>
  <w:footnote w:id="17263">
    <w:p w:rsidR="404B973A" w:rsidP="404B973A" w:rsidRDefault="404B973A" w14:paraId="4F6D1112" w14:textId="0CA21D53">
      <w:pPr>
        <w:pStyle w:val="FootnoteText"/>
        <w:bidi w:val="0"/>
      </w:pPr>
      <w:r w:rsidRPr="404B973A">
        <w:rPr>
          <w:rStyle w:val="FootnoteReference"/>
        </w:rPr>
        <w:footnoteRef/>
      </w:r>
      <w:r w:rsidR="404B973A">
        <w:rPr/>
        <w:t xml:space="preserve"> (</w:t>
      </w:r>
      <w:r w:rsidR="404B973A">
        <w:rPr/>
        <w:t>Peltenburg</w:t>
      </w:r>
      <w:r w:rsidR="404B973A">
        <w:rPr/>
        <w:t>, 1993)</w:t>
      </w:r>
    </w:p>
  </w:footnote>
  <w:footnote w:id="13615">
    <w:p w:rsidR="404B973A" w:rsidP="404B973A" w:rsidRDefault="404B973A" w14:paraId="6ACD0254" w14:textId="3346C4C2">
      <w:pPr>
        <w:pStyle w:val="FootnoteText"/>
        <w:bidi w:val="0"/>
      </w:pPr>
      <w:r w:rsidRPr="404B973A">
        <w:rPr>
          <w:rStyle w:val="FootnoteReference"/>
        </w:rPr>
        <w:footnoteRef/>
      </w:r>
      <w:r w:rsidR="404B973A">
        <w:rPr/>
        <w:t xml:space="preserve"> (</w:t>
      </w:r>
      <w:r w:rsidR="404B973A">
        <w:rPr/>
        <w:t>Peltenburg</w:t>
      </w:r>
      <w:r w:rsidR="404B973A">
        <w:rPr/>
        <w:t>, 1993)</w:t>
      </w:r>
    </w:p>
  </w:footnote>
  <w:footnote w:id="11996">
    <w:p w:rsidR="404B973A" w:rsidP="404B973A" w:rsidRDefault="404B973A" w14:paraId="0A3BBB8C" w14:textId="768910E6">
      <w:pPr>
        <w:pStyle w:val="FootnoteText"/>
        <w:bidi w:val="0"/>
      </w:pPr>
      <w:r w:rsidRPr="404B973A">
        <w:rPr>
          <w:rStyle w:val="FootnoteReference"/>
        </w:rPr>
        <w:footnoteRef/>
      </w:r>
      <w:r w:rsidR="404B973A">
        <w:rPr/>
        <w:t xml:space="preserve"> (Service, 1975)</w:t>
      </w:r>
    </w:p>
  </w:footnote>
  <w:footnote w:id="235">
    <w:p w:rsidR="404B973A" w:rsidP="404B973A" w:rsidRDefault="404B973A" w14:paraId="00CF8E8E" w14:textId="1FCB32AC">
      <w:pPr>
        <w:pStyle w:val="FootnoteText"/>
        <w:bidi w:val="0"/>
      </w:pPr>
      <w:r w:rsidRPr="404B973A">
        <w:rPr>
          <w:rStyle w:val="FootnoteReference"/>
        </w:rPr>
        <w:footnoteRef/>
      </w:r>
      <w:r w:rsidR="404B973A">
        <w:rPr/>
        <w:t xml:space="preserve"> (</w:t>
      </w:r>
      <w:r w:rsidR="404B973A">
        <w:rPr/>
        <w:t>Peltenburg</w:t>
      </w:r>
      <w:r w:rsidR="404B973A">
        <w:rPr/>
        <w:t>, 1993)</w:t>
      </w:r>
    </w:p>
  </w:footnote>
  <w:footnote w:id="3845">
    <w:p w:rsidR="452E8C79" w:rsidP="452E8C79" w:rsidRDefault="452E8C79" w14:paraId="3D05CE38" w14:textId="3C6D1CA6">
      <w:pPr>
        <w:pStyle w:val="FootnoteText"/>
        <w:bidi w:val="0"/>
      </w:pPr>
      <w:r w:rsidRPr="452E8C79">
        <w:rPr>
          <w:rStyle w:val="FootnoteReference"/>
        </w:rPr>
        <w:footnoteRef/>
      </w:r>
      <w:r w:rsidR="452E8C79">
        <w:rPr/>
        <w:t xml:space="preserve"> (</w:t>
      </w:r>
      <w:r w:rsidR="452E8C79">
        <w:rPr/>
        <w:t>Peltenburg</w:t>
      </w:r>
      <w:r w:rsidR="452E8C79">
        <w:rPr/>
        <w:t>, 2012)</w:t>
      </w:r>
    </w:p>
  </w:footnote>
  <w:footnote w:id="18868">
    <w:p w:rsidR="452E8C79" w:rsidP="452E8C79" w:rsidRDefault="452E8C79" w14:paraId="06B4EB30" w14:textId="53D386F3">
      <w:pPr>
        <w:pStyle w:val="FootnoteText"/>
        <w:bidi w:val="0"/>
      </w:pPr>
      <w:r w:rsidRPr="452E8C79">
        <w:rPr>
          <w:rStyle w:val="FootnoteReference"/>
        </w:rPr>
        <w:footnoteRef/>
      </w:r>
      <w:r w:rsidR="452E8C79">
        <w:rPr/>
        <w:t xml:space="preserve"> (</w:t>
      </w:r>
      <w:r w:rsidR="452E8C79">
        <w:rPr/>
        <w:t>Peltenburg</w:t>
      </w:r>
      <w:r w:rsidR="452E8C79">
        <w:rPr/>
        <w:t>, 2012)</w:t>
      </w:r>
    </w:p>
  </w:footnote>
  <w:footnote w:id="995">
    <w:p w:rsidR="452E8C79" w:rsidP="452E8C79" w:rsidRDefault="452E8C79" w14:paraId="78E09380" w14:textId="4196CA33">
      <w:pPr>
        <w:pStyle w:val="FootnoteText"/>
        <w:bidi w:val="0"/>
      </w:pPr>
      <w:r w:rsidRPr="452E8C79">
        <w:rPr>
          <w:rStyle w:val="FootnoteReference"/>
        </w:rPr>
        <w:footnoteRef/>
      </w:r>
      <w:r w:rsidR="452E8C79">
        <w:rPr/>
        <w:t xml:space="preserve"> (</w:t>
      </w:r>
      <w:r w:rsidR="452E8C79">
        <w:rPr/>
        <w:t>Peltenburg</w:t>
      </w:r>
      <w:r w:rsidR="452E8C79">
        <w:rPr/>
        <w:t>, 2012)</w:t>
      </w:r>
    </w:p>
  </w:footnote>
  <w:footnote w:id="22473">
    <w:p w:rsidR="452E8C79" w:rsidP="452E8C79" w:rsidRDefault="452E8C79" w14:paraId="3C2BE590" w14:textId="75CDC3EA">
      <w:pPr>
        <w:pStyle w:val="FootnoteText"/>
        <w:bidi w:val="0"/>
      </w:pPr>
      <w:r w:rsidRPr="452E8C79">
        <w:rPr>
          <w:rStyle w:val="FootnoteReference"/>
        </w:rPr>
        <w:footnoteRef/>
      </w:r>
      <w:r w:rsidR="452E8C79">
        <w:rPr/>
        <w:t xml:space="preserve"> (McGeough, 2009)</w:t>
      </w:r>
    </w:p>
  </w:footnote>
  <w:footnote w:id="3380">
    <w:p w:rsidR="452E8C79" w:rsidP="452E8C79" w:rsidRDefault="452E8C79" w14:paraId="65DC648A" w14:textId="4898DD09">
      <w:pPr>
        <w:pStyle w:val="FootnoteText"/>
        <w:bidi w:val="0"/>
      </w:pPr>
      <w:r w:rsidRPr="452E8C79">
        <w:rPr>
          <w:rStyle w:val="FootnoteReference"/>
        </w:rPr>
        <w:footnoteRef/>
      </w:r>
      <w:r w:rsidR="452E8C79">
        <w:rPr/>
        <w:t xml:space="preserve"> (</w:t>
      </w:r>
      <w:r w:rsidR="452E8C79">
        <w:rPr/>
        <w:t>Peltenburg</w:t>
      </w:r>
      <w:r w:rsidR="452E8C79">
        <w:rPr/>
        <w:t>, 2012)</w:t>
      </w:r>
    </w:p>
  </w:footnote>
  <w:footnote w:id="17710">
    <w:p w:rsidR="452E8C79" w:rsidP="452E8C79" w:rsidRDefault="452E8C79" w14:paraId="040E4E7D" w14:textId="40B852ED">
      <w:pPr>
        <w:pStyle w:val="FootnoteText"/>
        <w:bidi w:val="0"/>
      </w:pPr>
      <w:r w:rsidRPr="452E8C79">
        <w:rPr>
          <w:rStyle w:val="FootnoteReference"/>
        </w:rPr>
        <w:footnoteRef/>
      </w:r>
      <w:r w:rsidR="452E8C79">
        <w:rPr/>
        <w:t xml:space="preserve"> (Peltenburg, 1993)</w:t>
      </w:r>
    </w:p>
  </w:footnote>
</w:footnotes>
</file>

<file path=word/intelligence2.xml><?xml version="1.0" encoding="utf-8"?>
<int2:intelligence xmlns:int2="http://schemas.microsoft.com/office/intelligence/2020/intelligence">
  <int2:observations>
    <int2:textHash int2:hashCode="m2McWh+hdKv/3f" int2:id="r2qot04B">
      <int2:state int2:type="AugLoop_Text_Critique" int2:value="Rejected"/>
    </int2:textHash>
    <int2:textHash int2:hashCode="nXmqv3C31gk7Yu" int2:id="nO8TEtZW">
      <int2:state int2:type="AugLoop_Text_Critique" int2:value="Rejected"/>
    </int2:textHash>
    <int2:textHash int2:hashCode="Fcf6u0yvB3gFyK" int2:id="DyfTAiEv">
      <int2:state int2:type="AugLoop_Text_Critique" int2:value="Rejected"/>
    </int2:textHash>
    <int2:textHash int2:hashCode="SEbTdWapYlzpvX" int2:id="okF2ssCb">
      <int2:state int2:type="AugLoop_Text_Critique" int2:value="Rejected"/>
    </int2:textHash>
    <int2:textHash int2:hashCode="3Tsz3nzeo3WjTI" int2:id="VyZJ7nmA">
      <int2:state int2:type="AugLoop_Text_Critique" int2:value="Rejected"/>
    </int2:textHash>
    <int2:textHash int2:hashCode="+GI86xUXG7rZv9" int2:id="VAXJJYZs">
      <int2:state int2:type="AugLoop_Text_Critique" int2:value="Rejected"/>
    </int2:textHash>
    <int2:textHash int2:hashCode="qq0ZX0K8PbPnPT" int2:id="CfVkRKQe">
      <int2:state int2:type="AugLoop_Text_Critique" int2:value="Rejected"/>
    </int2:textHash>
    <int2:bookmark int2:bookmarkName="_Int_Qs3SSapO" int2:invalidationBookmarkName="" int2:hashCode="u8zfLvsztS5snQ" int2:id="wanSuF0v">
      <int2:state int2:type="AugLoop_Text_Critique" int2:value="Rejected"/>
    </int2:bookmark>
    <int2:bookmark int2:bookmarkName="_Int_J9Ej7wFs" int2:invalidationBookmarkName="" int2:hashCode="5OHOu05vco84r5" int2:id="DZ3qyXj9">
      <int2:state int2:type="AugLoop_Text_Critique" int2:value="Rejected"/>
    </int2:bookmark>
    <int2:bookmark int2:bookmarkName="_Int_2T8oocC2" int2:invalidationBookmarkName="" int2:hashCode="DxvISQwGKDmh7F" int2:id="HoxZjdDo">
      <int2:state int2:type="AugLoop_Text_Critique" int2:value="Rejected"/>
    </int2:bookmark>
    <int2:bookmark int2:bookmarkName="_Int_sZekB6bh" int2:invalidationBookmarkName="" int2:hashCode="CGrqYOzx2msG5j" int2:id="lRKkuvCz">
      <int2:state int2:type="AugLoop_Text_Critique" int2:value="Rejected"/>
    </int2:bookmark>
    <int2:bookmark int2:bookmarkName="_Int_2KXOgc1B" int2:invalidationBookmarkName="" int2:hashCode="sj2rUYciWuxIWn" int2:id="bI4rwX7y">
      <int2:state int2:type="AugLoop_Text_Critique" int2:value="Rejected"/>
    </int2:bookmark>
    <int2:bookmark int2:bookmarkName="_Int_WJCKRH5C" int2:invalidationBookmarkName="" int2:hashCode="Cr1BTBiim5Z/JK" int2:id="pIKouYbu">
      <int2:state int2:type="AugLoop_Text_Critique" int2:value="Rejected"/>
    </int2:bookmark>
    <int2:bookmark int2:bookmarkName="_Int_x0cfYVIL" int2:invalidationBookmarkName="" int2:hashCode="75p26yLUI7Yrqt" int2:id="2zy6g3YS">
      <int2:state int2:type="AugLoop_Text_Critique" int2:value="Rejected"/>
    </int2:bookmark>
    <int2:bookmark int2:bookmarkName="_Int_Yfs34PNb" int2:invalidationBookmarkName="" int2:hashCode="cSr/kwv4pUQv/6" int2:id="4KQTRbBv">
      <int2:state int2:type="AugLoop_Text_Critique" int2:value="Rejected"/>
    </int2:bookmark>
    <int2:bookmark int2:bookmarkName="_Int_F8SZaka8" int2:invalidationBookmarkName="" int2:hashCode="BXaqbJ+WAC72mc" int2:id="Cx8PSnBT">
      <int2:state int2:type="AugLoop_Text_Critique" int2:value="Rejected"/>
    </int2:bookmark>
    <int2:bookmark int2:bookmarkName="_Int_irxJ8pLy" int2:invalidationBookmarkName="" int2:hashCode="UvVTBjzv4f+FlE" int2:id="SnLfjAZA">
      <int2:state int2:type="AugLoop_Text_Critique" int2:value="Rejected"/>
    </int2:bookmark>
    <int2:bookmark int2:bookmarkName="_Int_sSaIB8yZ" int2:invalidationBookmarkName="" int2:hashCode="fbaEI/RJ6ttRXC" int2:id="WBpppK61">
      <int2:state int2:type="AugLoop_Text_Critique" int2:value="Rejected"/>
    </int2:bookmark>
    <int2:bookmark int2:bookmarkName="_Int_wZwvmEjS" int2:invalidationBookmarkName="" int2:hashCode="68zQfaA+bshAYK" int2:id="rZnvomgw">
      <int2:state int2:type="AugLoop_Text_Critique" int2:value="Rejected"/>
    </int2:bookmark>
    <int2:bookmark int2:bookmarkName="_Int_019NxFRC" int2:invalidationBookmarkName="" int2:hashCode="u+9MSe5pyg/Wc6" int2:id="QksZjcUD">
      <int2:state int2:type="AugLoop_Text_Critique" int2:value="Rejected"/>
    </int2:bookmark>
    <int2:bookmark int2:bookmarkName="_Int_mrhXZ32J" int2:invalidationBookmarkName="" int2:hashCode="DN/O1lbL/EviwZ" int2:id="zk0nMn4a">
      <int2:state int2:type="AugLoop_Text_Critique" int2:value="Rejected"/>
    </int2:bookmark>
    <int2:bookmark int2:bookmarkName="_Int_b8ViFu3y" int2:invalidationBookmarkName="" int2:hashCode="J3BQt+VXersqQQ" int2:id="rCVrcs8G">
      <int2:state int2:type="AugLoop_Text_Critique" int2:value="Rejected"/>
    </int2:bookmark>
    <int2:bookmark int2:bookmarkName="_Int_BMwydsi8" int2:invalidationBookmarkName="" int2:hashCode="wCgj9rKdcuGrsF" int2:id="rM4Edt70">
      <int2:state int2:type="AugLoop_Text_Critique" int2:value="Rejected"/>
    </int2:bookmark>
    <int2:bookmark int2:bookmarkName="_Int_EjSwYffa" int2:invalidationBookmarkName="" int2:hashCode="fG8ZAb0rtXqpeO" int2:id="LQOafIT2">
      <int2:state int2:type="AugLoop_Text_Critique" int2:value="Rejected"/>
    </int2:bookmark>
    <int2:bookmark int2:bookmarkName="_Int_9NE6dYu2" int2:invalidationBookmarkName="" int2:hashCode="gUSP4nMke1M7nw" int2:id="1L3PTCDz">
      <int2:state int2:type="AugLoop_Text_Critique" int2:value="Rejected"/>
    </int2:bookmark>
    <int2:bookmark int2:bookmarkName="_Int_081AIJPK" int2:invalidationBookmarkName="" int2:hashCode="ZR46a6nTGIm117" int2:id="UU4yLOWD">
      <int2:state int2:type="AugLoop_Text_Critique" int2:value="Rejected"/>
    </int2:bookmark>
    <int2:bookmark int2:bookmarkName="_Int_Dvm9GEcs" int2:invalidationBookmarkName="" int2:hashCode="+hy8M85sF9u9T4" int2:id="5u8dJyw3">
      <int2:state int2:type="AugLoop_Text_Critique" int2:value="Rejected"/>
    </int2:bookmark>
    <int2:bookmark int2:bookmarkName="_Int_PogRo1Od" int2:invalidationBookmarkName="" int2:hashCode="zjELx/0wiHBbD0" int2:id="DkbyzMvO">
      <int2:state int2:type="AugLoop_Text_Critique" int2:value="Rejected"/>
    </int2:bookmark>
    <int2:bookmark int2:bookmarkName="_Int_ex4dqV7D" int2:invalidationBookmarkName="" int2:hashCode="8RM5vS5FAecO8k" int2:id="moN7yXp1">
      <int2:state int2:type="AugLoop_Text_Critique" int2:value="Rejected"/>
    </int2:bookmark>
    <int2:bookmark int2:bookmarkName="_Int_oOvFhCbH" int2:invalidationBookmarkName="" int2:hashCode="J4EqjfGN7m4b+u" int2:id="VBrgOIQ5">
      <int2:state int2:type="AugLoop_Text_Critique" int2:value="Rejected"/>
    </int2:bookmark>
    <int2:bookmark int2:bookmarkName="_Int_dopxOnCk" int2:invalidationBookmarkName="" int2:hashCode="pN7JCCUxdK20az" int2:id="u3X4gpXM">
      <int2:state int2:type="AugLoop_Text_Critique" int2:value="Rejected"/>
    </int2:bookmark>
    <int2:bookmark int2:bookmarkName="_Int_L8LiGe8R" int2:invalidationBookmarkName="" int2:hashCode="N3N47HGj2I/GjA" int2:id="cKCg2GNt">
      <int2:state int2:type="AugLoop_Text_Critique" int2:value="Rejected"/>
    </int2:bookmark>
    <int2:bookmark int2:bookmarkName="_Int_7m4b8oR5" int2:invalidationBookmarkName="" int2:hashCode="HJ2F0aCjReexJo" int2:id="ebFeI4Yp">
      <int2:state int2:type="AugLoop_Text_Critique" int2:value="Rejected"/>
    </int2:bookmark>
    <int2:bookmark int2:bookmarkName="_Int_aOxy94yM" int2:invalidationBookmarkName="" int2:hashCode="evWsWD2W1JDg28" int2:id="bh9gzCiH">
      <int2:state int2:type="AugLoop_Text_Critique" int2:value="Rejected"/>
    </int2:bookmark>
    <int2:bookmark int2:bookmarkName="_Int_LD4HbJom" int2:invalidationBookmarkName="" int2:hashCode="voetIk3SOlNXi8" int2:id="F836yAVX">
      <int2:state int2:type="AugLoop_Text_Critique" int2:value="Rejected"/>
    </int2:bookmark>
    <int2:bookmark int2:bookmarkName="_Int_Th3ZdNU8" int2:invalidationBookmarkName="" int2:hashCode="XzCv1oHNccmLcU" int2:id="v1EEv4Db">
      <int2:state int2:type="AugLoop_Text_Critique" int2:value="Rejected"/>
    </int2:bookmark>
    <int2:bookmark int2:bookmarkName="_Int_RGL92i4S" int2:invalidationBookmarkName="" int2:hashCode="P2YFKhB+r5uufK" int2:id="ppzhOsyc">
      <int2:state int2:type="AugLoop_Text_Critique" int2:value="Rejected"/>
    </int2:bookmark>
    <int2:bookmark int2:bookmarkName="_Int_gQuzmVFo" int2:invalidationBookmarkName="" int2:hashCode="uv6NvFR8+xdWj/" int2:id="VhztCOC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d164b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502477"/>
    <w:rsid w:val="00042565"/>
    <w:rsid w:val="000FD826"/>
    <w:rsid w:val="006B6E93"/>
    <w:rsid w:val="00D10DF1"/>
    <w:rsid w:val="010FC1E0"/>
    <w:rsid w:val="019B621C"/>
    <w:rsid w:val="01ABA887"/>
    <w:rsid w:val="01F3D0B4"/>
    <w:rsid w:val="021D44E5"/>
    <w:rsid w:val="0221B71D"/>
    <w:rsid w:val="022660C5"/>
    <w:rsid w:val="0263EA15"/>
    <w:rsid w:val="02958D46"/>
    <w:rsid w:val="02AB9241"/>
    <w:rsid w:val="02E03259"/>
    <w:rsid w:val="02FAB20A"/>
    <w:rsid w:val="032182C1"/>
    <w:rsid w:val="0337354A"/>
    <w:rsid w:val="037C2B65"/>
    <w:rsid w:val="04112681"/>
    <w:rsid w:val="041ABE6B"/>
    <w:rsid w:val="044762A2"/>
    <w:rsid w:val="04BD5322"/>
    <w:rsid w:val="04C1C96E"/>
    <w:rsid w:val="04C61450"/>
    <w:rsid w:val="04D7ECBA"/>
    <w:rsid w:val="04DD68CE"/>
    <w:rsid w:val="04E34949"/>
    <w:rsid w:val="052348CE"/>
    <w:rsid w:val="06278E55"/>
    <w:rsid w:val="063519C9"/>
    <w:rsid w:val="0645EE0D"/>
    <w:rsid w:val="06592383"/>
    <w:rsid w:val="067F19AA"/>
    <w:rsid w:val="06B3CC27"/>
    <w:rsid w:val="06DD906D"/>
    <w:rsid w:val="06E786A1"/>
    <w:rsid w:val="06F2C068"/>
    <w:rsid w:val="07126BC8"/>
    <w:rsid w:val="0757E3A5"/>
    <w:rsid w:val="076D1F63"/>
    <w:rsid w:val="076E314E"/>
    <w:rsid w:val="077C49ED"/>
    <w:rsid w:val="077F0364"/>
    <w:rsid w:val="07C7FBDC"/>
    <w:rsid w:val="081AEA0B"/>
    <w:rsid w:val="08341268"/>
    <w:rsid w:val="084F9C88"/>
    <w:rsid w:val="088869AB"/>
    <w:rsid w:val="08AE3C29"/>
    <w:rsid w:val="0926C426"/>
    <w:rsid w:val="0999D942"/>
    <w:rsid w:val="09A14480"/>
    <w:rsid w:val="09EB6CE9"/>
    <w:rsid w:val="0A137280"/>
    <w:rsid w:val="0A2E34A8"/>
    <w:rsid w:val="0A4457F4"/>
    <w:rsid w:val="0A70D792"/>
    <w:rsid w:val="0AB6A426"/>
    <w:rsid w:val="0AB82E1D"/>
    <w:rsid w:val="0B1FDDF1"/>
    <w:rsid w:val="0B32A35D"/>
    <w:rsid w:val="0B7AB755"/>
    <w:rsid w:val="0B873D4A"/>
    <w:rsid w:val="0BB2BD60"/>
    <w:rsid w:val="0BC6318B"/>
    <w:rsid w:val="0BC9FF9A"/>
    <w:rsid w:val="0BEA53C9"/>
    <w:rsid w:val="0C0CA7F3"/>
    <w:rsid w:val="0C725401"/>
    <w:rsid w:val="0CE5034A"/>
    <w:rsid w:val="0D7EE058"/>
    <w:rsid w:val="0E22AD48"/>
    <w:rsid w:val="0E38E33F"/>
    <w:rsid w:val="0E95828A"/>
    <w:rsid w:val="0EA33D24"/>
    <w:rsid w:val="0EBEDE0C"/>
    <w:rsid w:val="0EEA5E22"/>
    <w:rsid w:val="0F04D130"/>
    <w:rsid w:val="0F671CC1"/>
    <w:rsid w:val="0F792734"/>
    <w:rsid w:val="0FA9F4C3"/>
    <w:rsid w:val="0FCEB4E2"/>
    <w:rsid w:val="1017B3F9"/>
    <w:rsid w:val="10182A8E"/>
    <w:rsid w:val="10862E83"/>
    <w:rsid w:val="1099A2AE"/>
    <w:rsid w:val="10B30B85"/>
    <w:rsid w:val="1145C524"/>
    <w:rsid w:val="115972C1"/>
    <w:rsid w:val="119BD62A"/>
    <w:rsid w:val="11CD234C"/>
    <w:rsid w:val="1221FEE4"/>
    <w:rsid w:val="12CAAD0D"/>
    <w:rsid w:val="12F65199"/>
    <w:rsid w:val="134FCB50"/>
    <w:rsid w:val="1380F29D"/>
    <w:rsid w:val="13C1EEF2"/>
    <w:rsid w:val="13E093B2"/>
    <w:rsid w:val="1417B9D8"/>
    <w:rsid w:val="1434831F"/>
    <w:rsid w:val="1479C9A0"/>
    <w:rsid w:val="147D65E6"/>
    <w:rsid w:val="14CB8966"/>
    <w:rsid w:val="14D70A10"/>
    <w:rsid w:val="14E5926E"/>
    <w:rsid w:val="14F96D13"/>
    <w:rsid w:val="1504C40E"/>
    <w:rsid w:val="15459C09"/>
    <w:rsid w:val="15B849DC"/>
    <w:rsid w:val="15FD6760"/>
    <w:rsid w:val="160217BC"/>
    <w:rsid w:val="1651341F"/>
    <w:rsid w:val="166F474D"/>
    <w:rsid w:val="167B7A30"/>
    <w:rsid w:val="16876C12"/>
    <w:rsid w:val="16CA705D"/>
    <w:rsid w:val="17499D8F"/>
    <w:rsid w:val="175CCC75"/>
    <w:rsid w:val="1777E099"/>
    <w:rsid w:val="179BC80B"/>
    <w:rsid w:val="17E37EC8"/>
    <w:rsid w:val="18300F8B"/>
    <w:rsid w:val="18310DD5"/>
    <w:rsid w:val="18A0AF3A"/>
    <w:rsid w:val="18EFEA9E"/>
    <w:rsid w:val="197F4F29"/>
    <w:rsid w:val="199C5537"/>
    <w:rsid w:val="19ACF097"/>
    <w:rsid w:val="19BBA7A1"/>
    <w:rsid w:val="1A0F839C"/>
    <w:rsid w:val="1A264EAC"/>
    <w:rsid w:val="1A7AD124"/>
    <w:rsid w:val="1A8BBAFF"/>
    <w:rsid w:val="1A8D359D"/>
    <w:rsid w:val="1B68AE97"/>
    <w:rsid w:val="1B7069EC"/>
    <w:rsid w:val="1BAB53FD"/>
    <w:rsid w:val="1BF2B518"/>
    <w:rsid w:val="1C278B60"/>
    <w:rsid w:val="1C43492D"/>
    <w:rsid w:val="1C56D5B6"/>
    <w:rsid w:val="1C7D938A"/>
    <w:rsid w:val="1CAA3139"/>
    <w:rsid w:val="1CDE88D1"/>
    <w:rsid w:val="1CF3DB58"/>
    <w:rsid w:val="1D785CBE"/>
    <w:rsid w:val="1DA9BF47"/>
    <w:rsid w:val="1E7A5932"/>
    <w:rsid w:val="1E96A5EF"/>
    <w:rsid w:val="1EBA7363"/>
    <w:rsid w:val="1EE788D1"/>
    <w:rsid w:val="1F001CDE"/>
    <w:rsid w:val="1F1A67FA"/>
    <w:rsid w:val="1FC42D79"/>
    <w:rsid w:val="20162993"/>
    <w:rsid w:val="202D592E"/>
    <w:rsid w:val="20440D40"/>
    <w:rsid w:val="21278458"/>
    <w:rsid w:val="2139E27F"/>
    <w:rsid w:val="21722271"/>
    <w:rsid w:val="218DB0CD"/>
    <w:rsid w:val="21D2F67B"/>
    <w:rsid w:val="21FB67C1"/>
    <w:rsid w:val="227B3408"/>
    <w:rsid w:val="233FB5A0"/>
    <w:rsid w:val="237BAE02"/>
    <w:rsid w:val="23840471"/>
    <w:rsid w:val="24037D85"/>
    <w:rsid w:val="242DDDA2"/>
    <w:rsid w:val="2433F0A5"/>
    <w:rsid w:val="244089B0"/>
    <w:rsid w:val="245219B8"/>
    <w:rsid w:val="24752BAB"/>
    <w:rsid w:val="24AB1326"/>
    <w:rsid w:val="24E1E86D"/>
    <w:rsid w:val="24E99AB6"/>
    <w:rsid w:val="25177E63"/>
    <w:rsid w:val="264C975A"/>
    <w:rsid w:val="26600BE4"/>
    <w:rsid w:val="2693EF92"/>
    <w:rsid w:val="272FAC2A"/>
    <w:rsid w:val="27466B06"/>
    <w:rsid w:val="27495E84"/>
    <w:rsid w:val="2777C1B1"/>
    <w:rsid w:val="27782A72"/>
    <w:rsid w:val="28258C72"/>
    <w:rsid w:val="290761C8"/>
    <w:rsid w:val="2944F464"/>
    <w:rsid w:val="29567D30"/>
    <w:rsid w:val="29D25171"/>
    <w:rsid w:val="29DAAF52"/>
    <w:rsid w:val="2A4477D5"/>
    <w:rsid w:val="2A60905F"/>
    <w:rsid w:val="2AA50CAC"/>
    <w:rsid w:val="2AE00CF1"/>
    <w:rsid w:val="2AF1D7B5"/>
    <w:rsid w:val="2B06C9CF"/>
    <w:rsid w:val="2B360FDF"/>
    <w:rsid w:val="2B3EF941"/>
    <w:rsid w:val="2B504044"/>
    <w:rsid w:val="2B86BFE7"/>
    <w:rsid w:val="2B99ACE7"/>
    <w:rsid w:val="2C303B09"/>
    <w:rsid w:val="2C3F028A"/>
    <w:rsid w:val="2C459CB0"/>
    <w:rsid w:val="2C4F0EA0"/>
    <w:rsid w:val="2C95E811"/>
    <w:rsid w:val="2C9E3734"/>
    <w:rsid w:val="2CEBFD98"/>
    <w:rsid w:val="2CEF4F4A"/>
    <w:rsid w:val="2D275CC4"/>
    <w:rsid w:val="2D557F76"/>
    <w:rsid w:val="2D569FE3"/>
    <w:rsid w:val="2D8AEEF0"/>
    <w:rsid w:val="2D91F7AC"/>
    <w:rsid w:val="2DA130E7"/>
    <w:rsid w:val="2DD63CB2"/>
    <w:rsid w:val="2DF4D89C"/>
    <w:rsid w:val="2DFD21FC"/>
    <w:rsid w:val="2E0C3B96"/>
    <w:rsid w:val="2E57A93F"/>
    <w:rsid w:val="2E5B4E0D"/>
    <w:rsid w:val="2E907CFC"/>
    <w:rsid w:val="2ED03AAF"/>
    <w:rsid w:val="2F0666C0"/>
    <w:rsid w:val="2F2515F7"/>
    <w:rsid w:val="2F743853"/>
    <w:rsid w:val="2F82418F"/>
    <w:rsid w:val="2FBD1394"/>
    <w:rsid w:val="2FD67F23"/>
    <w:rsid w:val="2FEDC5CD"/>
    <w:rsid w:val="302C4D5D"/>
    <w:rsid w:val="307C4249"/>
    <w:rsid w:val="30FF7159"/>
    <w:rsid w:val="311F0CB8"/>
    <w:rsid w:val="313DB1FD"/>
    <w:rsid w:val="31C81DBE"/>
    <w:rsid w:val="31DEFBAE"/>
    <w:rsid w:val="3277068E"/>
    <w:rsid w:val="327BF23F"/>
    <w:rsid w:val="3302ADC8"/>
    <w:rsid w:val="3337E3B8"/>
    <w:rsid w:val="333CF3D3"/>
    <w:rsid w:val="3437121B"/>
    <w:rsid w:val="344BEEF2"/>
    <w:rsid w:val="3456AD7A"/>
    <w:rsid w:val="347E1773"/>
    <w:rsid w:val="3493251C"/>
    <w:rsid w:val="34A0678C"/>
    <w:rsid w:val="34D9EC02"/>
    <w:rsid w:val="356F75D0"/>
    <w:rsid w:val="35A18559"/>
    <w:rsid w:val="361FB8C6"/>
    <w:rsid w:val="363214C6"/>
    <w:rsid w:val="36980704"/>
    <w:rsid w:val="36AA1D37"/>
    <w:rsid w:val="376EB2DD"/>
    <w:rsid w:val="378E4E3C"/>
    <w:rsid w:val="37A7AD6E"/>
    <w:rsid w:val="382D8C07"/>
    <w:rsid w:val="383292CB"/>
    <w:rsid w:val="38375F42"/>
    <w:rsid w:val="3864CD19"/>
    <w:rsid w:val="3894EB30"/>
    <w:rsid w:val="38B40E5F"/>
    <w:rsid w:val="38D9261B"/>
    <w:rsid w:val="38FC5646"/>
    <w:rsid w:val="390A833E"/>
    <w:rsid w:val="396305B4"/>
    <w:rsid w:val="3A3B965B"/>
    <w:rsid w:val="3A4E2D80"/>
    <w:rsid w:val="3A5921CB"/>
    <w:rsid w:val="3AAD0F9D"/>
    <w:rsid w:val="3AC14379"/>
    <w:rsid w:val="3AC5EEFE"/>
    <w:rsid w:val="3ACDDC84"/>
    <w:rsid w:val="3B4D4D26"/>
    <w:rsid w:val="3B4E610D"/>
    <w:rsid w:val="3B6E7B5B"/>
    <w:rsid w:val="3BBF611F"/>
    <w:rsid w:val="3C16EE97"/>
    <w:rsid w:val="3C67E5B6"/>
    <w:rsid w:val="3C7B3CED"/>
    <w:rsid w:val="3C9AA676"/>
    <w:rsid w:val="3CD1FCA8"/>
    <w:rsid w:val="3CEA316E"/>
    <w:rsid w:val="3D102169"/>
    <w:rsid w:val="3D480A0B"/>
    <w:rsid w:val="3DFD8FC0"/>
    <w:rsid w:val="3E170D4E"/>
    <w:rsid w:val="3E24B0F8"/>
    <w:rsid w:val="3E4998B5"/>
    <w:rsid w:val="3E7A3EA6"/>
    <w:rsid w:val="3E843CDA"/>
    <w:rsid w:val="3E9645A8"/>
    <w:rsid w:val="3EA90A96"/>
    <w:rsid w:val="3ECD6BCE"/>
    <w:rsid w:val="40321609"/>
    <w:rsid w:val="4040474D"/>
    <w:rsid w:val="404B973A"/>
    <w:rsid w:val="406761AC"/>
    <w:rsid w:val="40693C2F"/>
    <w:rsid w:val="406F1581"/>
    <w:rsid w:val="4090BFA6"/>
    <w:rsid w:val="40C69C4E"/>
    <w:rsid w:val="40CD39F0"/>
    <w:rsid w:val="40FC6CC6"/>
    <w:rsid w:val="4117EE61"/>
    <w:rsid w:val="4153D89C"/>
    <w:rsid w:val="41988050"/>
    <w:rsid w:val="41AAE4F4"/>
    <w:rsid w:val="42060F8D"/>
    <w:rsid w:val="42411420"/>
    <w:rsid w:val="42669AD4"/>
    <w:rsid w:val="42800861"/>
    <w:rsid w:val="4283F62B"/>
    <w:rsid w:val="42C00F08"/>
    <w:rsid w:val="42C1732F"/>
    <w:rsid w:val="42D3695B"/>
    <w:rsid w:val="433450B1"/>
    <w:rsid w:val="43B6DFC2"/>
    <w:rsid w:val="43ED4307"/>
    <w:rsid w:val="44026B35"/>
    <w:rsid w:val="4423C648"/>
    <w:rsid w:val="4453F1E3"/>
    <w:rsid w:val="4464A5A9"/>
    <w:rsid w:val="449AEE40"/>
    <w:rsid w:val="449B625D"/>
    <w:rsid w:val="452E8C79"/>
    <w:rsid w:val="453CAD52"/>
    <w:rsid w:val="4578B4E2"/>
    <w:rsid w:val="45973747"/>
    <w:rsid w:val="459E3B96"/>
    <w:rsid w:val="45B576CA"/>
    <w:rsid w:val="45D1A451"/>
    <w:rsid w:val="460AE7A2"/>
    <w:rsid w:val="460B0A1D"/>
    <w:rsid w:val="460D29F8"/>
    <w:rsid w:val="461DB289"/>
    <w:rsid w:val="462B8864"/>
    <w:rsid w:val="46330788"/>
    <w:rsid w:val="466038D2"/>
    <w:rsid w:val="46748AA1"/>
    <w:rsid w:val="46A6DDB1"/>
    <w:rsid w:val="4732F49B"/>
    <w:rsid w:val="473A0BF7"/>
    <w:rsid w:val="477324E4"/>
    <w:rsid w:val="47C5D697"/>
    <w:rsid w:val="48912231"/>
    <w:rsid w:val="48BC0C71"/>
    <w:rsid w:val="48D5DC58"/>
    <w:rsid w:val="48F2EEB3"/>
    <w:rsid w:val="4916E2CB"/>
    <w:rsid w:val="492F508C"/>
    <w:rsid w:val="495D134E"/>
    <w:rsid w:val="49756AD8"/>
    <w:rsid w:val="49C15CCB"/>
    <w:rsid w:val="4A014BDF"/>
    <w:rsid w:val="4A101E75"/>
    <w:rsid w:val="4A4C2605"/>
    <w:rsid w:val="4A936F2E"/>
    <w:rsid w:val="4AAAC5A6"/>
    <w:rsid w:val="4AC24478"/>
    <w:rsid w:val="4BABEED6"/>
    <w:rsid w:val="4BE7F666"/>
    <w:rsid w:val="4C0FE3DE"/>
    <w:rsid w:val="4C2136D4"/>
    <w:rsid w:val="4C26EAA7"/>
    <w:rsid w:val="4C5E14D9"/>
    <w:rsid w:val="4C8CD7C8"/>
    <w:rsid w:val="4DD9DBE7"/>
    <w:rsid w:val="4E1E0C65"/>
    <w:rsid w:val="4E6255DD"/>
    <w:rsid w:val="4EA81311"/>
    <w:rsid w:val="4EAAAF63"/>
    <w:rsid w:val="4EB58A64"/>
    <w:rsid w:val="4EE38F98"/>
    <w:rsid w:val="4EF6672F"/>
    <w:rsid w:val="4F1F9728"/>
    <w:rsid w:val="4F6678EF"/>
    <w:rsid w:val="4F75AC48"/>
    <w:rsid w:val="4F7DC816"/>
    <w:rsid w:val="4F93FE0D"/>
    <w:rsid w:val="4FFE57F2"/>
    <w:rsid w:val="502FCEF6"/>
    <w:rsid w:val="503925FF"/>
    <w:rsid w:val="504FC09C"/>
    <w:rsid w:val="50713F20"/>
    <w:rsid w:val="507F5FF9"/>
    <w:rsid w:val="50840C8A"/>
    <w:rsid w:val="509FDD69"/>
    <w:rsid w:val="50C30598"/>
    <w:rsid w:val="517FB425"/>
    <w:rsid w:val="51EB3F64"/>
    <w:rsid w:val="52301BA1"/>
    <w:rsid w:val="525737EA"/>
    <w:rsid w:val="526A29C4"/>
    <w:rsid w:val="52AD4D0A"/>
    <w:rsid w:val="52B91FF1"/>
    <w:rsid w:val="52CA3371"/>
    <w:rsid w:val="5388FB87"/>
    <w:rsid w:val="53985FA7"/>
    <w:rsid w:val="53FAA65A"/>
    <w:rsid w:val="5431FC8C"/>
    <w:rsid w:val="5434363F"/>
    <w:rsid w:val="54919B51"/>
    <w:rsid w:val="54A0E2CF"/>
    <w:rsid w:val="54A17501"/>
    <w:rsid w:val="54A6FCED"/>
    <w:rsid w:val="551C147F"/>
    <w:rsid w:val="559BA02B"/>
    <w:rsid w:val="55B6AB8B"/>
    <w:rsid w:val="55D006A0"/>
    <w:rsid w:val="5614FE40"/>
    <w:rsid w:val="5633BA0E"/>
    <w:rsid w:val="5640AD3C"/>
    <w:rsid w:val="56A0B6D7"/>
    <w:rsid w:val="56A86783"/>
    <w:rsid w:val="572AA90D"/>
    <w:rsid w:val="5745946B"/>
    <w:rsid w:val="5757186C"/>
    <w:rsid w:val="5757AA9E"/>
    <w:rsid w:val="575D328A"/>
    <w:rsid w:val="576BD701"/>
    <w:rsid w:val="578948AE"/>
    <w:rsid w:val="57F3C749"/>
    <w:rsid w:val="583A1205"/>
    <w:rsid w:val="585C4391"/>
    <w:rsid w:val="587C5105"/>
    <w:rsid w:val="589084E1"/>
    <w:rsid w:val="589D1DEC"/>
    <w:rsid w:val="58CE177D"/>
    <w:rsid w:val="58E151BF"/>
    <w:rsid w:val="591C8E8E"/>
    <w:rsid w:val="5A07A12B"/>
    <w:rsid w:val="5A182166"/>
    <w:rsid w:val="5A4536AB"/>
    <w:rsid w:val="5A69E7DE"/>
    <w:rsid w:val="5A85C1DF"/>
    <w:rsid w:val="5AA13E10"/>
    <w:rsid w:val="5AA377C3"/>
    <w:rsid w:val="5AA92B96"/>
    <w:rsid w:val="5AACD064"/>
    <w:rsid w:val="5AF77005"/>
    <w:rsid w:val="5B2D810C"/>
    <w:rsid w:val="5BA3718C"/>
    <w:rsid w:val="5BD4BEAE"/>
    <w:rsid w:val="5BD5EBF2"/>
    <w:rsid w:val="5BF1DBF7"/>
    <w:rsid w:val="5C0D8064"/>
    <w:rsid w:val="5C2A6958"/>
    <w:rsid w:val="5C3D0E71"/>
    <w:rsid w:val="5C3F4824"/>
    <w:rsid w:val="5CA06260"/>
    <w:rsid w:val="5CB76D6C"/>
    <w:rsid w:val="5CC47BFE"/>
    <w:rsid w:val="5D31A435"/>
    <w:rsid w:val="5D3F41ED"/>
    <w:rsid w:val="5D4DCFE6"/>
    <w:rsid w:val="5D57AFAE"/>
    <w:rsid w:val="5D6B0A01"/>
    <w:rsid w:val="5DF59772"/>
    <w:rsid w:val="5E054C07"/>
    <w:rsid w:val="5E379F17"/>
    <w:rsid w:val="5ECBAE2E"/>
    <w:rsid w:val="5EDB124E"/>
    <w:rsid w:val="5EF3800F"/>
    <w:rsid w:val="5F04C71B"/>
    <w:rsid w:val="5F35BAF2"/>
    <w:rsid w:val="5F7C9CB9"/>
    <w:rsid w:val="5FBDE12B"/>
    <w:rsid w:val="5FBF7121"/>
    <w:rsid w:val="60078341"/>
    <w:rsid w:val="6063DB3F"/>
    <w:rsid w:val="6079FE8B"/>
    <w:rsid w:val="608F5070"/>
    <w:rsid w:val="60936FF8"/>
    <w:rsid w:val="60DB7B13"/>
    <w:rsid w:val="610A34E0"/>
    <w:rsid w:val="6134A1D2"/>
    <w:rsid w:val="6138187A"/>
    <w:rsid w:val="61EB1A2A"/>
    <w:rsid w:val="6237EFF4"/>
    <w:rsid w:val="627416C8"/>
    <w:rsid w:val="62AE89A8"/>
    <w:rsid w:val="62D07233"/>
    <w:rsid w:val="6306F8C4"/>
    <w:rsid w:val="631B4C5C"/>
    <w:rsid w:val="639E0B6A"/>
    <w:rsid w:val="63C6F132"/>
    <w:rsid w:val="641886E8"/>
    <w:rsid w:val="643F44BC"/>
    <w:rsid w:val="64500DDC"/>
    <w:rsid w:val="646C4294"/>
    <w:rsid w:val="64B71CBD"/>
    <w:rsid w:val="64F442CC"/>
    <w:rsid w:val="6542DD38"/>
    <w:rsid w:val="654A53D2"/>
    <w:rsid w:val="65A8DBDF"/>
    <w:rsid w:val="65F10A62"/>
    <w:rsid w:val="6607CF11"/>
    <w:rsid w:val="6624778F"/>
    <w:rsid w:val="6651CB5E"/>
    <w:rsid w:val="6652ED1E"/>
    <w:rsid w:val="665A3FEE"/>
    <w:rsid w:val="667F5328"/>
    <w:rsid w:val="667F970C"/>
    <w:rsid w:val="66872895"/>
    <w:rsid w:val="66AA563D"/>
    <w:rsid w:val="66BE8B4D"/>
    <w:rsid w:val="66F1AFED"/>
    <w:rsid w:val="671A6E74"/>
    <w:rsid w:val="6785A720"/>
    <w:rsid w:val="67ED9BBF"/>
    <w:rsid w:val="67EEBD7F"/>
    <w:rsid w:val="6811885E"/>
    <w:rsid w:val="682BE38E"/>
    <w:rsid w:val="688AC6F8"/>
    <w:rsid w:val="690607C2"/>
    <w:rsid w:val="69896C20"/>
    <w:rsid w:val="69C7B3EF"/>
    <w:rsid w:val="69DAF510"/>
    <w:rsid w:val="69E4F138"/>
    <w:rsid w:val="69FE1995"/>
    <w:rsid w:val="6A1DC4F5"/>
    <w:rsid w:val="6A3632B6"/>
    <w:rsid w:val="6A4F1217"/>
    <w:rsid w:val="6AD6703F"/>
    <w:rsid w:val="6AE7C7FF"/>
    <w:rsid w:val="6B265E41"/>
    <w:rsid w:val="6B4682DB"/>
    <w:rsid w:val="6B638450"/>
    <w:rsid w:val="6B80C199"/>
    <w:rsid w:val="6BB99556"/>
    <w:rsid w:val="6BBBAB2D"/>
    <w:rsid w:val="6BC6AB28"/>
    <w:rsid w:val="6BD20317"/>
    <w:rsid w:val="6BE02938"/>
    <w:rsid w:val="6C36DCDD"/>
    <w:rsid w:val="6C3775E2"/>
    <w:rsid w:val="6C591843"/>
    <w:rsid w:val="6C7240A0"/>
    <w:rsid w:val="6C735487"/>
    <w:rsid w:val="6CC22EA2"/>
    <w:rsid w:val="6CFF54B1"/>
    <w:rsid w:val="6D1C91FA"/>
    <w:rsid w:val="6D5565B7"/>
    <w:rsid w:val="6D564570"/>
    <w:rsid w:val="6D74C200"/>
    <w:rsid w:val="6D8B55D7"/>
    <w:rsid w:val="6E4767AA"/>
    <w:rsid w:val="6E5A4D88"/>
    <w:rsid w:val="6EB81D2B"/>
    <w:rsid w:val="6ED18AB8"/>
    <w:rsid w:val="6F2DFB8E"/>
    <w:rsid w:val="6F770BEF"/>
    <w:rsid w:val="6F9A11E9"/>
    <w:rsid w:val="6F9F9DB6"/>
    <w:rsid w:val="6FAA3DBB"/>
    <w:rsid w:val="6FAD9F6C"/>
    <w:rsid w:val="6FF0D048"/>
    <w:rsid w:val="70070CF4"/>
    <w:rsid w:val="700D1F7E"/>
    <w:rsid w:val="705AF152"/>
    <w:rsid w:val="70656D93"/>
    <w:rsid w:val="70CF5321"/>
    <w:rsid w:val="70F1B08F"/>
    <w:rsid w:val="70FD4E03"/>
    <w:rsid w:val="71092ABF"/>
    <w:rsid w:val="71182E62"/>
    <w:rsid w:val="71CA3739"/>
    <w:rsid w:val="71E02794"/>
    <w:rsid w:val="71E1D904"/>
    <w:rsid w:val="71E8FF57"/>
    <w:rsid w:val="720377A7"/>
    <w:rsid w:val="72092B7A"/>
    <w:rsid w:val="7242D832"/>
    <w:rsid w:val="725744CF"/>
    <w:rsid w:val="72D1B2AB"/>
    <w:rsid w:val="7344C040"/>
    <w:rsid w:val="73BC1CBA"/>
    <w:rsid w:val="73C4A73B"/>
    <w:rsid w:val="73F28AE8"/>
    <w:rsid w:val="74248576"/>
    <w:rsid w:val="74553D64"/>
    <w:rsid w:val="745DC896"/>
    <w:rsid w:val="746D830C"/>
    <w:rsid w:val="74C5D06B"/>
    <w:rsid w:val="74E090A1"/>
    <w:rsid w:val="74EF4534"/>
    <w:rsid w:val="7501D7FB"/>
    <w:rsid w:val="7512541C"/>
    <w:rsid w:val="758658D8"/>
    <w:rsid w:val="76020207"/>
    <w:rsid w:val="7644272F"/>
    <w:rsid w:val="76594470"/>
    <w:rsid w:val="7661A0CC"/>
    <w:rsid w:val="769DA85C"/>
    <w:rsid w:val="76F3BD7C"/>
    <w:rsid w:val="77306CD6"/>
    <w:rsid w:val="77328219"/>
    <w:rsid w:val="77DFF790"/>
    <w:rsid w:val="785D0B4D"/>
    <w:rsid w:val="785EFF71"/>
    <w:rsid w:val="78707F78"/>
    <w:rsid w:val="78842265"/>
    <w:rsid w:val="78C5FC0B"/>
    <w:rsid w:val="78CE527A"/>
    <w:rsid w:val="7936B99F"/>
    <w:rsid w:val="7972B2F4"/>
    <w:rsid w:val="7978C144"/>
    <w:rsid w:val="7987894D"/>
    <w:rsid w:val="7A303919"/>
    <w:rsid w:val="7A39241C"/>
    <w:rsid w:val="7AA4D93B"/>
    <w:rsid w:val="7AF99568"/>
    <w:rsid w:val="7B263F59"/>
    <w:rsid w:val="7B7922C3"/>
    <w:rsid w:val="7B96B129"/>
    <w:rsid w:val="7BECEF3C"/>
    <w:rsid w:val="7C15FAE1"/>
    <w:rsid w:val="7C80351B"/>
    <w:rsid w:val="7C837959"/>
    <w:rsid w:val="7CC20FBA"/>
    <w:rsid w:val="7D462A4E"/>
    <w:rsid w:val="7D6B8981"/>
    <w:rsid w:val="7E31362A"/>
    <w:rsid w:val="7E5B3309"/>
    <w:rsid w:val="7E5DE01B"/>
    <w:rsid w:val="7EA8BA41"/>
    <w:rsid w:val="7EFECF61"/>
    <w:rsid w:val="7F0759E2"/>
    <w:rsid w:val="7F0F8105"/>
    <w:rsid w:val="7F502477"/>
    <w:rsid w:val="7F5D2248"/>
    <w:rsid w:val="7F73F17E"/>
    <w:rsid w:val="7FE1F478"/>
    <w:rsid w:val="7FF9B0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45432"/>
  <w15:chartTrackingRefBased/>
  <w15:docId w15:val="{8FF98388-E026-4001-B4F1-60B43741AE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0B30B8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0B30B8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0B30B8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0B30B8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0B30B8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0B30B8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0B30B8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0B30B8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0B30B8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0B30B8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0B30B8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0B30B8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0B30B8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0B30B8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0B30B85"/>
    <w:pPr>
      <w:spacing/>
      <w:ind w:left="720"/>
      <w:contextualSpacing/>
    </w:pPr>
  </w:style>
  <w:style w:type="character" w:styleId="Heading1Char" w:customStyle="true">
    <w:uiPriority w:val="9"/>
    <w:name w:val="Heading 1 Char"/>
    <w:basedOn w:val="DefaultParagraphFont"/>
    <w:link w:val="Heading1"/>
    <w:rsid w:val="10B30B8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0B30B8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0B30B8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0B30B8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0B30B8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0B30B8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0B30B8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0B30B8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0B30B8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0B30B8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0B30B8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0B30B8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0B30B85"/>
    <w:rPr>
      <w:i w:val="1"/>
      <w:iCs w:val="1"/>
      <w:noProof w:val="0"/>
      <w:color w:val="4472C4" w:themeColor="accent1" w:themeTint="FF" w:themeShade="FF"/>
      <w:lang w:val="en-GB"/>
    </w:rPr>
  </w:style>
  <w:style w:type="paragraph" w:styleId="TOC1">
    <w:uiPriority w:val="39"/>
    <w:name w:val="toc 1"/>
    <w:basedOn w:val="Normal"/>
    <w:next w:val="Normal"/>
    <w:unhideWhenUsed/>
    <w:rsid w:val="10B30B85"/>
    <w:pPr>
      <w:spacing w:after="100"/>
    </w:pPr>
  </w:style>
  <w:style w:type="paragraph" w:styleId="TOC2">
    <w:uiPriority w:val="39"/>
    <w:name w:val="toc 2"/>
    <w:basedOn w:val="Normal"/>
    <w:next w:val="Normal"/>
    <w:unhideWhenUsed/>
    <w:rsid w:val="10B30B85"/>
    <w:pPr>
      <w:spacing w:after="100"/>
      <w:ind w:left="220"/>
    </w:pPr>
  </w:style>
  <w:style w:type="paragraph" w:styleId="TOC3">
    <w:uiPriority w:val="39"/>
    <w:name w:val="toc 3"/>
    <w:basedOn w:val="Normal"/>
    <w:next w:val="Normal"/>
    <w:unhideWhenUsed/>
    <w:rsid w:val="10B30B85"/>
    <w:pPr>
      <w:spacing w:after="100"/>
      <w:ind w:left="440"/>
    </w:pPr>
  </w:style>
  <w:style w:type="paragraph" w:styleId="TOC4">
    <w:uiPriority w:val="39"/>
    <w:name w:val="toc 4"/>
    <w:basedOn w:val="Normal"/>
    <w:next w:val="Normal"/>
    <w:unhideWhenUsed/>
    <w:rsid w:val="10B30B85"/>
    <w:pPr>
      <w:spacing w:after="100"/>
      <w:ind w:left="660"/>
    </w:pPr>
  </w:style>
  <w:style w:type="paragraph" w:styleId="TOC5">
    <w:uiPriority w:val="39"/>
    <w:name w:val="toc 5"/>
    <w:basedOn w:val="Normal"/>
    <w:next w:val="Normal"/>
    <w:unhideWhenUsed/>
    <w:rsid w:val="10B30B85"/>
    <w:pPr>
      <w:spacing w:after="100"/>
      <w:ind w:left="880"/>
    </w:pPr>
  </w:style>
  <w:style w:type="paragraph" w:styleId="TOC6">
    <w:uiPriority w:val="39"/>
    <w:name w:val="toc 6"/>
    <w:basedOn w:val="Normal"/>
    <w:next w:val="Normal"/>
    <w:unhideWhenUsed/>
    <w:rsid w:val="10B30B85"/>
    <w:pPr>
      <w:spacing w:after="100"/>
      <w:ind w:left="1100"/>
    </w:pPr>
  </w:style>
  <w:style w:type="paragraph" w:styleId="TOC7">
    <w:uiPriority w:val="39"/>
    <w:name w:val="toc 7"/>
    <w:basedOn w:val="Normal"/>
    <w:next w:val="Normal"/>
    <w:unhideWhenUsed/>
    <w:rsid w:val="10B30B85"/>
    <w:pPr>
      <w:spacing w:after="100"/>
      <w:ind w:left="1320"/>
    </w:pPr>
  </w:style>
  <w:style w:type="paragraph" w:styleId="TOC8">
    <w:uiPriority w:val="39"/>
    <w:name w:val="toc 8"/>
    <w:basedOn w:val="Normal"/>
    <w:next w:val="Normal"/>
    <w:unhideWhenUsed/>
    <w:rsid w:val="10B30B85"/>
    <w:pPr>
      <w:spacing w:after="100"/>
      <w:ind w:left="1540"/>
    </w:pPr>
  </w:style>
  <w:style w:type="paragraph" w:styleId="TOC9">
    <w:uiPriority w:val="39"/>
    <w:name w:val="toc 9"/>
    <w:basedOn w:val="Normal"/>
    <w:next w:val="Normal"/>
    <w:unhideWhenUsed/>
    <w:rsid w:val="10B30B85"/>
    <w:pPr>
      <w:spacing w:after="100"/>
      <w:ind w:left="1760"/>
    </w:pPr>
  </w:style>
  <w:style w:type="paragraph" w:styleId="EndnoteText">
    <w:uiPriority w:val="99"/>
    <w:name w:val="endnote text"/>
    <w:basedOn w:val="Normal"/>
    <w:semiHidden/>
    <w:unhideWhenUsed/>
    <w:link w:val="EndnoteTextChar"/>
    <w:rsid w:val="10B30B85"/>
    <w:rPr>
      <w:sz w:val="20"/>
      <w:szCs w:val="20"/>
    </w:rPr>
    <w:pPr>
      <w:spacing w:after="0"/>
    </w:pPr>
  </w:style>
  <w:style w:type="character" w:styleId="EndnoteTextChar" w:customStyle="true">
    <w:uiPriority w:val="99"/>
    <w:name w:val="Endnote Text Char"/>
    <w:basedOn w:val="DefaultParagraphFont"/>
    <w:semiHidden/>
    <w:link w:val="EndnoteText"/>
    <w:rsid w:val="10B30B85"/>
    <w:rPr>
      <w:noProof w:val="0"/>
      <w:sz w:val="20"/>
      <w:szCs w:val="20"/>
      <w:lang w:val="en-GB"/>
    </w:rPr>
  </w:style>
  <w:style w:type="paragraph" w:styleId="Footer">
    <w:uiPriority w:val="99"/>
    <w:name w:val="footer"/>
    <w:basedOn w:val="Normal"/>
    <w:unhideWhenUsed/>
    <w:link w:val="FooterChar"/>
    <w:rsid w:val="10B30B8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0B30B85"/>
    <w:rPr>
      <w:noProof w:val="0"/>
      <w:lang w:val="en-GB"/>
    </w:rPr>
  </w:style>
  <w:style w:type="paragraph" w:styleId="FootnoteText">
    <w:uiPriority w:val="99"/>
    <w:name w:val="footnote text"/>
    <w:basedOn w:val="Normal"/>
    <w:semiHidden/>
    <w:unhideWhenUsed/>
    <w:link w:val="FootnoteTextChar"/>
    <w:rsid w:val="10B30B85"/>
    <w:rPr>
      <w:sz w:val="20"/>
      <w:szCs w:val="20"/>
    </w:rPr>
    <w:pPr>
      <w:spacing w:after="0"/>
    </w:pPr>
  </w:style>
  <w:style w:type="character" w:styleId="FootnoteTextChar" w:customStyle="true">
    <w:uiPriority w:val="99"/>
    <w:name w:val="Footnote Text Char"/>
    <w:basedOn w:val="DefaultParagraphFont"/>
    <w:semiHidden/>
    <w:link w:val="FootnoteText"/>
    <w:rsid w:val="10B30B85"/>
    <w:rPr>
      <w:noProof w:val="0"/>
      <w:sz w:val="20"/>
      <w:szCs w:val="20"/>
      <w:lang w:val="en-GB"/>
    </w:rPr>
  </w:style>
  <w:style w:type="paragraph" w:styleId="Header">
    <w:uiPriority w:val="99"/>
    <w:name w:val="header"/>
    <w:basedOn w:val="Normal"/>
    <w:unhideWhenUsed/>
    <w:link w:val="HeaderChar"/>
    <w:rsid w:val="10B30B8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0B30B85"/>
    <w:rPr>
      <w:noProof w:val="0"/>
      <w:lang w:val="en-GB"/>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58071d87ffa4d3b" /><Relationship Type="http://schemas.openxmlformats.org/officeDocument/2006/relationships/footnotes" Target="footnotes.xml" Id="R6d950aa512ec43e6" /><Relationship Type="http://schemas.openxmlformats.org/officeDocument/2006/relationships/hyperlink" Target="https://doi.org/10.2307/1357245" TargetMode="External" Id="R84239a24bb1e4c89" /><Relationship Type="http://schemas.openxmlformats.org/officeDocument/2006/relationships/hyperlink" Target="https://doi.org/10.2307/j.ctvh1djv0.6" TargetMode="External" Id="R115b07150af64c8f" /><Relationship Type="http://schemas.openxmlformats.org/officeDocument/2006/relationships/hyperlink" Target="https://doi.org/10.2307/j.ctvh1djv0.6" TargetMode="External" Id="Rb179b19e9d094ae8" /><Relationship Type="http://schemas.openxmlformats.org/officeDocument/2006/relationships/hyperlink" Target="https://doi.org/10.2307/j.ctvh1djv0.6" TargetMode="External" Id="R52465f14e1b14a12" /><Relationship Type="http://schemas.openxmlformats.org/officeDocument/2006/relationships/hyperlink" Target="https://doi.org/10.2307/j.ctvh1djv0.6" TargetMode="External" Id="Rf9e353c3ed354c80" /><Relationship Type="http://schemas.openxmlformats.org/officeDocument/2006/relationships/numbering" Target="numbering.xml" Id="Rb3811d4eba9d40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2024-01-06T18:14:59.0959063Z</dcterms:created>
  <dcterms:modified xsi:type="dcterms:W3CDTF">2024-01-20T16:54:03.8672063Z</dcterms:modified>
  <dc:creator>Alex Mackay (2204888)</dc:creator>
  <lastModifiedBy>Alex Mackay (2204888)</lastModifiedBy>
</coreProperties>
</file>