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A96AB" w14:textId="268FE42D" w:rsidR="00735C13" w:rsidRDefault="00735C13">
      <w:pPr>
        <w:rPr>
          <w:rFonts w:ascii="Calibri" w:hAnsi="Calibri" w:cs="Calibri"/>
          <w:sz w:val="32"/>
          <w:szCs w:val="32"/>
        </w:rPr>
      </w:pPr>
      <w:r>
        <w:rPr>
          <w:rFonts w:ascii="Calibri" w:hAnsi="Calibri" w:cs="Calibri"/>
          <w:sz w:val="32"/>
          <w:szCs w:val="32"/>
        </w:rPr>
        <w:t>I am writing to provide clarity regarding the legal concepts of mens rea and actus rea in the context of a scenario where an individual has slapped someone in the face.</w:t>
      </w:r>
    </w:p>
    <w:p w14:paraId="6E6EA15F" w14:textId="1C804603" w:rsidR="00FD1A67" w:rsidRDefault="00FD1A67">
      <w:pPr>
        <w:rPr>
          <w:rFonts w:ascii="Calibri" w:hAnsi="Calibri" w:cs="Calibri"/>
          <w:sz w:val="32"/>
          <w:szCs w:val="32"/>
        </w:rPr>
      </w:pPr>
      <w:r>
        <w:rPr>
          <w:rFonts w:ascii="Calibri" w:hAnsi="Calibri" w:cs="Calibri"/>
          <w:sz w:val="32"/>
          <w:szCs w:val="32"/>
        </w:rPr>
        <w:t>The substantive law related to slapping someone falls under the category of assault or battery, depending on the jurisdiction and the severity of the act. Assault typically refers to the threat of physical harm, while battery involves the actual physical contact. A slap to the face would likely be considered battery.</w:t>
      </w:r>
    </w:p>
    <w:p w14:paraId="40E3C41B" w14:textId="28B156D5" w:rsidR="005A2823" w:rsidRDefault="00FD1A67">
      <w:pPr>
        <w:rPr>
          <w:rFonts w:ascii="Calibri" w:hAnsi="Calibri" w:cs="Calibri"/>
          <w:sz w:val="32"/>
          <w:szCs w:val="32"/>
        </w:rPr>
      </w:pPr>
      <w:r>
        <w:rPr>
          <w:rFonts w:ascii="Calibri" w:hAnsi="Calibri" w:cs="Calibri"/>
          <w:sz w:val="32"/>
          <w:szCs w:val="32"/>
        </w:rPr>
        <w:t>The range of sentences for battery varies depending on factors such as the jurisdiction, the severity of the harm inflicted, the defendant's criminal history, and any mitigating or aggravating circumstances. In general, sentences for battery can range from fines and probation to imprisonment, particularly for more serious cases involving significant injury or repeat offenses.</w:t>
      </w:r>
    </w:p>
    <w:p w14:paraId="27320576" w14:textId="71985E49" w:rsidR="00FD1A67" w:rsidRDefault="00FD1A67">
      <w:pPr>
        <w:rPr>
          <w:rFonts w:ascii="Calibri" w:hAnsi="Calibri" w:cs="Calibri"/>
          <w:sz w:val="32"/>
          <w:szCs w:val="32"/>
        </w:rPr>
      </w:pPr>
      <w:r>
        <w:rPr>
          <w:rFonts w:ascii="Calibri" w:hAnsi="Calibri" w:cs="Calibri"/>
          <w:sz w:val="32"/>
          <w:szCs w:val="32"/>
        </w:rPr>
        <w:t xml:space="preserve">For example, in some jurisdictions, a simple battery offense (such as a slap causing minimal harm) might result in a fine or probation. However, if the slap resulted in serious injury or was committed with aggravating factors such as the weapon or targeting a </w:t>
      </w:r>
      <w:r w:rsidR="00596D62">
        <w:rPr>
          <w:rFonts w:ascii="Calibri" w:hAnsi="Calibri" w:cs="Calibri"/>
          <w:sz w:val="32"/>
          <w:szCs w:val="32"/>
        </w:rPr>
        <w:t>vulnerable</w:t>
      </w:r>
      <w:r>
        <w:rPr>
          <w:rFonts w:ascii="Calibri" w:hAnsi="Calibri" w:cs="Calibri"/>
          <w:sz w:val="32"/>
          <w:szCs w:val="32"/>
        </w:rPr>
        <w:t xml:space="preserve"> individual, the defendant could</w:t>
      </w:r>
      <w:r w:rsidR="00596D62">
        <w:rPr>
          <w:rFonts w:ascii="Calibri" w:hAnsi="Calibri" w:cs="Calibri"/>
          <w:sz w:val="32"/>
          <w:szCs w:val="32"/>
        </w:rPr>
        <w:t xml:space="preserve"> face harsher penalties, including imprisonment.</w:t>
      </w:r>
    </w:p>
    <w:p w14:paraId="4C8616CA" w14:textId="099061D2" w:rsidR="00596D62" w:rsidRDefault="00596D62">
      <w:pPr>
        <w:rPr>
          <w:rFonts w:ascii="Calibri" w:hAnsi="Calibri" w:cs="Calibri"/>
          <w:sz w:val="32"/>
          <w:szCs w:val="32"/>
        </w:rPr>
      </w:pPr>
      <w:r>
        <w:rPr>
          <w:rFonts w:ascii="Calibri" w:hAnsi="Calibri" w:cs="Calibri"/>
          <w:sz w:val="32"/>
          <w:szCs w:val="32"/>
        </w:rPr>
        <w:t>Additionally, the presence of mitigating factors such as lack of prior criminal history, genuine remorse, or provocation may result in a more lenient sentence, while aggravating factors such as prior offenses, hate crimes, or intent to cause severe harm could lead to a harsher sentence.</w:t>
      </w:r>
    </w:p>
    <w:p w14:paraId="7F5AB259" w14:textId="36637955" w:rsidR="00596D62" w:rsidRDefault="00596D62">
      <w:pPr>
        <w:rPr>
          <w:rFonts w:ascii="Calibri" w:hAnsi="Calibri" w:cs="Calibri"/>
          <w:sz w:val="32"/>
          <w:szCs w:val="32"/>
        </w:rPr>
      </w:pPr>
      <w:r>
        <w:rPr>
          <w:rFonts w:ascii="Calibri" w:hAnsi="Calibri" w:cs="Calibri"/>
          <w:sz w:val="32"/>
          <w:szCs w:val="32"/>
        </w:rPr>
        <w:t>Ultimately, the specific sentencing guidelines and range of penalties for battery vary widely by jurisdiction, and judges have discretion in determining the appropriate sentence based on the circumstances of each case.</w:t>
      </w:r>
    </w:p>
    <w:p w14:paraId="7663B18D" w14:textId="2DA14ECF" w:rsidR="00C46215" w:rsidRDefault="00C46215">
      <w:pPr>
        <w:rPr>
          <w:rFonts w:ascii="Calibri" w:hAnsi="Calibri" w:cs="Calibri"/>
          <w:sz w:val="32"/>
          <w:szCs w:val="32"/>
        </w:rPr>
      </w:pPr>
      <w:r>
        <w:rPr>
          <w:rFonts w:ascii="Calibri" w:hAnsi="Calibri" w:cs="Calibri"/>
          <w:sz w:val="32"/>
          <w:szCs w:val="32"/>
        </w:rPr>
        <w:lastRenderedPageBreak/>
        <w:t>On the other hand crimes are outlined in a manner where the outcome of the defendants actions is not important in determining their guilt. The defendants actions could fulfil all the necessary elements of the offence, even if they do not result in the intended consequences or any consequence at all.</w:t>
      </w:r>
    </w:p>
    <w:p w14:paraId="31B0640D" w14:textId="5149D484" w:rsidR="004B781F" w:rsidRDefault="004B781F">
      <w:pPr>
        <w:rPr>
          <w:rFonts w:ascii="Calibri" w:hAnsi="Calibri" w:cs="Calibri"/>
          <w:sz w:val="32"/>
          <w:szCs w:val="32"/>
        </w:rPr>
      </w:pPr>
      <w:r>
        <w:rPr>
          <w:rFonts w:ascii="Calibri" w:hAnsi="Calibri" w:cs="Calibri"/>
          <w:sz w:val="32"/>
          <w:szCs w:val="32"/>
        </w:rPr>
        <w:t>Traditionally, the crucial components of a crime are divided into two key elements: the prohibited action, lack of action, or situation, along with any specific outcome (known as actus reus); and the mental state, like intent or recklessness, that is needed to accompany the act (known as mens rea)</w:t>
      </w:r>
    </w:p>
    <w:p w14:paraId="584DA9D9" w14:textId="6D56B3A2" w:rsidR="00442783" w:rsidRDefault="00442783">
      <w:pPr>
        <w:rPr>
          <w:rFonts w:ascii="Calibri" w:hAnsi="Calibri" w:cs="Calibri"/>
          <w:sz w:val="32"/>
          <w:szCs w:val="32"/>
        </w:rPr>
      </w:pPr>
      <w:r>
        <w:rPr>
          <w:rFonts w:ascii="Calibri" w:hAnsi="Calibri" w:cs="Calibri"/>
          <w:sz w:val="32"/>
          <w:szCs w:val="32"/>
        </w:rPr>
        <w:t>If someone illegally assaults or beats another person, two justices of the peace can hear the complaint and determine the offense. The offender, upon conviction, may either be sent to prison for up to 6 months or have to pay a fine of up to £200, along with any additional costs. If the fine and costs are not paid promptly, the offender may be imprisoned for up to 6 months unless the payment is made sooner.</w:t>
      </w:r>
    </w:p>
    <w:p w14:paraId="400CA19C" w14:textId="15CF577B" w:rsidR="003E2028" w:rsidRDefault="003E2028">
      <w:pPr>
        <w:rPr>
          <w:rFonts w:ascii="Calibri" w:hAnsi="Calibri" w:cs="Calibri"/>
          <w:sz w:val="32"/>
          <w:szCs w:val="32"/>
        </w:rPr>
      </w:pPr>
      <w:r>
        <w:rPr>
          <w:rFonts w:ascii="Calibri" w:hAnsi="Calibri" w:cs="Calibri"/>
          <w:sz w:val="32"/>
          <w:szCs w:val="32"/>
        </w:rPr>
        <w:t xml:space="preserve">An accusation of common assault and battery can be added to an </w:t>
      </w:r>
      <w:r w:rsidR="00442783">
        <w:rPr>
          <w:rFonts w:ascii="Calibri" w:hAnsi="Calibri" w:cs="Calibri"/>
          <w:sz w:val="32"/>
          <w:szCs w:val="32"/>
        </w:rPr>
        <w:t>indictment</w:t>
      </w:r>
      <w:r>
        <w:rPr>
          <w:rFonts w:ascii="Calibri" w:hAnsi="Calibri" w:cs="Calibri"/>
          <w:sz w:val="32"/>
          <w:szCs w:val="32"/>
        </w:rPr>
        <w:t xml:space="preserve"> if it is based on the same evidence as a charge for a more serious offence or if it is part of a series of similar offences.</w:t>
      </w:r>
    </w:p>
    <w:p w14:paraId="16AA63D1" w14:textId="24A09E0D" w:rsidR="003E2028" w:rsidRDefault="003E2028">
      <w:pPr>
        <w:rPr>
          <w:rFonts w:ascii="Calibri" w:hAnsi="Calibri" w:cs="Calibri"/>
          <w:sz w:val="32"/>
          <w:szCs w:val="32"/>
        </w:rPr>
      </w:pPr>
      <w:r>
        <w:rPr>
          <w:rFonts w:ascii="Calibri" w:hAnsi="Calibri" w:cs="Calibri"/>
          <w:sz w:val="32"/>
          <w:szCs w:val="32"/>
        </w:rPr>
        <w:t xml:space="preserve">This can only happen if the evidence was presented in a </w:t>
      </w:r>
      <w:r w:rsidR="00442783">
        <w:rPr>
          <w:rFonts w:ascii="Calibri" w:hAnsi="Calibri" w:cs="Calibri"/>
          <w:sz w:val="32"/>
          <w:szCs w:val="32"/>
        </w:rPr>
        <w:t>magistrate’s</w:t>
      </w:r>
      <w:r>
        <w:rPr>
          <w:rFonts w:ascii="Calibri" w:hAnsi="Calibri" w:cs="Calibri"/>
          <w:sz w:val="32"/>
          <w:szCs w:val="32"/>
        </w:rPr>
        <w:t xml:space="preserve"> court or provided to the person after they were sent for trial.</w:t>
      </w:r>
    </w:p>
    <w:p w14:paraId="752AE3AF" w14:textId="4CBC4EB0" w:rsidR="00D1005A" w:rsidRDefault="00D1005A">
      <w:pPr>
        <w:rPr>
          <w:rFonts w:ascii="Calibri" w:hAnsi="Calibri" w:cs="Calibri"/>
          <w:sz w:val="32"/>
          <w:szCs w:val="32"/>
        </w:rPr>
      </w:pPr>
      <w:r>
        <w:rPr>
          <w:rFonts w:ascii="Calibri" w:hAnsi="Calibri" w:cs="Calibri"/>
          <w:sz w:val="32"/>
          <w:szCs w:val="32"/>
        </w:rPr>
        <w:t>If the client wants to plead not guilty and plans to testify in court denying her guilt, we have a duty to refuse to represent her as it would involve deceiving the court.</w:t>
      </w:r>
    </w:p>
    <w:p w14:paraId="0962B6FD" w14:textId="62B39E16" w:rsidR="0058273A" w:rsidRDefault="0058273A">
      <w:pPr>
        <w:rPr>
          <w:rFonts w:ascii="Calibri" w:hAnsi="Calibri" w:cs="Calibri"/>
          <w:sz w:val="32"/>
          <w:szCs w:val="32"/>
        </w:rPr>
      </w:pPr>
      <w:r>
        <w:rPr>
          <w:rFonts w:ascii="Calibri" w:hAnsi="Calibri" w:cs="Calibri"/>
          <w:sz w:val="32"/>
          <w:szCs w:val="32"/>
        </w:rPr>
        <w:t xml:space="preserve">The victim can seek compensation for a crime that has been admitted by the defendant and recognized by the criminal justice system. By acknowledging the offence early, the court can make more informed sentencing decisions and potentially save time and costs by resolving the case quickly. The defendant may benefit from credit for admitting </w:t>
      </w:r>
      <w:r>
        <w:rPr>
          <w:rFonts w:ascii="Calibri" w:hAnsi="Calibri" w:cs="Calibri"/>
          <w:sz w:val="32"/>
          <w:szCs w:val="32"/>
        </w:rPr>
        <w:lastRenderedPageBreak/>
        <w:t>guilt, potentially leading to a lighter sentence, personalized sentencing, access to rehabilitation programs, and avoiding the risk of future prosecution for other crimes.</w:t>
      </w:r>
    </w:p>
    <w:p w14:paraId="185ED0C8" w14:textId="32AAFEC9" w:rsidR="001F005A" w:rsidRDefault="005667E1">
      <w:pPr>
        <w:rPr>
          <w:rFonts w:ascii="Calibri" w:hAnsi="Calibri" w:cs="Calibri"/>
          <w:sz w:val="32"/>
          <w:szCs w:val="32"/>
        </w:rPr>
      </w:pPr>
      <w:r>
        <w:rPr>
          <w:rFonts w:ascii="Calibri" w:hAnsi="Calibri" w:cs="Calibri"/>
          <w:sz w:val="32"/>
          <w:szCs w:val="32"/>
        </w:rPr>
        <w:t xml:space="preserve">Under the police criminal evidence act of 1984, section 61 allows for the taking of fingerprints without consent under certain circumstances, such as if the individual has been arrested for a recordable offense, admitted to a recordable offense during caution, or warned under the </w:t>
      </w:r>
      <w:r w:rsidR="00F71BC0">
        <w:rPr>
          <w:rFonts w:ascii="Calibri" w:hAnsi="Calibri" w:cs="Calibri"/>
          <w:sz w:val="32"/>
          <w:szCs w:val="32"/>
        </w:rPr>
        <w:t>Crime</w:t>
      </w:r>
      <w:r>
        <w:rPr>
          <w:rFonts w:ascii="Calibri" w:hAnsi="Calibri" w:cs="Calibri"/>
          <w:sz w:val="32"/>
          <w:szCs w:val="32"/>
        </w:rPr>
        <w:t xml:space="preserve"> and Disorder Act of 1998. </w:t>
      </w:r>
      <w:r w:rsidR="00F71BC0">
        <w:rPr>
          <w:rFonts w:ascii="Calibri" w:hAnsi="Calibri" w:cs="Calibri"/>
          <w:sz w:val="32"/>
          <w:szCs w:val="32"/>
        </w:rPr>
        <w:t>Authorization</w:t>
      </w:r>
      <w:r>
        <w:rPr>
          <w:rFonts w:ascii="Calibri" w:hAnsi="Calibri" w:cs="Calibri"/>
          <w:sz w:val="32"/>
          <w:szCs w:val="32"/>
        </w:rPr>
        <w:t xml:space="preserve"> from an inspector or higher-ranking officer is required for fingerprinting, and it must be deemed necessary for the prevention or detection of crime. </w:t>
      </w:r>
      <w:r w:rsidR="00816D4D">
        <w:rPr>
          <w:rFonts w:ascii="Calibri" w:hAnsi="Calibri" w:cs="Calibri"/>
          <w:sz w:val="32"/>
          <w:szCs w:val="32"/>
        </w:rPr>
        <w:t xml:space="preserve">Written consent is required for taking a </w:t>
      </w:r>
      <w:r w:rsidR="009560DC">
        <w:rPr>
          <w:rFonts w:ascii="Calibri" w:hAnsi="Calibri" w:cs="Calibri"/>
          <w:sz w:val="32"/>
          <w:szCs w:val="32"/>
        </w:rPr>
        <w:t>person's</w:t>
      </w:r>
      <w:r w:rsidR="00816D4D">
        <w:rPr>
          <w:rFonts w:ascii="Calibri" w:hAnsi="Calibri" w:cs="Calibri"/>
          <w:sz w:val="32"/>
          <w:szCs w:val="32"/>
        </w:rPr>
        <w:t xml:space="preserve"> fingerprints if it is given while they are at a police station.</w:t>
      </w:r>
    </w:p>
    <w:p w14:paraId="31A1E026" w14:textId="20AE726A" w:rsidR="00F53629" w:rsidRDefault="00F53629">
      <w:pPr>
        <w:rPr>
          <w:rFonts w:ascii="Calibri" w:hAnsi="Calibri" w:cs="Calibri"/>
          <w:sz w:val="32"/>
          <w:szCs w:val="32"/>
        </w:rPr>
      </w:pPr>
      <w:r>
        <w:rPr>
          <w:rFonts w:ascii="Calibri" w:hAnsi="Calibri" w:cs="Calibri"/>
          <w:sz w:val="32"/>
          <w:szCs w:val="32"/>
        </w:rPr>
        <w:t>However, if a person is detained at a police station due to being arrested for a recordable offence and has not previously had their fingerprints taken during the investigation, their fingerprints may be taken without consent.</w:t>
      </w:r>
    </w:p>
    <w:p w14:paraId="77B29A8B" w14:textId="1D0831A3" w:rsidR="00F71BC0" w:rsidRDefault="00F71BC0">
      <w:pPr>
        <w:rPr>
          <w:rFonts w:ascii="Calibri" w:hAnsi="Calibri" w:cs="Calibri"/>
          <w:sz w:val="32"/>
          <w:szCs w:val="32"/>
        </w:rPr>
      </w:pPr>
      <w:r>
        <w:rPr>
          <w:rFonts w:ascii="Calibri" w:hAnsi="Calibri" w:cs="Calibri"/>
          <w:sz w:val="32"/>
          <w:szCs w:val="32"/>
        </w:rPr>
        <w:t>Article 6 (1) of the ECHR guarantees that everyone has the right to a fair trial when it comes to civil rights or criminal charges, including equality of arms. In terms of criminal cases, article 6 (3)© ensures the right to self-defence or legal assistance of ones choice or to receive free legal aid if unable to afford it when justice demands.</w:t>
      </w:r>
    </w:p>
    <w:p w14:paraId="6B6D0B80" w14:textId="31464F65" w:rsidR="00C232E9" w:rsidRDefault="00C232E9">
      <w:pPr>
        <w:rPr>
          <w:rFonts w:ascii="Calibri" w:hAnsi="Calibri" w:cs="Calibri"/>
          <w:sz w:val="32"/>
          <w:szCs w:val="32"/>
        </w:rPr>
      </w:pPr>
      <w:r>
        <w:rPr>
          <w:rFonts w:ascii="Calibri" w:hAnsi="Calibri" w:cs="Calibri"/>
          <w:sz w:val="32"/>
          <w:szCs w:val="32"/>
        </w:rPr>
        <w:t>If a person who has been granted bail under section 30A (1) is subject to specific conditions, a police officer at the station where the person is required to report can adjust these conditions upon the persons request, with some limitations. The conditions can be altered again upon the persons subsequent request, with restrictions still in place.</w:t>
      </w:r>
    </w:p>
    <w:p w14:paraId="461CE350" w14:textId="5E8861F5" w:rsidR="003F15DB" w:rsidRDefault="003F15DB">
      <w:pPr>
        <w:rPr>
          <w:rFonts w:ascii="Calibri" w:hAnsi="Calibri" w:cs="Calibri"/>
          <w:sz w:val="32"/>
          <w:szCs w:val="32"/>
        </w:rPr>
      </w:pPr>
      <w:r>
        <w:rPr>
          <w:rFonts w:ascii="Calibri" w:hAnsi="Calibri" w:cs="Calibri"/>
          <w:sz w:val="32"/>
          <w:szCs w:val="32"/>
        </w:rPr>
        <w:t>In any subsequent request for the same bail grant, subsection (1) allows for the conditions of bail to be changed only if the request is based on new information that was not available to the officer when considering previous requests</w:t>
      </w:r>
      <w:r w:rsidR="006B122B">
        <w:rPr>
          <w:rFonts w:ascii="Calibri" w:hAnsi="Calibri" w:cs="Calibri"/>
          <w:sz w:val="32"/>
          <w:szCs w:val="32"/>
        </w:rPr>
        <w:t xml:space="preserve">. When the conditions of bail granted under section 30(A)(1) are modified according to subsection (1), </w:t>
      </w:r>
      <w:r w:rsidR="006B122B">
        <w:rPr>
          <w:rFonts w:ascii="Calibri" w:hAnsi="Calibri" w:cs="Calibri"/>
          <w:sz w:val="32"/>
          <w:szCs w:val="32"/>
        </w:rPr>
        <w:lastRenderedPageBreak/>
        <w:t xml:space="preserve">specific requirements must be met, as outlined in paragraphs (a) to (d) of section 30(A). These requirements must be deemed necessary by the officer making the changes for the purpose mentioned in paragraphs (a) to (d) of section 30(A)(3B). The person must be given written notice of the changes by the officer varying the conditions. </w:t>
      </w:r>
    </w:p>
    <w:p w14:paraId="4BF6938D" w14:textId="0E64847B" w:rsidR="009560DC" w:rsidRDefault="00403132">
      <w:pPr>
        <w:rPr>
          <w:rFonts w:ascii="Calibri" w:hAnsi="Calibri" w:cs="Calibri"/>
          <w:sz w:val="32"/>
          <w:szCs w:val="32"/>
        </w:rPr>
      </w:pPr>
      <w:r>
        <w:rPr>
          <w:rFonts w:ascii="Calibri" w:hAnsi="Calibri" w:cs="Calibri"/>
          <w:sz w:val="32"/>
          <w:szCs w:val="32"/>
        </w:rPr>
        <w:t>If possible, the investigating officer must ask the alleged victim for their thoughts on whether any relevant conditions should be changed and what changes should be made. The investigating officer must also inform the relevant officer of any views obtained. If any conditions are altered, the alleged victim should be notified if feasible. If the alleged victim appears vulnerable, the same procedure apply as if the references were to a representative of the victim.</w:t>
      </w:r>
    </w:p>
    <w:p w14:paraId="37324A70" w14:textId="763DAE07" w:rsidR="003C3868" w:rsidRDefault="003C3868">
      <w:pPr>
        <w:rPr>
          <w:rFonts w:ascii="Calibri" w:hAnsi="Calibri" w:cs="Calibri"/>
          <w:sz w:val="32"/>
          <w:szCs w:val="32"/>
        </w:rPr>
      </w:pPr>
      <w:r>
        <w:rPr>
          <w:rFonts w:ascii="Calibri" w:hAnsi="Calibri" w:cs="Calibri"/>
          <w:sz w:val="32"/>
          <w:szCs w:val="32"/>
        </w:rPr>
        <w:t xml:space="preserve">In section (5)  an investigative </w:t>
      </w:r>
      <w:proofErr w:type="spellStart"/>
      <w:r>
        <w:rPr>
          <w:rFonts w:ascii="Calibri" w:hAnsi="Calibri" w:cs="Calibri"/>
          <w:sz w:val="32"/>
          <w:szCs w:val="32"/>
        </w:rPr>
        <w:t>officer,in</w:t>
      </w:r>
      <w:proofErr w:type="spellEnd"/>
      <w:r>
        <w:rPr>
          <w:rFonts w:ascii="Calibri" w:hAnsi="Calibri" w:cs="Calibri"/>
          <w:sz w:val="32"/>
          <w:szCs w:val="32"/>
        </w:rPr>
        <w:t xml:space="preserve"> connection with the relevant offence, refers to the constable or person leading the investigation of the offence, pertains to a condition that ensures the safety of the alleged victim. The relevant offence is the offence for which the individual was arrested when granted bail under section 30A(1). A relevant officer, at a designated police station, is a custody officer; however, at any other police station, it means a constable not involved in the investigation of the relevant offence, if available, or another constable is accessible, but only if they did not grant bail.</w:t>
      </w:r>
    </w:p>
    <w:p w14:paraId="34126C0A" w14:textId="1EA60700" w:rsidR="003C3868" w:rsidRDefault="003C3868">
      <w:pPr>
        <w:rPr>
          <w:rFonts w:ascii="Calibri" w:hAnsi="Calibri" w:cs="Calibri"/>
          <w:sz w:val="32"/>
          <w:szCs w:val="32"/>
        </w:rPr>
      </w:pPr>
      <w:r>
        <w:rPr>
          <w:rFonts w:ascii="Calibri" w:hAnsi="Calibri" w:cs="Calibri"/>
          <w:sz w:val="32"/>
          <w:szCs w:val="32"/>
        </w:rPr>
        <w:t xml:space="preserve"> For this section, an alleged victim of an offence is someone who has reported to a constable or person conducting the investigation that they have suffered harm directly due to the offence, and they are an individual.</w:t>
      </w:r>
    </w:p>
    <w:p w14:paraId="12A313F2" w14:textId="3A22B2DB" w:rsidR="00CC3ACD" w:rsidRDefault="00EB131E">
      <w:pPr>
        <w:rPr>
          <w:rFonts w:ascii="Calibri" w:hAnsi="Calibri" w:cs="Calibri"/>
          <w:sz w:val="32"/>
          <w:szCs w:val="32"/>
        </w:rPr>
      </w:pPr>
      <w:r>
        <w:rPr>
          <w:rFonts w:ascii="Calibri" w:hAnsi="Calibri" w:cs="Calibri"/>
          <w:sz w:val="32"/>
          <w:szCs w:val="32"/>
        </w:rPr>
        <w:t>In this section (6), a person is considered an alleged victim of an offence if a claim has been made</w:t>
      </w:r>
      <w:r w:rsidR="00347CBE">
        <w:rPr>
          <w:rFonts w:ascii="Calibri" w:hAnsi="Calibri" w:cs="Calibri"/>
          <w:sz w:val="32"/>
          <w:szCs w:val="32"/>
        </w:rPr>
        <w:t xml:space="preserve"> to a police officer or someone involved in the investigation that the person</w:t>
      </w:r>
      <w:r w:rsidR="00C66032">
        <w:rPr>
          <w:rFonts w:ascii="Calibri" w:hAnsi="Calibri" w:cs="Calibri"/>
          <w:sz w:val="32"/>
          <w:szCs w:val="32"/>
        </w:rPr>
        <w:t xml:space="preserve"> has experienced harm or loss due to the offence, and the person is an individual.</w:t>
      </w:r>
      <w:r w:rsidR="003F0E00">
        <w:rPr>
          <w:rFonts w:ascii="Calibri" w:hAnsi="Calibri" w:cs="Calibri"/>
          <w:sz w:val="32"/>
          <w:szCs w:val="32"/>
        </w:rPr>
        <w:t xml:space="preserve"> An alleged victim of an offence is considered vulnerable under this section if they</w:t>
      </w:r>
      <w:r w:rsidR="00956EF0">
        <w:rPr>
          <w:rFonts w:ascii="Calibri" w:hAnsi="Calibri" w:cs="Calibri"/>
          <w:sz w:val="32"/>
          <w:szCs w:val="32"/>
        </w:rPr>
        <w:t xml:space="preserve"> were under 18 at the time of the offence, or if they have </w:t>
      </w:r>
      <w:r w:rsidR="00956EF0">
        <w:rPr>
          <w:rFonts w:ascii="Calibri" w:hAnsi="Calibri" w:cs="Calibri"/>
          <w:sz w:val="32"/>
          <w:szCs w:val="32"/>
        </w:rPr>
        <w:lastRenderedPageBreak/>
        <w:t>difficulty understanding or responding to communication from an</w:t>
      </w:r>
      <w:r w:rsidR="008F33DD">
        <w:rPr>
          <w:rFonts w:ascii="Calibri" w:hAnsi="Calibri" w:cs="Calibri"/>
          <w:sz w:val="32"/>
          <w:szCs w:val="32"/>
        </w:rPr>
        <w:t xml:space="preserve"> investigating officer due to physical, mental, or cognitive impairments.</w:t>
      </w:r>
    </w:p>
    <w:p w14:paraId="0DA3A4D6" w14:textId="77777777" w:rsidR="00656EBB" w:rsidRDefault="00656EBB">
      <w:pPr>
        <w:rPr>
          <w:rFonts w:ascii="Calibri" w:hAnsi="Calibri" w:cs="Calibri"/>
          <w:sz w:val="32"/>
          <w:szCs w:val="32"/>
        </w:rPr>
      </w:pPr>
    </w:p>
    <w:p w14:paraId="01BC044B" w14:textId="77777777" w:rsidR="00656EBB" w:rsidRDefault="00656EBB">
      <w:pPr>
        <w:rPr>
          <w:rFonts w:ascii="Calibri" w:hAnsi="Calibri" w:cs="Calibri"/>
          <w:sz w:val="32"/>
          <w:szCs w:val="32"/>
        </w:rPr>
      </w:pPr>
    </w:p>
    <w:p w14:paraId="5EA80F93"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legislation.gov.uk</w:t>
      </w:r>
    </w:p>
    <w:p w14:paraId="706A5463"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R v Lynsey [1995] 3 All ER 654, [1995] 2 Cr App Rep 667, CA.</w:t>
      </w:r>
    </w:p>
    <w:p w14:paraId="3A345FF0"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Smith, Hogan and Ormerod's Criminal Law (16th ed n, 2021, at p. 27)</w:t>
      </w:r>
    </w:p>
    <w:p w14:paraId="06514B57"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Blackstone’s, criminal practice (2024)</w:t>
      </w:r>
    </w:p>
    <w:p w14:paraId="77C3F137"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Criminal Justice Act 1988 (c. 33, SIF 39:1), s. 170, Sch. 8 para. 16, Sch. 16</w:t>
      </w:r>
    </w:p>
    <w:p w14:paraId="3309B60E"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Criminal Justice Act 1948 (c. 58), s. 1(2)</w:t>
      </w:r>
    </w:p>
    <w:p w14:paraId="169A004B"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Justice Act (Northern Ireland) 2011 (c. 24), ss. 51(2), 111(2) (with Sch. 6 para. 4(1))</w:t>
      </w:r>
    </w:p>
    <w:p w14:paraId="2D0A027B"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Criminal Law Act 1977 (c. 45), Sch. 6</w:t>
      </w:r>
    </w:p>
    <w:p w14:paraId="740DFC3A"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CPS guidance(opens an external website in the same tab) and Sentencing Council Guidelines (2007) Reduction in Sentence for a Guilty Plea(opens an external website in the same tab).</w:t>
      </w:r>
    </w:p>
    <w:p w14:paraId="57922B37"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Police and Criminal Evidence Act 1984 (1984 c 60) | Legislation</w:t>
      </w:r>
    </w:p>
    <w:p w14:paraId="1D90B76C"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Justice.org.uk</w:t>
      </w:r>
    </w:p>
    <w:p w14:paraId="53D966ED"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F1</w:t>
      </w:r>
      <w:r w:rsidRPr="00656EBB">
        <w:rPr>
          <w:rFonts w:ascii="Calibri" w:hAnsi="Calibri" w:cs="Calibri"/>
          <w:sz w:val="32"/>
          <w:szCs w:val="32"/>
        </w:rPr>
        <w:tab/>
        <w:t>Ss. 30A-30D inserted (20.1.2004) by Criminal Justice Act 2003 (c. 44), ss. 4(7), 336; S.I. 2004/81, art. 2(1)(2)(a)</w:t>
      </w:r>
    </w:p>
    <w:p w14:paraId="564E70E2" w14:textId="77777777" w:rsidR="00656EBB" w:rsidRPr="00656EBB" w:rsidRDefault="00656EBB" w:rsidP="00656EBB">
      <w:pPr>
        <w:rPr>
          <w:rFonts w:ascii="Calibri" w:hAnsi="Calibri" w:cs="Calibri"/>
          <w:sz w:val="32"/>
          <w:szCs w:val="32"/>
        </w:rPr>
      </w:pPr>
    </w:p>
    <w:p w14:paraId="1A4D5F54"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F2</w:t>
      </w:r>
      <w:r w:rsidRPr="00656EBB">
        <w:rPr>
          <w:rFonts w:ascii="Calibri" w:hAnsi="Calibri" w:cs="Calibri"/>
          <w:sz w:val="32"/>
          <w:szCs w:val="32"/>
        </w:rPr>
        <w:tab/>
        <w:t>Ss. 30CA, 30CB inserted (1.4.2007) by Police and Justice Act 2006 (c. 48), ss. 10, 53, Sch. 6 para. 4; S.I. 2007/709, art. 3(</w:t>
      </w:r>
      <w:proofErr w:type="spellStart"/>
      <w:r w:rsidRPr="00656EBB">
        <w:rPr>
          <w:rFonts w:ascii="Calibri" w:hAnsi="Calibri" w:cs="Calibri"/>
          <w:sz w:val="32"/>
          <w:szCs w:val="32"/>
        </w:rPr>
        <w:t>i</w:t>
      </w:r>
      <w:proofErr w:type="spellEnd"/>
      <w:r w:rsidRPr="00656EBB">
        <w:rPr>
          <w:rFonts w:ascii="Calibri" w:hAnsi="Calibri" w:cs="Calibri"/>
          <w:sz w:val="32"/>
          <w:szCs w:val="32"/>
        </w:rPr>
        <w:t>) (subject to arts. 6, 7)</w:t>
      </w:r>
    </w:p>
    <w:p w14:paraId="254EC919" w14:textId="77777777" w:rsidR="00656EBB" w:rsidRPr="00656EBB" w:rsidRDefault="00656EBB" w:rsidP="00656EBB">
      <w:pPr>
        <w:rPr>
          <w:rFonts w:ascii="Calibri" w:hAnsi="Calibri" w:cs="Calibri"/>
          <w:sz w:val="32"/>
          <w:szCs w:val="32"/>
        </w:rPr>
      </w:pPr>
    </w:p>
    <w:p w14:paraId="5A8584AB"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F3</w:t>
      </w:r>
      <w:r w:rsidRPr="00656EBB">
        <w:rPr>
          <w:rFonts w:ascii="Calibri" w:hAnsi="Calibri" w:cs="Calibri"/>
          <w:sz w:val="32"/>
          <w:szCs w:val="32"/>
        </w:rPr>
        <w:tab/>
        <w:t>S. 30CA(1)(b) and word omitted (31.1.2017 for specified purposes, 3.4.2017 in so far as not already in force) by virtue of Policing and Crime Act 2017 (c. 3), ss. 62(9), 183(1)(5)(e); S.I. 2017/399, reg. 2, Sch. para. 14 (with reg. 5)</w:t>
      </w:r>
    </w:p>
    <w:p w14:paraId="4F3F83FD" w14:textId="77777777" w:rsidR="00656EBB" w:rsidRPr="00656EBB" w:rsidRDefault="00656EBB" w:rsidP="00656EBB">
      <w:pPr>
        <w:rPr>
          <w:rFonts w:ascii="Calibri" w:hAnsi="Calibri" w:cs="Calibri"/>
          <w:sz w:val="32"/>
          <w:szCs w:val="32"/>
        </w:rPr>
      </w:pPr>
    </w:p>
    <w:p w14:paraId="52B76204" w14:textId="77777777" w:rsidR="00656EBB" w:rsidRPr="00656EBB" w:rsidRDefault="00656EBB" w:rsidP="00656EBB">
      <w:pPr>
        <w:rPr>
          <w:rFonts w:ascii="Calibri" w:hAnsi="Calibri" w:cs="Calibri"/>
          <w:sz w:val="32"/>
          <w:szCs w:val="32"/>
        </w:rPr>
      </w:pPr>
      <w:r w:rsidRPr="00656EBB">
        <w:rPr>
          <w:rFonts w:ascii="Calibri" w:hAnsi="Calibri" w:cs="Calibri"/>
          <w:sz w:val="32"/>
          <w:szCs w:val="32"/>
        </w:rPr>
        <w:t>F4</w:t>
      </w:r>
      <w:r w:rsidRPr="00656EBB">
        <w:rPr>
          <w:rFonts w:ascii="Calibri" w:hAnsi="Calibri" w:cs="Calibri"/>
          <w:sz w:val="32"/>
          <w:szCs w:val="32"/>
        </w:rPr>
        <w:tab/>
        <w:t>S. 30CA(4A)-(4D) inserted (28.10.2022) by Police, Crime, Sentencing and Courts Act 2022 (c. 32), s. 208(1), Sch. 4 para. 21(2) (with s. 45(3)); S.I. 2022/1075, reg. 4(b)</w:t>
      </w:r>
    </w:p>
    <w:p w14:paraId="60381CE0" w14:textId="77777777" w:rsidR="00656EBB" w:rsidRPr="00656EBB" w:rsidRDefault="00656EBB" w:rsidP="00656EBB">
      <w:pPr>
        <w:rPr>
          <w:rFonts w:ascii="Calibri" w:hAnsi="Calibri" w:cs="Calibri"/>
          <w:sz w:val="32"/>
          <w:szCs w:val="32"/>
        </w:rPr>
      </w:pPr>
    </w:p>
    <w:p w14:paraId="2A5E043E" w14:textId="63B8AD04" w:rsidR="00656EBB" w:rsidRPr="00FD1A67" w:rsidRDefault="00656EBB" w:rsidP="00656EBB">
      <w:pPr>
        <w:rPr>
          <w:rFonts w:ascii="Calibri" w:hAnsi="Calibri" w:cs="Calibri"/>
          <w:sz w:val="32"/>
          <w:szCs w:val="32"/>
        </w:rPr>
      </w:pPr>
      <w:r w:rsidRPr="00656EBB">
        <w:rPr>
          <w:rFonts w:ascii="Calibri" w:hAnsi="Calibri" w:cs="Calibri"/>
          <w:sz w:val="32"/>
          <w:szCs w:val="32"/>
        </w:rPr>
        <w:t>F5</w:t>
      </w:r>
      <w:r w:rsidRPr="00656EBB">
        <w:rPr>
          <w:rFonts w:ascii="Calibri" w:hAnsi="Calibri" w:cs="Calibri"/>
          <w:sz w:val="32"/>
          <w:szCs w:val="32"/>
        </w:rPr>
        <w:tab/>
        <w:t>S. 30CA(5)-(7) substituted for s. 30CA(5) (28.10.2022) by Police, Crime, Sentencing and Courts Act 2022 (c. 32), s. 208(1), Sch. 4 para. 21(3) (with s. 45(3)); S.I. 2022/1075, reg. 4(b)</w:t>
      </w:r>
    </w:p>
    <w:sectPr w:rsidR="00656EBB" w:rsidRPr="00FD1A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1A67"/>
    <w:rsid w:val="001F005A"/>
    <w:rsid w:val="00347CBE"/>
    <w:rsid w:val="003C3868"/>
    <w:rsid w:val="003E2028"/>
    <w:rsid w:val="003F0E00"/>
    <w:rsid w:val="003F15DB"/>
    <w:rsid w:val="00403132"/>
    <w:rsid w:val="00442783"/>
    <w:rsid w:val="004B781F"/>
    <w:rsid w:val="005667E1"/>
    <w:rsid w:val="0058273A"/>
    <w:rsid w:val="00596D62"/>
    <w:rsid w:val="005A2823"/>
    <w:rsid w:val="00640914"/>
    <w:rsid w:val="00656EBB"/>
    <w:rsid w:val="006B122B"/>
    <w:rsid w:val="00735C13"/>
    <w:rsid w:val="00816D4D"/>
    <w:rsid w:val="008F33DD"/>
    <w:rsid w:val="009560DC"/>
    <w:rsid w:val="00956EF0"/>
    <w:rsid w:val="00BC4937"/>
    <w:rsid w:val="00C232E9"/>
    <w:rsid w:val="00C46215"/>
    <w:rsid w:val="00C66032"/>
    <w:rsid w:val="00CC3ACD"/>
    <w:rsid w:val="00D1005A"/>
    <w:rsid w:val="00E61196"/>
    <w:rsid w:val="00EB131E"/>
    <w:rsid w:val="00F53629"/>
    <w:rsid w:val="00F71BC0"/>
    <w:rsid w:val="00FD1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F8AE0D"/>
  <w15:chartTrackingRefBased/>
  <w15:docId w15:val="{1262344F-D816-4700-B403-73F1FE017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1A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D1A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1A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1A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1A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1A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1A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1A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1A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1A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D1A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D1A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D1A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D1A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D1A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1A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1A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1A67"/>
    <w:rPr>
      <w:rFonts w:eastAsiaTheme="majorEastAsia" w:cstheme="majorBidi"/>
      <w:color w:val="272727" w:themeColor="text1" w:themeTint="D8"/>
    </w:rPr>
  </w:style>
  <w:style w:type="paragraph" w:styleId="Title">
    <w:name w:val="Title"/>
    <w:basedOn w:val="Normal"/>
    <w:next w:val="Normal"/>
    <w:link w:val="TitleChar"/>
    <w:uiPriority w:val="10"/>
    <w:qFormat/>
    <w:rsid w:val="00FD1A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1A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1A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1A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1A67"/>
    <w:pPr>
      <w:spacing w:before="160"/>
      <w:jc w:val="center"/>
    </w:pPr>
    <w:rPr>
      <w:i/>
      <w:iCs/>
      <w:color w:val="404040" w:themeColor="text1" w:themeTint="BF"/>
    </w:rPr>
  </w:style>
  <w:style w:type="character" w:customStyle="1" w:styleId="QuoteChar">
    <w:name w:val="Quote Char"/>
    <w:basedOn w:val="DefaultParagraphFont"/>
    <w:link w:val="Quote"/>
    <w:uiPriority w:val="29"/>
    <w:rsid w:val="00FD1A67"/>
    <w:rPr>
      <w:i/>
      <w:iCs/>
      <w:color w:val="404040" w:themeColor="text1" w:themeTint="BF"/>
    </w:rPr>
  </w:style>
  <w:style w:type="paragraph" w:styleId="ListParagraph">
    <w:name w:val="List Paragraph"/>
    <w:basedOn w:val="Normal"/>
    <w:uiPriority w:val="34"/>
    <w:qFormat/>
    <w:rsid w:val="00FD1A67"/>
    <w:pPr>
      <w:ind w:left="720"/>
      <w:contextualSpacing/>
    </w:pPr>
  </w:style>
  <w:style w:type="character" w:styleId="IntenseEmphasis">
    <w:name w:val="Intense Emphasis"/>
    <w:basedOn w:val="DefaultParagraphFont"/>
    <w:uiPriority w:val="21"/>
    <w:qFormat/>
    <w:rsid w:val="00FD1A67"/>
    <w:rPr>
      <w:i/>
      <w:iCs/>
      <w:color w:val="0F4761" w:themeColor="accent1" w:themeShade="BF"/>
    </w:rPr>
  </w:style>
  <w:style w:type="paragraph" w:styleId="IntenseQuote">
    <w:name w:val="Intense Quote"/>
    <w:basedOn w:val="Normal"/>
    <w:next w:val="Normal"/>
    <w:link w:val="IntenseQuoteChar"/>
    <w:uiPriority w:val="30"/>
    <w:qFormat/>
    <w:rsid w:val="00FD1A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D1A67"/>
    <w:rPr>
      <w:i/>
      <w:iCs/>
      <w:color w:val="0F4761" w:themeColor="accent1" w:themeShade="BF"/>
    </w:rPr>
  </w:style>
  <w:style w:type="character" w:styleId="IntenseReference">
    <w:name w:val="Intense Reference"/>
    <w:basedOn w:val="DefaultParagraphFont"/>
    <w:uiPriority w:val="32"/>
    <w:qFormat/>
    <w:rsid w:val="00FD1A6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633</TotalTime>
  <Pages>6</Pages>
  <Words>1547</Words>
  <Characters>7806</Characters>
  <Application>Microsoft Office Word</Application>
  <DocSecurity>0</DocSecurity>
  <Lines>160</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richards</dc:creator>
  <cp:keywords/>
  <dc:description/>
  <cp:lastModifiedBy>laura richards</cp:lastModifiedBy>
  <cp:revision>10</cp:revision>
  <dcterms:created xsi:type="dcterms:W3CDTF">2024-03-14T09:56:00Z</dcterms:created>
  <dcterms:modified xsi:type="dcterms:W3CDTF">2024-03-15T20:57:00Z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5833f111-ae9d-4d8e-a003-4f55daed65a1</vt:lpwstr>
  </property>
</Properties>
</file>