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5880D" w14:textId="388C5A5B" w:rsidR="069275B3" w:rsidRDefault="069275B3" w:rsidP="5508FDBE">
      <w:pPr>
        <w:jc w:val="center"/>
        <w:rPr>
          <w:lang w:val="en-GB"/>
        </w:rPr>
      </w:pPr>
      <w:r w:rsidRPr="5508FDBE">
        <w:rPr>
          <w:lang w:val="en-GB"/>
        </w:rPr>
        <w:t xml:space="preserve">Assignment Title: Component 2: Written Assignment  </w:t>
      </w:r>
    </w:p>
    <w:p w14:paraId="48BF9953" w14:textId="758D44AA" w:rsidR="5508FDBE" w:rsidRDefault="5508FDBE" w:rsidP="5508FDBE">
      <w:pPr>
        <w:rPr>
          <w:lang w:val="en-GB"/>
        </w:rPr>
      </w:pPr>
    </w:p>
    <w:p w14:paraId="2CD8AAF5" w14:textId="2150FEB2" w:rsidR="5508FDBE" w:rsidRDefault="5508FDBE" w:rsidP="5508FDBE">
      <w:pPr>
        <w:rPr>
          <w:lang w:val="en-GB"/>
        </w:rPr>
      </w:pPr>
    </w:p>
    <w:p w14:paraId="59EAD0CC" w14:textId="06CE897B" w:rsidR="002023E1" w:rsidRDefault="00943C7C">
      <w:pPr>
        <w:rPr>
          <w:lang w:val="en-GB"/>
        </w:rPr>
      </w:pPr>
      <w:r>
        <w:rPr>
          <w:lang w:val="en-GB"/>
        </w:rPr>
        <w:t xml:space="preserve">Student name: Carina Gomes </w:t>
      </w:r>
    </w:p>
    <w:p w14:paraId="20271146" w14:textId="1C881351" w:rsidR="00943C7C" w:rsidRDefault="00943C7C">
      <w:pPr>
        <w:rPr>
          <w:lang w:val="en-GB"/>
        </w:rPr>
      </w:pPr>
      <w:r>
        <w:rPr>
          <w:lang w:val="en-GB"/>
        </w:rPr>
        <w:t>Student number: 2222912</w:t>
      </w:r>
    </w:p>
    <w:p w14:paraId="64025827" w14:textId="6D910F71" w:rsidR="00CD0885" w:rsidRDefault="00CD0885">
      <w:pPr>
        <w:rPr>
          <w:lang w:val="en-GB"/>
        </w:rPr>
      </w:pPr>
      <w:r>
        <w:rPr>
          <w:lang w:val="en-GB"/>
        </w:rPr>
        <w:t>Module code: BMHP6030</w:t>
      </w:r>
    </w:p>
    <w:p w14:paraId="2EA303E6" w14:textId="6AF4E0DB" w:rsidR="00943C7C" w:rsidRDefault="00DC7632">
      <w:pPr>
        <w:rPr>
          <w:lang w:val="en-GB"/>
        </w:rPr>
      </w:pPr>
      <w:r>
        <w:rPr>
          <w:lang w:val="en-GB"/>
        </w:rPr>
        <w:t xml:space="preserve">Lecture: </w:t>
      </w:r>
      <w:proofErr w:type="spellStart"/>
      <w:r w:rsidRPr="66BE0AB5">
        <w:rPr>
          <w:lang w:val="en-GB"/>
        </w:rPr>
        <w:t>Par</w:t>
      </w:r>
      <w:r w:rsidR="38154F11" w:rsidRPr="66BE0AB5">
        <w:rPr>
          <w:lang w:val="en-GB"/>
        </w:rPr>
        <w:t>ese</w:t>
      </w:r>
      <w:proofErr w:type="spellEnd"/>
      <w:r>
        <w:rPr>
          <w:lang w:val="en-GB"/>
        </w:rPr>
        <w:t xml:space="preserve"> </w:t>
      </w:r>
    </w:p>
    <w:p w14:paraId="1C4DC309" w14:textId="77777777" w:rsidR="00BE614F" w:rsidRDefault="00BE614F">
      <w:pPr>
        <w:rPr>
          <w:lang w:val="en-GB"/>
        </w:rPr>
      </w:pPr>
    </w:p>
    <w:p w14:paraId="271EC4E2" w14:textId="10F1A5AD" w:rsidR="00BE614F" w:rsidRDefault="00BE614F" w:rsidP="5508FDBE">
      <w:pPr>
        <w:spacing w:line="360" w:lineRule="auto"/>
        <w:rPr>
          <w:rFonts w:ascii="Arial" w:eastAsia="Arial" w:hAnsi="Arial" w:cs="Arial"/>
          <w:b/>
          <w:sz w:val="22"/>
          <w:szCs w:val="22"/>
          <w:lang w:val="en-GB"/>
        </w:rPr>
      </w:pPr>
      <w:r w:rsidRPr="5508FDBE">
        <w:rPr>
          <w:rFonts w:ascii="Arial" w:eastAsia="Arial" w:hAnsi="Arial" w:cs="Arial"/>
          <w:b/>
          <w:sz w:val="22"/>
          <w:szCs w:val="22"/>
          <w:lang w:val="en-GB"/>
        </w:rPr>
        <w:t xml:space="preserve">Introduction </w:t>
      </w:r>
    </w:p>
    <w:p w14:paraId="02FAD371" w14:textId="70F5E344" w:rsidR="007119BE" w:rsidRPr="007119BE" w:rsidRDefault="007119BE" w:rsidP="5508FDBE">
      <w:pPr>
        <w:spacing w:line="360" w:lineRule="auto"/>
        <w:rPr>
          <w:rFonts w:ascii="Arial" w:eastAsia="Arial" w:hAnsi="Arial" w:cs="Arial"/>
          <w:sz w:val="22"/>
          <w:szCs w:val="22"/>
          <w:lang w:val="en-GB"/>
        </w:rPr>
      </w:pPr>
      <w:r w:rsidRPr="5508FDBE">
        <w:rPr>
          <w:rFonts w:ascii="Arial" w:eastAsia="Arial" w:hAnsi="Arial" w:cs="Arial"/>
          <w:sz w:val="22"/>
          <w:szCs w:val="22"/>
          <w:lang w:val="en-GB"/>
        </w:rPr>
        <w:t xml:space="preserve">This report will provide a comprehensive analysis of Sustainable Development Goal 3 (SDG 3), which focuses on ensuring good health and well-being for all individuals across the globe. Additionally, it will examine Sustainable Development Goal 1 (SDG 1), </w:t>
      </w:r>
      <w:proofErr w:type="spellStart"/>
      <w:r w:rsidRPr="5508FDBE">
        <w:rPr>
          <w:rFonts w:ascii="Arial" w:eastAsia="Arial" w:hAnsi="Arial" w:cs="Arial"/>
          <w:sz w:val="22"/>
          <w:szCs w:val="22"/>
          <w:lang w:val="en-GB"/>
        </w:rPr>
        <w:t>emphasizing</w:t>
      </w:r>
      <w:proofErr w:type="spellEnd"/>
      <w:r w:rsidRPr="5508FDBE">
        <w:rPr>
          <w:rFonts w:ascii="Arial" w:eastAsia="Arial" w:hAnsi="Arial" w:cs="Arial"/>
          <w:sz w:val="22"/>
          <w:szCs w:val="22"/>
          <w:lang w:val="en-GB"/>
        </w:rPr>
        <w:t xml:space="preserve"> the health and wellbeing of citizens and the eradication of poverty, which is intrinsically linked to overall health outcomes.</w:t>
      </w:r>
    </w:p>
    <w:p w14:paraId="4CBBB0D0" w14:textId="1B558A37" w:rsidR="007119BE" w:rsidRPr="007119BE" w:rsidRDefault="007119BE" w:rsidP="5508FDBE">
      <w:pPr>
        <w:spacing w:line="360" w:lineRule="auto"/>
        <w:rPr>
          <w:rFonts w:ascii="Arial" w:eastAsia="Arial" w:hAnsi="Arial" w:cs="Arial"/>
          <w:sz w:val="22"/>
          <w:szCs w:val="22"/>
          <w:lang w:val="en-GB"/>
        </w:rPr>
      </w:pPr>
      <w:r w:rsidRPr="5508FDBE">
        <w:rPr>
          <w:rFonts w:ascii="Arial" w:eastAsia="Arial" w:hAnsi="Arial" w:cs="Arial"/>
          <w:sz w:val="22"/>
          <w:szCs w:val="22"/>
          <w:lang w:val="en-GB"/>
        </w:rPr>
        <w:t>The report will include a thorough evaluation of the effectiveness of both national and local health initiatives aimed at promoting well-being and sustainable development. This analysis will assess various programs, policies, and interventions, measuring their impact on public health indicators, accessibility of healthcare, and community engagement.</w:t>
      </w:r>
    </w:p>
    <w:p w14:paraId="459161C8" w14:textId="77777777" w:rsidR="00E26CB1" w:rsidRDefault="007119BE" w:rsidP="5508FDBE">
      <w:pPr>
        <w:spacing w:line="360" w:lineRule="auto"/>
        <w:rPr>
          <w:rFonts w:ascii="Arial" w:eastAsia="Arial" w:hAnsi="Arial" w:cs="Arial"/>
          <w:sz w:val="22"/>
          <w:szCs w:val="22"/>
          <w:lang w:val="en-GB"/>
        </w:rPr>
      </w:pPr>
      <w:r w:rsidRPr="5508FDBE">
        <w:rPr>
          <w:rFonts w:ascii="Arial" w:eastAsia="Arial" w:hAnsi="Arial" w:cs="Arial"/>
          <w:sz w:val="22"/>
          <w:szCs w:val="22"/>
          <w:lang w:val="en-GB"/>
        </w:rPr>
        <w:t>Furthermore, the report will provide evidence-based recommendations for enhancing these initiatives to better align with the targets set forth by the Sustainable Development Goals.</w:t>
      </w:r>
    </w:p>
    <w:p w14:paraId="6DF85E4F" w14:textId="3F4C19C2" w:rsidR="007A12F8" w:rsidRDefault="008C5DB2" w:rsidP="5508FDBE">
      <w:pPr>
        <w:spacing w:line="360" w:lineRule="auto"/>
        <w:rPr>
          <w:rFonts w:ascii="Arial" w:eastAsia="Arial" w:hAnsi="Arial" w:cs="Arial"/>
          <w:sz w:val="22"/>
          <w:szCs w:val="22"/>
          <w:lang w:val="en-GB"/>
        </w:rPr>
      </w:pPr>
      <w:r w:rsidRPr="5508FDBE">
        <w:rPr>
          <w:rFonts w:ascii="Arial" w:eastAsia="Arial" w:hAnsi="Arial" w:cs="Arial"/>
          <w:sz w:val="22"/>
          <w:szCs w:val="22"/>
          <w:lang w:val="en-GB"/>
        </w:rPr>
        <w:t xml:space="preserve">This report will examine health and well-being from global, national, and local perspectives. It will </w:t>
      </w:r>
      <w:r w:rsidR="1C43DA64" w:rsidRPr="5508FDBE">
        <w:rPr>
          <w:rFonts w:ascii="Arial" w:eastAsia="Arial" w:hAnsi="Arial" w:cs="Arial"/>
          <w:sz w:val="22"/>
          <w:szCs w:val="22"/>
          <w:lang w:val="en-GB"/>
        </w:rPr>
        <w:t>analyse</w:t>
      </w:r>
      <w:r w:rsidRPr="5508FDBE">
        <w:rPr>
          <w:rFonts w:ascii="Arial" w:eastAsia="Arial" w:hAnsi="Arial" w:cs="Arial"/>
          <w:sz w:val="22"/>
          <w:szCs w:val="22"/>
          <w:lang w:val="en-GB"/>
        </w:rPr>
        <w:t xml:space="preserve"> the key policies and initiatives implemented at each level to promote health. Additionally, the report will use theoretical frameworks and critical evaluation methods to assess the effectiveness of these strategies. By exploring the relationship between global health policies, national health systems, and </w:t>
      </w:r>
      <w:proofErr w:type="spellStart"/>
      <w:r w:rsidRPr="5508FDBE">
        <w:rPr>
          <w:rFonts w:ascii="Arial" w:eastAsia="Arial" w:hAnsi="Arial" w:cs="Arial"/>
          <w:sz w:val="22"/>
          <w:szCs w:val="22"/>
          <w:lang w:val="en-GB"/>
        </w:rPr>
        <w:t>localized</w:t>
      </w:r>
      <w:proofErr w:type="spellEnd"/>
      <w:r w:rsidRPr="5508FDBE">
        <w:rPr>
          <w:rFonts w:ascii="Arial" w:eastAsia="Arial" w:hAnsi="Arial" w:cs="Arial"/>
          <w:sz w:val="22"/>
          <w:szCs w:val="22"/>
          <w:lang w:val="en-GB"/>
        </w:rPr>
        <w:t xml:space="preserve"> health initiatives, the aim is to provide a comprehensive understanding of how these elements contribute to improving health outcomes and addressing disparities in well-being across different communities.</w:t>
      </w:r>
    </w:p>
    <w:p w14:paraId="4654CF99" w14:textId="215910B1" w:rsidR="00DC7632" w:rsidRDefault="007119BE" w:rsidP="5508FDBE">
      <w:pPr>
        <w:spacing w:line="360" w:lineRule="auto"/>
        <w:rPr>
          <w:rFonts w:ascii="Arial" w:eastAsia="Arial" w:hAnsi="Arial" w:cs="Arial"/>
          <w:sz w:val="22"/>
          <w:szCs w:val="22"/>
          <w:lang w:val="en-GB"/>
        </w:rPr>
      </w:pPr>
      <w:r w:rsidRPr="1E52A072">
        <w:rPr>
          <w:rFonts w:ascii="Arial" w:eastAsia="Arial" w:hAnsi="Arial" w:cs="Arial"/>
          <w:sz w:val="22"/>
          <w:szCs w:val="22"/>
          <w:lang w:val="en-GB"/>
        </w:rPr>
        <w:t xml:space="preserve"> </w:t>
      </w:r>
    </w:p>
    <w:p w14:paraId="23BB0532" w14:textId="59219D97" w:rsidR="1E52A072" w:rsidRDefault="1E52A072" w:rsidP="1E52A072">
      <w:pPr>
        <w:spacing w:line="360" w:lineRule="auto"/>
        <w:rPr>
          <w:rFonts w:ascii="Arial" w:eastAsia="Arial" w:hAnsi="Arial" w:cs="Arial"/>
          <w:sz w:val="22"/>
          <w:szCs w:val="22"/>
          <w:lang w:val="en-GB"/>
        </w:rPr>
      </w:pPr>
    </w:p>
    <w:p w14:paraId="6FA08593" w14:textId="513B6CC1" w:rsidR="21E6EA93" w:rsidRDefault="21E6EA93" w:rsidP="37AB9465">
      <w:pPr>
        <w:spacing w:line="360" w:lineRule="auto"/>
        <w:rPr>
          <w:rFonts w:ascii="Arial" w:eastAsia="Arial" w:hAnsi="Arial" w:cs="Arial"/>
          <w:b/>
          <w:bCs/>
          <w:sz w:val="22"/>
          <w:szCs w:val="22"/>
          <w:lang w:val="en-GB"/>
        </w:rPr>
      </w:pPr>
      <w:r w:rsidRPr="37AB9465">
        <w:rPr>
          <w:rFonts w:ascii="Arial" w:eastAsia="Arial" w:hAnsi="Arial" w:cs="Arial"/>
          <w:b/>
          <w:bCs/>
          <w:sz w:val="22"/>
          <w:szCs w:val="22"/>
          <w:lang w:val="en-GB"/>
        </w:rPr>
        <w:t xml:space="preserve">Sustainable Development Goal 3 </w:t>
      </w:r>
    </w:p>
    <w:p w14:paraId="68649CFB" w14:textId="34AB015F" w:rsidR="21E6EA93" w:rsidRDefault="21E6EA93" w:rsidP="37AB9465">
      <w:pPr>
        <w:spacing w:line="360" w:lineRule="auto"/>
        <w:rPr>
          <w:rFonts w:ascii="Arial" w:eastAsia="Arial" w:hAnsi="Arial" w:cs="Arial"/>
          <w:sz w:val="22"/>
          <w:szCs w:val="22"/>
          <w:lang w:val="en-GB"/>
        </w:rPr>
      </w:pPr>
      <w:r w:rsidRPr="37AB9465">
        <w:rPr>
          <w:rFonts w:ascii="Arial" w:eastAsia="Arial" w:hAnsi="Arial" w:cs="Arial"/>
          <w:sz w:val="22"/>
          <w:szCs w:val="22"/>
          <w:lang w:val="en-GB"/>
        </w:rPr>
        <w:t>Sustainable Development Goal 3 (SDG 3) focuses on ensuring healthy lives and promoting well-being for all individuals of all ages. This goal aims to address various health challenges by reducing the global maternal mortality ratio, ending the epidemics of communicable diseases such as AIDS, tuberculosis, malaria, and neglected tropical diseases, and significantly reducing road injuries and deaths (</w:t>
      </w:r>
      <w:r w:rsidR="1F089E2F" w:rsidRPr="4B141650">
        <w:rPr>
          <w:rFonts w:ascii="Arial" w:eastAsia="Arial" w:hAnsi="Arial" w:cs="Arial"/>
          <w:sz w:val="22"/>
          <w:szCs w:val="22"/>
          <w:lang w:val="en-GB"/>
        </w:rPr>
        <w:t xml:space="preserve">World Health </w:t>
      </w:r>
      <w:proofErr w:type="spellStart"/>
      <w:r w:rsidR="1F089E2F" w:rsidRPr="4B141650">
        <w:rPr>
          <w:rFonts w:ascii="Arial" w:eastAsia="Arial" w:hAnsi="Arial" w:cs="Arial"/>
          <w:sz w:val="22"/>
          <w:szCs w:val="22"/>
          <w:lang w:val="en-GB"/>
        </w:rPr>
        <w:t>Organization</w:t>
      </w:r>
      <w:proofErr w:type="spellEnd"/>
      <w:r w:rsidR="1F089E2F" w:rsidRPr="4B141650">
        <w:rPr>
          <w:rFonts w:ascii="Arial" w:eastAsia="Arial" w:hAnsi="Arial" w:cs="Arial"/>
          <w:sz w:val="22"/>
          <w:szCs w:val="22"/>
          <w:lang w:val="en-GB"/>
        </w:rPr>
        <w:t>, 2022</w:t>
      </w:r>
      <w:r w:rsidRPr="37AB9465">
        <w:rPr>
          <w:rFonts w:ascii="Arial" w:eastAsia="Arial" w:hAnsi="Arial" w:cs="Arial"/>
          <w:sz w:val="22"/>
          <w:szCs w:val="22"/>
          <w:lang w:val="en-GB"/>
        </w:rPr>
        <w:t>). </w:t>
      </w:r>
    </w:p>
    <w:p w14:paraId="6B5702C8" w14:textId="592A32E4" w:rsidR="00F314F7" w:rsidRPr="00C72EE3" w:rsidRDefault="00F314F7" w:rsidP="5508FDBE">
      <w:pPr>
        <w:spacing w:line="360" w:lineRule="auto"/>
        <w:rPr>
          <w:rFonts w:ascii="Arial" w:eastAsia="Arial" w:hAnsi="Arial" w:cs="Arial"/>
          <w:b/>
          <w:bCs/>
          <w:sz w:val="22"/>
          <w:szCs w:val="22"/>
          <w:lang w:val="en-GB"/>
        </w:rPr>
      </w:pPr>
      <w:r w:rsidRPr="00C72EE3">
        <w:rPr>
          <w:rFonts w:ascii="Arial" w:eastAsia="Arial" w:hAnsi="Arial" w:cs="Arial"/>
          <w:b/>
          <w:bCs/>
          <w:sz w:val="22"/>
          <w:szCs w:val="22"/>
          <w:lang w:val="en-GB"/>
        </w:rPr>
        <w:t xml:space="preserve">Global </w:t>
      </w:r>
    </w:p>
    <w:p w14:paraId="3BB36BE9" w14:textId="14D2B78E" w:rsidR="00F314F7" w:rsidRDefault="00F314F7" w:rsidP="19A7FAA1">
      <w:pPr>
        <w:pStyle w:val="p1"/>
        <w:spacing w:line="360" w:lineRule="auto"/>
        <w:rPr>
          <w:rStyle w:val="s1"/>
          <w:rFonts w:ascii="Arial" w:eastAsia="Arial" w:hAnsi="Arial" w:cs="Arial"/>
          <w:sz w:val="22"/>
          <w:szCs w:val="22"/>
          <w:lang w:val="en-GB"/>
        </w:rPr>
      </w:pPr>
      <w:r w:rsidRPr="66BE0AB5">
        <w:rPr>
          <w:rStyle w:val="s1"/>
          <w:rFonts w:ascii="Arial" w:eastAsia="Arial" w:hAnsi="Arial" w:cs="Arial"/>
          <w:sz w:val="22"/>
          <w:szCs w:val="22"/>
          <w:lang w:val="en-GB"/>
        </w:rPr>
        <w:t>Globally, various food programs are designed to improve nutrition and overall health, particularly in vulnerable populations. These initiatives often include supplemental feeding programs that help combat malnutrition, especially among children and pregnant women</w:t>
      </w:r>
      <w:r w:rsidR="4FA90107" w:rsidRPr="66BE0AB5">
        <w:rPr>
          <w:rStyle w:val="s1"/>
          <w:rFonts w:ascii="Arial" w:eastAsia="Arial" w:hAnsi="Arial" w:cs="Arial"/>
          <w:sz w:val="22"/>
          <w:szCs w:val="22"/>
          <w:lang w:val="en-GB"/>
        </w:rPr>
        <w:t xml:space="preserve"> (</w:t>
      </w:r>
      <w:proofErr w:type="spellStart"/>
      <w:r w:rsidR="4FA90107" w:rsidRPr="66BE0AB5">
        <w:rPr>
          <w:rStyle w:val="s1"/>
          <w:rFonts w:ascii="Arial" w:eastAsia="Arial" w:hAnsi="Arial" w:cs="Arial"/>
          <w:sz w:val="22"/>
          <w:szCs w:val="22"/>
          <w:lang w:val="en-GB"/>
        </w:rPr>
        <w:t>Küfeoğlu</w:t>
      </w:r>
      <w:proofErr w:type="spellEnd"/>
      <w:r w:rsidR="4FA90107" w:rsidRPr="66BE0AB5">
        <w:rPr>
          <w:rStyle w:val="s1"/>
          <w:rFonts w:ascii="Arial" w:eastAsia="Arial" w:hAnsi="Arial" w:cs="Arial"/>
          <w:sz w:val="22"/>
          <w:szCs w:val="22"/>
          <w:lang w:val="en-GB"/>
        </w:rPr>
        <w:t>, 2022)</w:t>
      </w:r>
      <w:r w:rsidRPr="66BE0AB5">
        <w:rPr>
          <w:rStyle w:val="s1"/>
          <w:rFonts w:ascii="Arial" w:eastAsia="Arial" w:hAnsi="Arial" w:cs="Arial"/>
          <w:sz w:val="22"/>
          <w:szCs w:val="22"/>
          <w:lang w:val="en-GB"/>
        </w:rPr>
        <w:t>. In addition to nutrition, there are extensive medication programs aimed at treating common diseases and improving health outcomes</w:t>
      </w:r>
      <w:r w:rsidR="43F58BCD" w:rsidRPr="66BE0AB5">
        <w:rPr>
          <w:rStyle w:val="s1"/>
          <w:rFonts w:ascii="Arial" w:eastAsia="Arial" w:hAnsi="Arial" w:cs="Arial"/>
          <w:sz w:val="22"/>
          <w:szCs w:val="22"/>
          <w:lang w:val="en-GB"/>
        </w:rPr>
        <w:t xml:space="preserve"> (</w:t>
      </w:r>
      <w:proofErr w:type="spellStart"/>
      <w:r w:rsidR="43F58BCD" w:rsidRPr="66BE0AB5">
        <w:rPr>
          <w:rStyle w:val="s1"/>
          <w:rFonts w:ascii="Arial" w:eastAsia="Arial" w:hAnsi="Arial" w:cs="Arial"/>
          <w:sz w:val="22"/>
          <w:szCs w:val="22"/>
          <w:lang w:val="en-GB"/>
        </w:rPr>
        <w:t>Sweileh</w:t>
      </w:r>
      <w:proofErr w:type="spellEnd"/>
      <w:r w:rsidR="43F58BCD" w:rsidRPr="66BE0AB5">
        <w:rPr>
          <w:rStyle w:val="s1"/>
          <w:rFonts w:ascii="Arial" w:eastAsia="Arial" w:hAnsi="Arial" w:cs="Arial"/>
          <w:sz w:val="22"/>
          <w:szCs w:val="22"/>
          <w:lang w:val="en-GB"/>
        </w:rPr>
        <w:t>, 2020)</w:t>
      </w:r>
      <w:r w:rsidRPr="66BE0AB5">
        <w:rPr>
          <w:rStyle w:val="s1"/>
          <w:rFonts w:ascii="Arial" w:eastAsia="Arial" w:hAnsi="Arial" w:cs="Arial"/>
          <w:sz w:val="22"/>
          <w:szCs w:val="22"/>
          <w:lang w:val="en-GB"/>
        </w:rPr>
        <w:t>.</w:t>
      </w:r>
    </w:p>
    <w:p w14:paraId="3CA666C6" w14:textId="4E444829" w:rsidR="00F314F7" w:rsidRDefault="00F314F7" w:rsidP="1BC6F415">
      <w:pPr>
        <w:pStyle w:val="p1"/>
        <w:spacing w:line="360" w:lineRule="auto"/>
        <w:rPr>
          <w:rStyle w:val="s1"/>
          <w:rFonts w:ascii="Arial" w:eastAsia="Arial" w:hAnsi="Arial" w:cs="Arial"/>
          <w:sz w:val="22"/>
          <w:szCs w:val="22"/>
        </w:rPr>
      </w:pPr>
      <w:r w:rsidRPr="4F2CCD71">
        <w:rPr>
          <w:rStyle w:val="s1"/>
          <w:rFonts w:ascii="Arial" w:eastAsia="Arial" w:hAnsi="Arial" w:cs="Arial"/>
          <w:sz w:val="22"/>
          <w:szCs w:val="22"/>
        </w:rPr>
        <w:t>One of the critical components of these efforts is the vaccination of children, which is essential for preventing outbreaks of preventable diseases such as measles, polio, and hepatitis</w:t>
      </w:r>
      <w:r w:rsidR="2465C040" w:rsidRPr="2FB7DF1D">
        <w:rPr>
          <w:rStyle w:val="s1"/>
          <w:rFonts w:ascii="Arial" w:eastAsia="Arial" w:hAnsi="Arial" w:cs="Arial"/>
          <w:sz w:val="22"/>
          <w:szCs w:val="22"/>
        </w:rPr>
        <w:t xml:space="preserve"> (</w:t>
      </w:r>
      <w:proofErr w:type="spellStart"/>
      <w:r w:rsidR="2465C040" w:rsidRPr="2FB7DF1D">
        <w:rPr>
          <w:rStyle w:val="s1"/>
          <w:rFonts w:ascii="Arial" w:eastAsia="Arial" w:hAnsi="Arial" w:cs="Arial"/>
          <w:sz w:val="22"/>
          <w:szCs w:val="22"/>
        </w:rPr>
        <w:t>Guégan</w:t>
      </w:r>
      <w:proofErr w:type="spellEnd"/>
      <w:r w:rsidR="2465C040" w:rsidRPr="2FB7DF1D">
        <w:rPr>
          <w:rStyle w:val="s1"/>
          <w:rFonts w:ascii="Arial" w:eastAsia="Arial" w:hAnsi="Arial" w:cs="Arial"/>
          <w:sz w:val="22"/>
          <w:szCs w:val="22"/>
        </w:rPr>
        <w:t xml:space="preserve"> et al., 2018)</w:t>
      </w:r>
      <w:r w:rsidRPr="2FB7DF1D">
        <w:rPr>
          <w:rStyle w:val="s1"/>
          <w:rFonts w:ascii="Arial" w:eastAsia="Arial" w:hAnsi="Arial" w:cs="Arial"/>
          <w:sz w:val="22"/>
          <w:szCs w:val="22"/>
        </w:rPr>
        <w:t>.</w:t>
      </w:r>
      <w:r w:rsidRPr="4F2CCD71">
        <w:rPr>
          <w:rStyle w:val="s1"/>
          <w:rFonts w:ascii="Arial" w:eastAsia="Arial" w:hAnsi="Arial" w:cs="Arial"/>
          <w:sz w:val="22"/>
          <w:szCs w:val="22"/>
        </w:rPr>
        <w:t xml:space="preserve"> Immunization campaigns have significantly reduced child mortality rates in many regions</w:t>
      </w:r>
      <w:r w:rsidR="3DD24BF6" w:rsidRPr="4F2CCD71">
        <w:rPr>
          <w:rStyle w:val="s1"/>
          <w:rFonts w:ascii="Arial" w:eastAsia="Arial" w:hAnsi="Arial" w:cs="Arial"/>
          <w:sz w:val="22"/>
          <w:szCs w:val="22"/>
        </w:rPr>
        <w:t xml:space="preserve"> (</w:t>
      </w:r>
      <w:proofErr w:type="spellStart"/>
      <w:r w:rsidR="3DD24BF6" w:rsidRPr="4F2CCD71">
        <w:rPr>
          <w:rStyle w:val="s1"/>
          <w:rFonts w:ascii="Arial" w:eastAsia="Arial" w:hAnsi="Arial" w:cs="Arial"/>
          <w:sz w:val="22"/>
          <w:szCs w:val="22"/>
        </w:rPr>
        <w:t>Decouttere</w:t>
      </w:r>
      <w:proofErr w:type="spellEnd"/>
      <w:r w:rsidR="3DD24BF6" w:rsidRPr="4F2CCD71">
        <w:rPr>
          <w:rStyle w:val="s1"/>
          <w:rFonts w:ascii="Arial" w:eastAsia="Arial" w:hAnsi="Arial" w:cs="Arial"/>
          <w:sz w:val="22"/>
          <w:szCs w:val="22"/>
        </w:rPr>
        <w:t xml:space="preserve">, De </w:t>
      </w:r>
      <w:proofErr w:type="spellStart"/>
      <w:r w:rsidR="3DD24BF6" w:rsidRPr="4F2CCD71">
        <w:rPr>
          <w:rStyle w:val="s1"/>
          <w:rFonts w:ascii="Arial" w:eastAsia="Arial" w:hAnsi="Arial" w:cs="Arial"/>
          <w:sz w:val="22"/>
          <w:szCs w:val="22"/>
        </w:rPr>
        <w:t>Boeck</w:t>
      </w:r>
      <w:proofErr w:type="spellEnd"/>
      <w:r w:rsidR="3DD24BF6" w:rsidRPr="4F2CCD71">
        <w:rPr>
          <w:rStyle w:val="s1"/>
          <w:rFonts w:ascii="Arial" w:eastAsia="Arial" w:hAnsi="Arial" w:cs="Arial"/>
          <w:sz w:val="22"/>
          <w:szCs w:val="22"/>
        </w:rPr>
        <w:t xml:space="preserve"> and </w:t>
      </w:r>
      <w:proofErr w:type="spellStart"/>
      <w:r w:rsidR="3DD24BF6" w:rsidRPr="4F2CCD71">
        <w:rPr>
          <w:rStyle w:val="s1"/>
          <w:rFonts w:ascii="Arial" w:eastAsia="Arial" w:hAnsi="Arial" w:cs="Arial"/>
          <w:sz w:val="22"/>
          <w:szCs w:val="22"/>
        </w:rPr>
        <w:t>Vandaele</w:t>
      </w:r>
      <w:proofErr w:type="spellEnd"/>
      <w:r w:rsidR="3DD24BF6" w:rsidRPr="4F2CCD71">
        <w:rPr>
          <w:rStyle w:val="s1"/>
          <w:rFonts w:ascii="Arial" w:eastAsia="Arial" w:hAnsi="Arial" w:cs="Arial"/>
          <w:sz w:val="22"/>
          <w:szCs w:val="22"/>
        </w:rPr>
        <w:t>, 2021)</w:t>
      </w:r>
      <w:r w:rsidRPr="4F2CCD71">
        <w:rPr>
          <w:rStyle w:val="s1"/>
          <w:rFonts w:ascii="Arial" w:eastAsia="Arial" w:hAnsi="Arial" w:cs="Arial"/>
          <w:sz w:val="22"/>
          <w:szCs w:val="22"/>
        </w:rPr>
        <w:t>. For instance, global data reveals that hundreds of millions of vaccinations are administered yearly, contributing to the achievement of SDG 3 targets.</w:t>
      </w:r>
      <w:r w:rsidR="4A53400A" w:rsidRPr="4F2CCD71">
        <w:rPr>
          <w:rStyle w:val="s1"/>
          <w:rFonts w:ascii="Arial" w:eastAsia="Arial" w:hAnsi="Arial" w:cs="Arial"/>
          <w:sz w:val="22"/>
          <w:szCs w:val="22"/>
        </w:rPr>
        <w:t xml:space="preserve"> (</w:t>
      </w:r>
      <w:proofErr w:type="spellStart"/>
      <w:r w:rsidR="4A53400A" w:rsidRPr="4F2CCD71">
        <w:rPr>
          <w:rStyle w:val="s1"/>
          <w:rFonts w:ascii="Arial" w:eastAsia="Arial" w:hAnsi="Arial" w:cs="Arial"/>
          <w:sz w:val="22"/>
          <w:szCs w:val="22"/>
        </w:rPr>
        <w:t>Olalekan</w:t>
      </w:r>
      <w:proofErr w:type="spellEnd"/>
      <w:r w:rsidR="4A53400A" w:rsidRPr="4F2CCD71">
        <w:rPr>
          <w:rStyle w:val="s1"/>
          <w:rFonts w:ascii="Arial" w:eastAsia="Arial" w:hAnsi="Arial" w:cs="Arial"/>
          <w:sz w:val="22"/>
          <w:szCs w:val="22"/>
        </w:rPr>
        <w:t xml:space="preserve"> John </w:t>
      </w:r>
      <w:proofErr w:type="spellStart"/>
      <w:r w:rsidR="4A53400A" w:rsidRPr="4F2CCD71">
        <w:rPr>
          <w:rStyle w:val="s1"/>
          <w:rFonts w:ascii="Arial" w:eastAsia="Arial" w:hAnsi="Arial" w:cs="Arial"/>
          <w:sz w:val="22"/>
          <w:szCs w:val="22"/>
        </w:rPr>
        <w:t>Okesanya</w:t>
      </w:r>
      <w:proofErr w:type="spellEnd"/>
      <w:r w:rsidR="4A53400A" w:rsidRPr="4F2CCD71">
        <w:rPr>
          <w:rStyle w:val="s1"/>
          <w:rFonts w:ascii="Arial" w:eastAsia="Arial" w:hAnsi="Arial" w:cs="Arial"/>
          <w:sz w:val="22"/>
          <w:szCs w:val="22"/>
        </w:rPr>
        <w:t xml:space="preserve"> et al., 2024) </w:t>
      </w:r>
    </w:p>
    <w:p w14:paraId="5BB7FB6D" w14:textId="3267E581" w:rsidR="00F314F7" w:rsidRPr="00446FA4" w:rsidRDefault="00F12978" w:rsidP="5508FDBE">
      <w:pPr>
        <w:spacing w:line="360" w:lineRule="auto"/>
        <w:rPr>
          <w:rFonts w:ascii="Arial" w:eastAsia="Arial" w:hAnsi="Arial" w:cs="Arial"/>
          <w:b/>
          <w:bCs/>
          <w:sz w:val="22"/>
          <w:szCs w:val="22"/>
          <w:lang w:val="en-GB"/>
        </w:rPr>
      </w:pPr>
      <w:r w:rsidRPr="00446FA4">
        <w:rPr>
          <w:rFonts w:ascii="Arial" w:eastAsia="Arial" w:hAnsi="Arial" w:cs="Arial"/>
          <w:b/>
          <w:bCs/>
          <w:sz w:val="22"/>
          <w:szCs w:val="22"/>
          <w:lang w:val="en-GB"/>
        </w:rPr>
        <w:t>Nat</w:t>
      </w:r>
      <w:r w:rsidR="00F339A3" w:rsidRPr="00446FA4">
        <w:rPr>
          <w:rFonts w:ascii="Arial" w:eastAsia="Arial" w:hAnsi="Arial" w:cs="Arial"/>
          <w:b/>
          <w:bCs/>
          <w:sz w:val="22"/>
          <w:szCs w:val="22"/>
          <w:lang w:val="en-GB"/>
        </w:rPr>
        <w:t xml:space="preserve">ional </w:t>
      </w:r>
    </w:p>
    <w:p w14:paraId="3E4E8CD5" w14:textId="72E5C714" w:rsidR="00446FA4" w:rsidRPr="00446FA4" w:rsidRDefault="00446FA4" w:rsidP="29A60AE1">
      <w:pPr>
        <w:spacing w:line="360" w:lineRule="auto"/>
        <w:rPr>
          <w:rFonts w:ascii="Arial" w:eastAsia="Arial" w:hAnsi="Arial" w:cs="Arial"/>
          <w:sz w:val="22"/>
          <w:szCs w:val="22"/>
          <w:lang w:val="en-GB"/>
        </w:rPr>
      </w:pPr>
      <w:r w:rsidRPr="00446FA4">
        <w:rPr>
          <w:rFonts w:ascii="Arial" w:eastAsia="Arial" w:hAnsi="Arial" w:cs="Arial"/>
          <w:sz w:val="22"/>
          <w:szCs w:val="22"/>
          <w:lang w:val="en-GB"/>
        </w:rPr>
        <w:t>In the United Kingdom, the National Health Service (NHS) offers a program known as NHS Health Checks.These checks are comprehensive health assessments designed for adults aged 40 to 74, aimed at identifying potential health risks before they develop into serious conditions</w:t>
      </w:r>
      <w:r w:rsidR="01C251C7" w:rsidRPr="38D10C61">
        <w:rPr>
          <w:rFonts w:ascii="Arial" w:eastAsia="Arial" w:hAnsi="Arial" w:cs="Arial"/>
          <w:sz w:val="22"/>
          <w:szCs w:val="22"/>
          <w:lang w:val="en-GB"/>
        </w:rPr>
        <w:t xml:space="preserve"> (UK Government, 2019)</w:t>
      </w:r>
      <w:r w:rsidRPr="38D10C61">
        <w:rPr>
          <w:rFonts w:ascii="Arial" w:eastAsia="Arial" w:hAnsi="Arial" w:cs="Arial"/>
          <w:sz w:val="22"/>
          <w:szCs w:val="22"/>
          <w:lang w:val="en-GB"/>
        </w:rPr>
        <w:t>.</w:t>
      </w:r>
      <w:r w:rsidRPr="00446FA4">
        <w:rPr>
          <w:rFonts w:ascii="Arial" w:eastAsia="Arial" w:hAnsi="Arial" w:cs="Arial"/>
          <w:sz w:val="22"/>
          <w:szCs w:val="22"/>
          <w:lang w:val="en-GB"/>
        </w:rPr>
        <w:t xml:space="preserve"> </w:t>
      </w:r>
    </w:p>
    <w:p w14:paraId="22CCEB82" w14:textId="01B1226E" w:rsidR="00446FA4" w:rsidRPr="00446FA4" w:rsidRDefault="00446FA4" w:rsidP="4F2CCD71">
      <w:pPr>
        <w:spacing w:line="360" w:lineRule="auto"/>
        <w:rPr>
          <w:rFonts w:ascii="Arial" w:eastAsia="Arial" w:hAnsi="Arial" w:cs="Arial"/>
          <w:sz w:val="22"/>
          <w:szCs w:val="22"/>
        </w:rPr>
      </w:pPr>
      <w:r w:rsidRPr="1E52A072">
        <w:rPr>
          <w:rFonts w:ascii="Arial" w:eastAsia="Arial" w:hAnsi="Arial" w:cs="Arial"/>
          <w:sz w:val="22"/>
          <w:szCs w:val="22"/>
        </w:rPr>
        <w:t>The NHS Health Checks typically include measurements of height, weight, blood pressure, cholesterol levels, and assessments of lifestyle factors such as smoking, alcohol consumption, and physical activity</w:t>
      </w:r>
      <w:r w:rsidR="6494222D" w:rsidRPr="1E52A072">
        <w:rPr>
          <w:rFonts w:ascii="Arial" w:eastAsia="Arial" w:hAnsi="Arial" w:cs="Arial"/>
          <w:sz w:val="22"/>
          <w:szCs w:val="22"/>
        </w:rPr>
        <w:t xml:space="preserve"> (GOV.UK, 2021)</w:t>
      </w:r>
      <w:r w:rsidRPr="1E52A072">
        <w:rPr>
          <w:rFonts w:ascii="Arial" w:eastAsia="Arial" w:hAnsi="Arial" w:cs="Arial"/>
          <w:sz w:val="22"/>
          <w:szCs w:val="22"/>
        </w:rPr>
        <w:t>. By providing this proactive approach to health care, the</w:t>
      </w:r>
      <w:r w:rsidR="615A1CB3" w:rsidRPr="1E52A072">
        <w:rPr>
          <w:rFonts w:ascii="Arial" w:eastAsia="Arial" w:hAnsi="Arial" w:cs="Arial"/>
          <w:sz w:val="22"/>
          <w:szCs w:val="22"/>
        </w:rPr>
        <w:t xml:space="preserve"> </w:t>
      </w:r>
      <w:r w:rsidRPr="1E52A072">
        <w:rPr>
          <w:rFonts w:ascii="Arial" w:eastAsia="Arial" w:hAnsi="Arial" w:cs="Arial"/>
          <w:sz w:val="22"/>
          <w:szCs w:val="22"/>
        </w:rPr>
        <w:t>program empowers individuals to take charge of their well-being and encourages preventive measures that can lead to healthier lifestyles</w:t>
      </w:r>
      <w:r w:rsidR="0EF82D68" w:rsidRPr="1E52A072">
        <w:rPr>
          <w:rFonts w:ascii="Arial" w:eastAsia="Arial" w:hAnsi="Arial" w:cs="Arial"/>
          <w:sz w:val="22"/>
          <w:szCs w:val="22"/>
        </w:rPr>
        <w:t xml:space="preserve"> </w:t>
      </w:r>
      <w:r w:rsidR="0EF82D68" w:rsidRPr="1E52A072">
        <w:rPr>
          <w:rFonts w:ascii="Arial" w:eastAsia="Arial" w:hAnsi="Arial" w:cs="Arial"/>
          <w:color w:val="2C3E50"/>
          <w:sz w:val="22"/>
          <w:szCs w:val="22"/>
        </w:rPr>
        <w:t>(</w:t>
      </w:r>
      <w:r w:rsidR="314E8C89" w:rsidRPr="1E52A072">
        <w:rPr>
          <w:rFonts w:ascii="Arial" w:eastAsia="Arial" w:hAnsi="Arial" w:cs="Arial"/>
          <w:color w:val="2C3E50"/>
          <w:sz w:val="22"/>
          <w:szCs w:val="22"/>
        </w:rPr>
        <w:t>Office</w:t>
      </w:r>
      <w:r w:rsidR="0EF82D68" w:rsidRPr="1E52A072">
        <w:rPr>
          <w:rFonts w:ascii="Arial" w:eastAsia="Arial" w:hAnsi="Arial" w:cs="Arial"/>
          <w:color w:val="2C3E50"/>
          <w:sz w:val="22"/>
          <w:szCs w:val="22"/>
        </w:rPr>
        <w:t>, 2021</w:t>
      </w:r>
      <w:r w:rsidR="314E8C89" w:rsidRPr="1E52A072">
        <w:rPr>
          <w:rFonts w:ascii="Arial" w:eastAsia="Arial" w:hAnsi="Arial" w:cs="Arial"/>
          <w:color w:val="2C3E50"/>
          <w:sz w:val="22"/>
          <w:szCs w:val="22"/>
        </w:rPr>
        <w:t>)</w:t>
      </w:r>
    </w:p>
    <w:p w14:paraId="33CA0F35" w14:textId="24BA9DED" w:rsidR="1E52A072" w:rsidRDefault="1E52A072" w:rsidP="1E52A072">
      <w:pPr>
        <w:spacing w:line="360" w:lineRule="auto"/>
        <w:rPr>
          <w:rFonts w:ascii="Arial" w:eastAsia="Arial" w:hAnsi="Arial" w:cs="Arial"/>
          <w:b/>
          <w:bCs/>
          <w:color w:val="2C3E50"/>
          <w:sz w:val="22"/>
          <w:szCs w:val="22"/>
          <w:lang w:val="en-GB"/>
        </w:rPr>
      </w:pPr>
    </w:p>
    <w:p w14:paraId="4BF844F9" w14:textId="5E24FDCA" w:rsidR="1E52A072" w:rsidRDefault="1E52A072" w:rsidP="1E52A072">
      <w:pPr>
        <w:spacing w:line="360" w:lineRule="auto"/>
        <w:rPr>
          <w:rFonts w:ascii="Arial" w:eastAsia="Arial" w:hAnsi="Arial" w:cs="Arial"/>
          <w:b/>
          <w:bCs/>
          <w:color w:val="2C3E50"/>
          <w:sz w:val="22"/>
          <w:szCs w:val="22"/>
          <w:lang w:val="en-GB"/>
        </w:rPr>
      </w:pPr>
    </w:p>
    <w:p w14:paraId="5375282E" w14:textId="453EE4D7" w:rsidR="4F2CCD71" w:rsidRDefault="607A15E3" w:rsidP="1E52A072">
      <w:pPr>
        <w:spacing w:line="360" w:lineRule="auto"/>
        <w:rPr>
          <w:rFonts w:ascii="Arial" w:eastAsia="Arial" w:hAnsi="Arial" w:cs="Arial"/>
          <w:sz w:val="22"/>
          <w:szCs w:val="22"/>
          <w:lang w:val="en-GB"/>
        </w:rPr>
      </w:pPr>
      <w:r w:rsidRPr="1E52A072">
        <w:rPr>
          <w:rFonts w:ascii="Arial" w:eastAsia="Arial" w:hAnsi="Arial" w:cs="Arial"/>
          <w:b/>
          <w:bCs/>
          <w:color w:val="2C3E50"/>
          <w:sz w:val="22"/>
          <w:szCs w:val="22"/>
          <w:lang w:val="en-GB"/>
        </w:rPr>
        <w:t>Evaluation</w:t>
      </w:r>
      <w:proofErr w:type="spellStart"/>
    </w:p>
    <w:p w14:paraId="6029C505" w14:textId="2B575453" w:rsidR="4F2CCD71" w:rsidRDefault="00BF5C01" w:rsidP="4F2CCD71">
      <w:pPr>
        <w:spacing w:line="360" w:lineRule="auto"/>
        <w:rPr>
          <w:rFonts w:ascii="Arial" w:eastAsia="Arial" w:hAnsi="Arial" w:cs="Arial"/>
          <w:sz w:val="22"/>
          <w:szCs w:val="22"/>
          <w:lang w:val="en-GB"/>
        </w:rPr>
      </w:pPr>
      <w:r w:rsidRPr="1E52A072">
        <w:rPr>
          <w:rFonts w:ascii="Arial" w:eastAsia="Arial" w:hAnsi="Arial" w:cs="Arial"/>
          <w:sz w:val="22"/>
          <w:szCs w:val="22"/>
          <w:lang w:val="en-GB"/>
        </w:rPr>
        <w:t>The evaluation of Sustainable Development Goal 3 focuses on ensuring healthy lives and promoting well-being for all individuals at various stages of life. This evaluation assesses the progress made by countries in reducing maternal mortality, combating communicable diseases, and addressing mental health and well-being</w:t>
      </w:r>
      <w:r w:rsidR="7447858E" w:rsidRPr="1E52A072">
        <w:rPr>
          <w:rFonts w:ascii="Arial" w:eastAsia="Arial" w:hAnsi="Arial" w:cs="Arial"/>
          <w:sz w:val="22"/>
          <w:szCs w:val="22"/>
          <w:lang w:val="en-GB"/>
        </w:rPr>
        <w:t xml:space="preserve"> (D’Errico, 2017)</w:t>
      </w:r>
      <w:r w:rsidRPr="1E52A072">
        <w:rPr>
          <w:rFonts w:ascii="Arial" w:eastAsia="Arial" w:hAnsi="Arial" w:cs="Arial"/>
          <w:sz w:val="22"/>
          <w:szCs w:val="22"/>
          <w:lang w:val="en-GB"/>
        </w:rPr>
        <w:t>. It also examines the effectiveness of health systems, access to essential health services, and the availability of vaccines and medicines</w:t>
      </w:r>
      <w:r w:rsidR="5D6B8709" w:rsidRPr="1E52A072">
        <w:rPr>
          <w:rFonts w:ascii="Arial" w:eastAsia="Arial" w:hAnsi="Arial" w:cs="Arial"/>
          <w:sz w:val="22"/>
          <w:szCs w:val="22"/>
          <w:lang w:val="en-GB"/>
        </w:rPr>
        <w:t xml:space="preserve"> (Lee, Park and Kim, 2019)</w:t>
      </w:r>
      <w:r w:rsidRPr="1E52A072">
        <w:rPr>
          <w:rFonts w:ascii="Arial" w:eastAsia="Arial" w:hAnsi="Arial" w:cs="Arial"/>
          <w:sz w:val="22"/>
          <w:szCs w:val="22"/>
          <w:lang w:val="en-GB"/>
        </w:rPr>
        <w:t xml:space="preserve">. </w:t>
      </w:r>
      <w:r w:rsidR="23A2FEBF" w:rsidRPr="1E52A072">
        <w:rPr>
          <w:rFonts w:ascii="Arial" w:eastAsia="Arial" w:hAnsi="Arial" w:cs="Arial"/>
          <w:sz w:val="22"/>
          <w:szCs w:val="22"/>
          <w:lang w:val="en-GB"/>
        </w:rPr>
        <w:t>According to Lakioti et al., (2025)</w:t>
      </w:r>
      <w:r w:rsidRPr="1E52A072">
        <w:rPr>
          <w:rFonts w:ascii="Arial" w:eastAsia="Arial" w:hAnsi="Arial" w:cs="Arial"/>
          <w:sz w:val="22"/>
          <w:szCs w:val="22"/>
          <w:lang w:val="en-GB"/>
        </w:rPr>
        <w:t xml:space="preserve"> the evaluation </w:t>
      </w:r>
      <w:r w:rsidR="5A823C87" w:rsidRPr="1E52A072">
        <w:rPr>
          <w:rFonts w:ascii="Arial" w:eastAsia="Arial" w:hAnsi="Arial" w:cs="Arial"/>
          <w:sz w:val="22"/>
          <w:szCs w:val="22"/>
          <w:lang w:val="en-GB"/>
        </w:rPr>
        <w:t>analyses</w:t>
      </w:r>
      <w:r w:rsidRPr="1E52A072">
        <w:rPr>
          <w:rFonts w:ascii="Arial" w:eastAsia="Arial" w:hAnsi="Arial" w:cs="Arial"/>
          <w:sz w:val="22"/>
          <w:szCs w:val="22"/>
          <w:lang w:val="en-GB"/>
        </w:rPr>
        <w:t xml:space="preserve"> the impact of socio-economic factors on health outcomes and identifies best practices for enhancing health equity and improving overall public health policies. Through this comprehensive assessment, countries can better understand challenges, track improvements, and carve pathways for future advancements in health and well-being.</w:t>
      </w:r>
    </w:p>
    <w:p w14:paraId="5DDA9EE0" w14:textId="50ED43CD" w:rsidR="00F339A3" w:rsidRDefault="00446FA4" w:rsidP="5508FDBE">
      <w:pPr>
        <w:spacing w:line="360" w:lineRule="auto"/>
        <w:rPr>
          <w:rFonts w:ascii="Arial" w:eastAsia="Arial" w:hAnsi="Arial" w:cs="Arial"/>
          <w:sz w:val="22"/>
          <w:szCs w:val="22"/>
          <w:lang w:val="en-GB"/>
        </w:rPr>
      </w:pPr>
      <w:r w:rsidRPr="00446FA4">
        <w:rPr>
          <w:rFonts w:ascii="Arial" w:eastAsia="Arial" w:hAnsi="Arial" w:cs="Arial"/>
          <w:sz w:val="22"/>
          <w:szCs w:val="22"/>
          <w:lang w:val="en-GB"/>
        </w:rPr>
        <w:t>Through early detection of risk factors like high blood pressure or diabetes, the NHS Health Checks contribute significantly to reducing the incidence of more severe health problems in the future</w:t>
      </w:r>
      <w:r w:rsidR="3FCC9B36" w:rsidRPr="66BE0AB5">
        <w:rPr>
          <w:rFonts w:ascii="Arial" w:eastAsia="Arial" w:hAnsi="Arial" w:cs="Arial"/>
          <w:sz w:val="22"/>
          <w:szCs w:val="22"/>
          <w:lang w:val="en-GB"/>
        </w:rPr>
        <w:t xml:space="preserve"> (Thomas and Sloggett, 2022)</w:t>
      </w:r>
      <w:r w:rsidRPr="66BE0AB5">
        <w:rPr>
          <w:rFonts w:ascii="Arial" w:eastAsia="Arial" w:hAnsi="Arial" w:cs="Arial"/>
          <w:sz w:val="22"/>
          <w:szCs w:val="22"/>
          <w:lang w:val="en-GB"/>
        </w:rPr>
        <w:t>.</w:t>
      </w:r>
      <w:r w:rsidRPr="00446FA4">
        <w:rPr>
          <w:rFonts w:ascii="Arial" w:eastAsia="Arial" w:hAnsi="Arial" w:cs="Arial"/>
          <w:sz w:val="22"/>
          <w:szCs w:val="22"/>
          <w:lang w:val="en-GB"/>
        </w:rPr>
        <w:t xml:space="preserve"> </w:t>
      </w:r>
    </w:p>
    <w:p w14:paraId="4CF74F33" w14:textId="653F1B98" w:rsidR="00244BBC" w:rsidRPr="002023E1" w:rsidRDefault="00E30605" w:rsidP="5508FDBE">
      <w:pPr>
        <w:spacing w:line="360" w:lineRule="auto"/>
        <w:rPr>
          <w:rFonts w:ascii="Arial" w:eastAsia="Arial" w:hAnsi="Arial" w:cs="Arial"/>
          <w:b/>
          <w:sz w:val="22"/>
          <w:szCs w:val="22"/>
          <w:lang w:val="en-GB"/>
        </w:rPr>
      </w:pPr>
      <w:r w:rsidRPr="76A5D6B0">
        <w:rPr>
          <w:rFonts w:ascii="Arial" w:eastAsia="Arial" w:hAnsi="Arial" w:cs="Arial"/>
          <w:b/>
          <w:sz w:val="22"/>
          <w:szCs w:val="22"/>
          <w:lang w:val="en-GB"/>
        </w:rPr>
        <w:t>L</w:t>
      </w:r>
      <w:r w:rsidR="001E25AB" w:rsidRPr="76A5D6B0">
        <w:rPr>
          <w:rFonts w:ascii="Arial" w:eastAsia="Arial" w:hAnsi="Arial" w:cs="Arial"/>
          <w:b/>
          <w:sz w:val="22"/>
          <w:szCs w:val="22"/>
          <w:lang w:val="en-GB"/>
        </w:rPr>
        <w:t xml:space="preserve">ocal </w:t>
      </w:r>
      <w:r w:rsidR="0060463E" w:rsidRPr="76A5D6B0">
        <w:rPr>
          <w:rFonts w:ascii="Arial" w:eastAsia="Arial" w:hAnsi="Arial" w:cs="Arial"/>
          <w:b/>
          <w:sz w:val="22"/>
          <w:szCs w:val="22"/>
          <w:lang w:val="en-GB"/>
        </w:rPr>
        <w:t>Policie</w:t>
      </w:r>
      <w:r w:rsidR="000E589E" w:rsidRPr="76A5D6B0">
        <w:rPr>
          <w:rFonts w:ascii="Arial" w:eastAsia="Arial" w:hAnsi="Arial" w:cs="Arial"/>
          <w:b/>
          <w:sz w:val="22"/>
          <w:szCs w:val="22"/>
          <w:lang w:val="en-GB"/>
        </w:rPr>
        <w:t xml:space="preserve">s </w:t>
      </w:r>
      <w:r w:rsidR="00733514" w:rsidRPr="76A5D6B0">
        <w:rPr>
          <w:rFonts w:ascii="Arial" w:eastAsia="Arial" w:hAnsi="Arial" w:cs="Arial"/>
          <w:b/>
          <w:sz w:val="22"/>
          <w:szCs w:val="22"/>
          <w:lang w:val="en-GB"/>
        </w:rPr>
        <w:t xml:space="preserve">and </w:t>
      </w:r>
      <w:r w:rsidR="00E1695A" w:rsidRPr="76A5D6B0">
        <w:rPr>
          <w:rFonts w:ascii="Arial" w:eastAsia="Arial" w:hAnsi="Arial" w:cs="Arial"/>
          <w:b/>
          <w:sz w:val="22"/>
          <w:szCs w:val="22"/>
          <w:lang w:val="en-GB"/>
        </w:rPr>
        <w:t>I</w:t>
      </w:r>
      <w:r w:rsidR="00733514" w:rsidRPr="76A5D6B0">
        <w:rPr>
          <w:rFonts w:ascii="Arial" w:eastAsia="Arial" w:hAnsi="Arial" w:cs="Arial"/>
          <w:b/>
          <w:sz w:val="22"/>
          <w:szCs w:val="22"/>
          <w:lang w:val="en-GB"/>
        </w:rPr>
        <w:t>nitia</w:t>
      </w:r>
      <w:r w:rsidR="000D216E" w:rsidRPr="76A5D6B0">
        <w:rPr>
          <w:rFonts w:ascii="Arial" w:eastAsia="Arial" w:hAnsi="Arial" w:cs="Arial"/>
          <w:b/>
          <w:sz w:val="22"/>
          <w:szCs w:val="22"/>
          <w:lang w:val="en-GB"/>
        </w:rPr>
        <w:t xml:space="preserve">tives </w:t>
      </w:r>
      <w:r w:rsidR="001E25AB" w:rsidRPr="76A5D6B0">
        <w:rPr>
          <w:rFonts w:ascii="Arial" w:eastAsia="Arial" w:hAnsi="Arial" w:cs="Arial"/>
          <w:b/>
          <w:sz w:val="22"/>
          <w:szCs w:val="22"/>
          <w:lang w:val="en-GB"/>
        </w:rPr>
        <w:t xml:space="preserve"> </w:t>
      </w:r>
    </w:p>
    <w:p w14:paraId="2E07776A" w14:textId="338E4695" w:rsidR="002C39DA" w:rsidRDefault="002C39DA" w:rsidP="00244BBC">
      <w:pPr>
        <w:spacing w:line="360" w:lineRule="auto"/>
        <w:rPr>
          <w:rFonts w:ascii="Arial" w:eastAsia="Arial" w:hAnsi="Arial" w:cs="Arial"/>
          <w:sz w:val="22"/>
          <w:szCs w:val="22"/>
          <w:lang w:val="en-GB"/>
        </w:rPr>
      </w:pPr>
      <w:r w:rsidRPr="5A9B0E81">
        <w:rPr>
          <w:rFonts w:ascii="Arial" w:eastAsia="Arial" w:hAnsi="Arial" w:cs="Arial"/>
          <w:sz w:val="22"/>
          <w:szCs w:val="22"/>
          <w:lang w:val="en-GB"/>
        </w:rPr>
        <w:t>Local policies and initiatives focusing on health and well-being have gained significant traction in Birmingham, reflecting a strong commitment to public health improvement. The Birmingham City Council is actively implementing a diverse range of programs aimed at enhancing health outcomes and promoting the overall well-being of its residents</w:t>
      </w:r>
      <w:r w:rsidR="45A2C4AB" w:rsidRPr="66BE0AB5">
        <w:rPr>
          <w:rFonts w:ascii="Arial" w:eastAsia="Arial" w:hAnsi="Arial" w:cs="Arial"/>
          <w:sz w:val="22"/>
          <w:szCs w:val="22"/>
          <w:lang w:val="en-GB"/>
        </w:rPr>
        <w:t xml:space="preserve"> (Austen El-Osta et al., 2025)</w:t>
      </w:r>
      <w:r w:rsidRPr="66BE0AB5">
        <w:rPr>
          <w:rFonts w:ascii="Arial" w:eastAsia="Arial" w:hAnsi="Arial" w:cs="Arial"/>
          <w:sz w:val="22"/>
          <w:szCs w:val="22"/>
          <w:lang w:val="en-GB"/>
        </w:rPr>
        <w:t>.</w:t>
      </w:r>
      <w:r w:rsidRPr="5A9B0E81">
        <w:rPr>
          <w:rFonts w:ascii="Arial" w:eastAsia="Arial" w:hAnsi="Arial" w:cs="Arial"/>
          <w:sz w:val="22"/>
          <w:szCs w:val="22"/>
          <w:lang w:val="en-GB"/>
        </w:rPr>
        <w:t xml:space="preserve"> These efforts are closely aligned with the United Nations Sustainable Development Goal 3 (SDG 3), which emphasizes the importance of ensuring healthy lives and promoting well-being for all individuals, regardless of age</w:t>
      </w:r>
      <w:r w:rsidR="4B9D1A77" w:rsidRPr="66BE0AB5">
        <w:rPr>
          <w:rFonts w:ascii="Arial" w:eastAsia="Arial" w:hAnsi="Arial" w:cs="Arial"/>
          <w:sz w:val="22"/>
          <w:szCs w:val="22"/>
          <w:lang w:val="en-GB"/>
        </w:rPr>
        <w:t xml:space="preserve"> (Austen El-Osta et al., 2025)</w:t>
      </w:r>
      <w:r w:rsidRPr="66BE0AB5">
        <w:rPr>
          <w:rFonts w:ascii="Arial" w:eastAsia="Arial" w:hAnsi="Arial" w:cs="Arial"/>
          <w:sz w:val="22"/>
          <w:szCs w:val="22"/>
          <w:lang w:val="en-GB"/>
        </w:rPr>
        <w:t>.</w:t>
      </w:r>
    </w:p>
    <w:p w14:paraId="15CBDB65" w14:textId="6D06FFB2" w:rsidR="0018226D" w:rsidRDefault="0018226D" w:rsidP="00244BBC">
      <w:pPr>
        <w:spacing w:line="360" w:lineRule="auto"/>
        <w:rPr>
          <w:rFonts w:ascii="Arial" w:eastAsia="Arial" w:hAnsi="Arial" w:cs="Arial"/>
          <w:b/>
          <w:bCs/>
          <w:sz w:val="22"/>
          <w:szCs w:val="22"/>
          <w:lang w:val="en-GB"/>
        </w:rPr>
      </w:pPr>
      <w:r w:rsidRPr="0018226D">
        <w:rPr>
          <w:rFonts w:ascii="Arial" w:eastAsia="Arial" w:hAnsi="Arial" w:cs="Arial"/>
          <w:b/>
          <w:bCs/>
          <w:sz w:val="22"/>
          <w:szCs w:val="22"/>
          <w:lang w:val="en-GB"/>
        </w:rPr>
        <w:t>Universal Health Coverage Initiatives</w:t>
      </w:r>
    </w:p>
    <w:p w14:paraId="68525130" w14:textId="6A1FD4C0" w:rsidR="0018226D" w:rsidRPr="0018226D" w:rsidRDefault="0018226D" w:rsidP="00244BBC">
      <w:pPr>
        <w:spacing w:line="360" w:lineRule="auto"/>
        <w:rPr>
          <w:rFonts w:ascii="Arial" w:eastAsia="Arial" w:hAnsi="Arial" w:cs="Arial"/>
          <w:b/>
          <w:bCs/>
          <w:sz w:val="22"/>
          <w:szCs w:val="22"/>
          <w:lang w:val="en-GB"/>
        </w:rPr>
      </w:pPr>
      <w:r w:rsidRPr="0018226D">
        <w:rPr>
          <w:rFonts w:ascii="Arial" w:eastAsia="Arial" w:hAnsi="Arial" w:cs="Arial"/>
          <w:sz w:val="22"/>
          <w:szCs w:val="22"/>
          <w:lang w:val="en-GB"/>
        </w:rPr>
        <w:t>These initiatives are designed to ensure that all individuals have access to essential healthcare services without experiencing financial hardship</w:t>
      </w:r>
      <w:r w:rsidR="4C61AA51" w:rsidRPr="6FE9F925">
        <w:rPr>
          <w:rFonts w:ascii="Arial" w:eastAsia="Arial" w:hAnsi="Arial" w:cs="Arial"/>
          <w:sz w:val="22"/>
          <w:szCs w:val="22"/>
          <w:lang w:val="en-GB"/>
        </w:rPr>
        <w:t xml:space="preserve"> (World Health Organization, 2025)</w:t>
      </w:r>
      <w:r w:rsidRPr="6FE9F925">
        <w:rPr>
          <w:rFonts w:ascii="Arial" w:eastAsia="Arial" w:hAnsi="Arial" w:cs="Arial"/>
          <w:sz w:val="22"/>
          <w:szCs w:val="22"/>
          <w:lang w:val="en-GB"/>
        </w:rPr>
        <w:t>.</w:t>
      </w:r>
      <w:r w:rsidRPr="0018226D">
        <w:rPr>
          <w:rFonts w:ascii="Arial" w:eastAsia="Arial" w:hAnsi="Arial" w:cs="Arial"/>
          <w:sz w:val="22"/>
          <w:szCs w:val="22"/>
          <w:lang w:val="en-GB"/>
        </w:rPr>
        <w:t xml:space="preserve"> Key components of these initiatives include expanding public and private health insurance options to cover a broader population, enhancing the healthcare workforce through targeted training and recruitment programs to address shortages in underserved areas, and improving the quality of healthcare services by implementing evidence-based practices and regular performance evaluations</w:t>
      </w:r>
      <w:r w:rsidR="57DF12DC" w:rsidRPr="0DD005B5">
        <w:rPr>
          <w:rFonts w:ascii="Arial" w:eastAsia="Arial" w:hAnsi="Arial" w:cs="Arial"/>
          <w:sz w:val="22"/>
          <w:szCs w:val="22"/>
          <w:lang w:val="en-GB"/>
        </w:rPr>
        <w:t xml:space="preserve"> (World Health Organization, 2025)</w:t>
      </w:r>
      <w:r w:rsidRPr="0DD005B5">
        <w:rPr>
          <w:rFonts w:ascii="Arial" w:eastAsia="Arial" w:hAnsi="Arial" w:cs="Arial"/>
          <w:sz w:val="22"/>
          <w:szCs w:val="22"/>
          <w:lang w:val="en-GB"/>
        </w:rPr>
        <w:t>.</w:t>
      </w:r>
      <w:r w:rsidRPr="0018226D">
        <w:rPr>
          <w:rFonts w:ascii="Arial" w:eastAsia="Arial" w:hAnsi="Arial" w:cs="Arial"/>
          <w:sz w:val="22"/>
          <w:szCs w:val="22"/>
          <w:lang w:val="en-GB"/>
        </w:rPr>
        <w:t xml:space="preserve"> The success of these initiatives can be measured using specific metrics such as the percentage of the population with health insurance coverage, reductions in out-of-pocket expenses for patients, and improvements in health outcomes, including increased life expectancy and reduced rates of preventable diseases</w:t>
      </w:r>
      <w:r w:rsidR="63092BBB" w:rsidRPr="3039F795">
        <w:rPr>
          <w:rFonts w:ascii="Arial" w:eastAsia="Arial" w:hAnsi="Arial" w:cs="Arial"/>
          <w:sz w:val="22"/>
          <w:szCs w:val="22"/>
          <w:lang w:val="en-GB"/>
        </w:rPr>
        <w:t xml:space="preserve"> (Khan et al., 2023)</w:t>
      </w:r>
      <w:r w:rsidRPr="3039F795">
        <w:rPr>
          <w:rFonts w:ascii="Arial" w:eastAsia="Arial" w:hAnsi="Arial" w:cs="Arial"/>
          <w:sz w:val="22"/>
          <w:szCs w:val="22"/>
          <w:lang w:val="en-GB"/>
        </w:rPr>
        <w:t xml:space="preserve">. </w:t>
      </w:r>
    </w:p>
    <w:p w14:paraId="1958EC4E" w14:textId="33158911" w:rsidR="00244BBC" w:rsidRDefault="000C40E5" w:rsidP="00244BBC">
      <w:pPr>
        <w:spacing w:line="360" w:lineRule="auto"/>
        <w:rPr>
          <w:rFonts w:ascii="Arial" w:eastAsia="Arial" w:hAnsi="Arial" w:cs="Arial"/>
          <w:b/>
          <w:sz w:val="22"/>
          <w:szCs w:val="22"/>
          <w:lang w:val="en-GB"/>
        </w:rPr>
      </w:pPr>
      <w:r w:rsidRPr="76A5D6B0">
        <w:rPr>
          <w:rFonts w:ascii="Arial" w:eastAsia="Arial" w:hAnsi="Arial" w:cs="Arial"/>
          <w:b/>
          <w:sz w:val="22"/>
          <w:szCs w:val="22"/>
          <w:lang w:val="en-GB"/>
        </w:rPr>
        <w:t>Cri</w:t>
      </w:r>
      <w:r w:rsidR="000221D7" w:rsidRPr="76A5D6B0">
        <w:rPr>
          <w:rFonts w:ascii="Arial" w:eastAsia="Arial" w:hAnsi="Arial" w:cs="Arial"/>
          <w:b/>
          <w:sz w:val="22"/>
          <w:szCs w:val="22"/>
          <w:lang w:val="en-GB"/>
        </w:rPr>
        <w:t xml:space="preserve">tical </w:t>
      </w:r>
      <w:r w:rsidR="00561469" w:rsidRPr="76A5D6B0">
        <w:rPr>
          <w:rFonts w:ascii="Arial" w:eastAsia="Arial" w:hAnsi="Arial" w:cs="Arial"/>
          <w:b/>
          <w:sz w:val="22"/>
          <w:szCs w:val="22"/>
          <w:lang w:val="en-GB"/>
        </w:rPr>
        <w:t>Eva</w:t>
      </w:r>
      <w:r w:rsidR="00AA7542" w:rsidRPr="76A5D6B0">
        <w:rPr>
          <w:rFonts w:ascii="Arial" w:eastAsia="Arial" w:hAnsi="Arial" w:cs="Arial"/>
          <w:b/>
          <w:sz w:val="22"/>
          <w:szCs w:val="22"/>
          <w:lang w:val="en-GB"/>
        </w:rPr>
        <w:t xml:space="preserve">luation and </w:t>
      </w:r>
      <w:r w:rsidR="006F5C52" w:rsidRPr="76A5D6B0">
        <w:rPr>
          <w:rFonts w:ascii="Arial" w:eastAsia="Arial" w:hAnsi="Arial" w:cs="Arial"/>
          <w:b/>
          <w:sz w:val="22"/>
          <w:szCs w:val="22"/>
          <w:lang w:val="en-GB"/>
        </w:rPr>
        <w:t>Re</w:t>
      </w:r>
      <w:r w:rsidR="00AA7542" w:rsidRPr="76A5D6B0">
        <w:rPr>
          <w:rFonts w:ascii="Arial" w:eastAsia="Arial" w:hAnsi="Arial" w:cs="Arial"/>
          <w:b/>
          <w:sz w:val="22"/>
          <w:szCs w:val="22"/>
          <w:lang w:val="en-GB"/>
        </w:rPr>
        <w:t>c</w:t>
      </w:r>
      <w:r w:rsidR="009611CE" w:rsidRPr="76A5D6B0">
        <w:rPr>
          <w:rFonts w:ascii="Arial" w:eastAsia="Arial" w:hAnsi="Arial" w:cs="Arial"/>
          <w:b/>
          <w:sz w:val="22"/>
          <w:szCs w:val="22"/>
          <w:lang w:val="en-GB"/>
        </w:rPr>
        <w:t>omm</w:t>
      </w:r>
      <w:r w:rsidR="00BA5F03" w:rsidRPr="76A5D6B0">
        <w:rPr>
          <w:rFonts w:ascii="Arial" w:eastAsia="Arial" w:hAnsi="Arial" w:cs="Arial"/>
          <w:b/>
          <w:sz w:val="22"/>
          <w:szCs w:val="22"/>
          <w:lang w:val="en-GB"/>
        </w:rPr>
        <w:t>end</w:t>
      </w:r>
      <w:r w:rsidR="00CC6ADF" w:rsidRPr="76A5D6B0">
        <w:rPr>
          <w:rFonts w:ascii="Arial" w:eastAsia="Arial" w:hAnsi="Arial" w:cs="Arial"/>
          <w:b/>
          <w:sz w:val="22"/>
          <w:szCs w:val="22"/>
          <w:lang w:val="en-GB"/>
        </w:rPr>
        <w:t>ation</w:t>
      </w:r>
    </w:p>
    <w:p w14:paraId="495D904C" w14:textId="63065FF5" w:rsidR="005D5045" w:rsidRDefault="00594759" w:rsidP="5508FDBE">
      <w:pPr>
        <w:spacing w:line="360" w:lineRule="auto"/>
        <w:rPr>
          <w:rFonts w:ascii="Arial" w:eastAsia="Arial" w:hAnsi="Arial" w:cs="Arial"/>
          <w:sz w:val="22"/>
          <w:szCs w:val="22"/>
          <w:lang w:val="en-GB"/>
        </w:rPr>
      </w:pPr>
      <w:r w:rsidRPr="00594759">
        <w:rPr>
          <w:rFonts w:ascii="Arial" w:eastAsia="Arial" w:hAnsi="Arial" w:cs="Arial"/>
          <w:bCs/>
          <w:sz w:val="22"/>
          <w:szCs w:val="22"/>
          <w:lang w:val="en-GB"/>
        </w:rPr>
        <w:t>One of the critical aspects of SDG 3 is its focus on reducing the global maternal mortality rate, which remains alarmingly high in many low- and middle-income countries. The goal emphasizes the need for access to quality prenatal and postnatal care, as well as skilled health professionals during childbirth. Progress in this area requires stronger health systems and greater investment in maternal health programs</w:t>
      </w:r>
      <w:r w:rsidR="701661CD" w:rsidRPr="201759C7">
        <w:rPr>
          <w:rFonts w:ascii="Arial" w:eastAsia="Arial" w:hAnsi="Arial" w:cs="Arial"/>
          <w:sz w:val="22"/>
          <w:szCs w:val="22"/>
          <w:lang w:val="en-GB"/>
        </w:rPr>
        <w:t>. (</w:t>
      </w:r>
      <w:r w:rsidR="7FD85A63" w:rsidRPr="4F2CCD71">
        <w:rPr>
          <w:rFonts w:ascii="Arial" w:eastAsia="Arial" w:hAnsi="Arial" w:cs="Arial"/>
          <w:sz w:val="22"/>
          <w:szCs w:val="22"/>
          <w:lang w:val="en-GB"/>
        </w:rPr>
        <w:t>René et al., 2025)</w:t>
      </w:r>
      <w:r w:rsidR="00244BBC" w:rsidRPr="4F2CCD71">
        <w:rPr>
          <w:rFonts w:ascii="Arial" w:eastAsia="Arial" w:hAnsi="Arial" w:cs="Arial"/>
          <w:sz w:val="22"/>
          <w:szCs w:val="22"/>
          <w:lang w:val="en-GB"/>
        </w:rPr>
        <w:t>.</w:t>
      </w:r>
    </w:p>
    <w:p w14:paraId="051CF24C" w14:textId="102BB22F" w:rsidR="00316F96" w:rsidRPr="00316F96" w:rsidRDefault="00316F96" w:rsidP="00316F96">
      <w:pPr>
        <w:spacing w:line="360" w:lineRule="auto"/>
        <w:rPr>
          <w:rFonts w:ascii="Arial" w:eastAsia="Arial" w:hAnsi="Arial" w:cs="Arial"/>
          <w:sz w:val="22"/>
          <w:szCs w:val="22"/>
          <w:lang w:val="en-GB"/>
        </w:rPr>
      </w:pPr>
      <w:r w:rsidRPr="00316F96">
        <w:rPr>
          <w:rFonts w:ascii="Arial" w:eastAsia="Arial" w:hAnsi="Arial" w:cs="Arial"/>
          <w:sz w:val="22"/>
          <w:szCs w:val="22"/>
          <w:lang w:val="en-GB"/>
        </w:rPr>
        <w:t>Recommendations include enhancing access to essential health services, promoting mental health initiatives, and addressing communicable and non-communicable diseases through comprehensive healthcare systems</w:t>
      </w:r>
      <w:r w:rsidR="4F958382" w:rsidRPr="6E9ACB39">
        <w:rPr>
          <w:rFonts w:ascii="Arial" w:eastAsia="Arial" w:hAnsi="Arial" w:cs="Arial"/>
          <w:sz w:val="22"/>
          <w:szCs w:val="22"/>
          <w:lang w:val="en-GB"/>
        </w:rPr>
        <w:t xml:space="preserve"> (Bora and Saikia, 2018)</w:t>
      </w:r>
      <w:r w:rsidRPr="6E9ACB39">
        <w:rPr>
          <w:rFonts w:ascii="Arial" w:eastAsia="Arial" w:hAnsi="Arial" w:cs="Arial"/>
          <w:sz w:val="22"/>
          <w:szCs w:val="22"/>
          <w:lang w:val="en-GB"/>
        </w:rPr>
        <w:t>.</w:t>
      </w:r>
    </w:p>
    <w:p w14:paraId="1B822590" w14:textId="67812761" w:rsidR="66BE0AB5" w:rsidRDefault="00316F96" w:rsidP="66BE0AB5">
      <w:pPr>
        <w:spacing w:line="360" w:lineRule="auto"/>
        <w:rPr>
          <w:rFonts w:ascii="Arial" w:eastAsia="Arial" w:hAnsi="Arial" w:cs="Arial"/>
          <w:sz w:val="22"/>
          <w:szCs w:val="22"/>
          <w:lang w:val="en-GB"/>
        </w:rPr>
      </w:pPr>
      <w:r w:rsidRPr="1E52A072">
        <w:rPr>
          <w:rFonts w:ascii="Arial" w:eastAsia="Arial" w:hAnsi="Arial" w:cs="Arial"/>
          <w:sz w:val="22"/>
          <w:szCs w:val="22"/>
          <w:lang w:val="en-GB"/>
        </w:rPr>
        <w:t>The reasoning behind these recommendations stems from the recognition that health is integral to sustainable development. Good health not only contributes to economic growth but also empowers communities by reducing poverty and enhancing productivity</w:t>
      </w:r>
      <w:r w:rsidR="6B4BD169" w:rsidRPr="1E52A072">
        <w:rPr>
          <w:rFonts w:ascii="Arial" w:eastAsia="Arial" w:hAnsi="Arial" w:cs="Arial"/>
          <w:color w:val="2C3E50"/>
          <w:sz w:val="22"/>
          <w:szCs w:val="22"/>
          <w:lang w:val="en-GB"/>
        </w:rPr>
        <w:t xml:space="preserve"> </w:t>
      </w:r>
      <w:r w:rsidR="79643B55" w:rsidRPr="1E52A072">
        <w:rPr>
          <w:rFonts w:ascii="Arial" w:eastAsia="Arial" w:hAnsi="Arial" w:cs="Arial"/>
          <w:color w:val="2C3E50"/>
          <w:sz w:val="22"/>
          <w:szCs w:val="22"/>
          <w:lang w:val="en-GB"/>
        </w:rPr>
        <w:t>(Bora and Saikia, 2018)</w:t>
      </w:r>
      <w:r w:rsidRPr="1E52A072">
        <w:rPr>
          <w:rFonts w:ascii="Arial" w:eastAsia="Arial" w:hAnsi="Arial" w:cs="Arial"/>
          <w:sz w:val="22"/>
          <w:szCs w:val="22"/>
          <w:lang w:val="en-GB"/>
        </w:rPr>
        <w:t>. Prioritizing preventative care, investing in health education, and ensuring equitable access to healthcare resources are crucial for creating resilient health systems</w:t>
      </w:r>
      <w:r w:rsidR="026AF933" w:rsidRPr="1E52A072">
        <w:rPr>
          <w:rFonts w:ascii="Arial" w:eastAsia="Arial" w:hAnsi="Arial" w:cs="Arial"/>
          <w:sz w:val="22"/>
          <w:szCs w:val="22"/>
          <w:lang w:val="en-GB"/>
        </w:rPr>
        <w:t xml:space="preserve"> (Raman, Nair and Nedungadi, 2023)</w:t>
      </w:r>
      <w:r w:rsidRPr="1E52A072">
        <w:rPr>
          <w:rFonts w:ascii="Arial" w:eastAsia="Arial" w:hAnsi="Arial" w:cs="Arial"/>
          <w:sz w:val="22"/>
          <w:szCs w:val="22"/>
          <w:lang w:val="en-GB"/>
        </w:rPr>
        <w:t>.</w:t>
      </w:r>
    </w:p>
    <w:p w14:paraId="190EF292" w14:textId="67BB9576" w:rsidR="00581C28" w:rsidRDefault="02DD2037" w:rsidP="26BD5D55">
      <w:pPr>
        <w:spacing w:line="360" w:lineRule="auto"/>
        <w:rPr>
          <w:rFonts w:ascii="Arial" w:eastAsia="Arial" w:hAnsi="Arial" w:cs="Arial"/>
          <w:b/>
          <w:bCs/>
          <w:sz w:val="22"/>
          <w:szCs w:val="22"/>
          <w:lang w:val="en-GB"/>
        </w:rPr>
      </w:pPr>
      <w:r w:rsidRPr="4F2CCD71">
        <w:rPr>
          <w:rFonts w:ascii="Arial" w:eastAsia="Arial" w:hAnsi="Arial" w:cs="Arial"/>
          <w:b/>
          <w:bCs/>
          <w:sz w:val="22"/>
          <w:szCs w:val="22"/>
          <w:lang w:val="en-GB"/>
        </w:rPr>
        <w:t xml:space="preserve">Sustainable Development </w:t>
      </w:r>
      <w:r w:rsidR="0C532380" w:rsidRPr="228BB679">
        <w:rPr>
          <w:rFonts w:ascii="Arial" w:eastAsia="Arial" w:hAnsi="Arial" w:cs="Arial"/>
          <w:b/>
          <w:bCs/>
          <w:sz w:val="22"/>
          <w:szCs w:val="22"/>
          <w:lang w:val="en-GB"/>
        </w:rPr>
        <w:t>Goal</w:t>
      </w:r>
      <w:r w:rsidRPr="4F2CCD71">
        <w:rPr>
          <w:rFonts w:ascii="Arial" w:eastAsia="Arial" w:hAnsi="Arial" w:cs="Arial"/>
          <w:b/>
          <w:bCs/>
          <w:sz w:val="22"/>
          <w:szCs w:val="22"/>
          <w:lang w:val="en-GB"/>
        </w:rPr>
        <w:t xml:space="preserve"> 1</w:t>
      </w:r>
    </w:p>
    <w:p w14:paraId="4A65A6FB" w14:textId="3D07DED0" w:rsidR="00DC7632" w:rsidRDefault="008C0693" w:rsidP="228BB679">
      <w:pPr>
        <w:spacing w:line="360" w:lineRule="auto"/>
        <w:rPr>
          <w:rFonts w:ascii="Arial" w:eastAsia="Arial" w:hAnsi="Arial" w:cs="Arial"/>
          <w:sz w:val="22"/>
          <w:szCs w:val="22"/>
          <w:lang w:val="en-GB"/>
        </w:rPr>
      </w:pPr>
      <w:r w:rsidRPr="008C0693">
        <w:rPr>
          <w:rFonts w:ascii="Arial" w:eastAsia="Arial" w:hAnsi="Arial" w:cs="Arial"/>
          <w:sz w:val="22"/>
          <w:szCs w:val="22"/>
          <w:lang w:val="en-GB"/>
        </w:rPr>
        <w:t>Sustainable Development Goal 1, known as "No Poverty," aims to eradicate extreme poverty for all people everywhere by 2030</w:t>
      </w:r>
      <w:r w:rsidR="4C9E6D66" w:rsidRPr="5F3A8107">
        <w:rPr>
          <w:rFonts w:ascii="Arial" w:eastAsia="Arial" w:hAnsi="Arial" w:cs="Arial"/>
          <w:sz w:val="22"/>
          <w:szCs w:val="22"/>
          <w:lang w:val="en-GB"/>
        </w:rPr>
        <w:t xml:space="preserve"> (Cichos and Salvia, 2018)</w:t>
      </w:r>
      <w:r w:rsidR="15A2C169" w:rsidRPr="5F3A8107">
        <w:rPr>
          <w:rFonts w:ascii="Arial" w:eastAsia="Arial" w:hAnsi="Arial" w:cs="Arial"/>
          <w:sz w:val="22"/>
          <w:szCs w:val="22"/>
          <w:lang w:val="en-GB"/>
        </w:rPr>
        <w:t>.</w:t>
      </w:r>
      <w:r w:rsidRPr="008C0693">
        <w:rPr>
          <w:rFonts w:ascii="Arial" w:eastAsia="Arial" w:hAnsi="Arial" w:cs="Arial"/>
          <w:sz w:val="22"/>
          <w:szCs w:val="22"/>
          <w:lang w:val="en-GB"/>
        </w:rPr>
        <w:t xml:space="preserve"> This goal emphasizes the need to ensure that all individuals have equal access to resources, including essential services such as education, healthcare, and job opportunities</w:t>
      </w:r>
      <w:r w:rsidR="6914C778" w:rsidRPr="5F3A8107">
        <w:rPr>
          <w:rFonts w:ascii="Arial" w:eastAsia="Arial" w:hAnsi="Arial" w:cs="Arial"/>
          <w:sz w:val="22"/>
          <w:szCs w:val="22"/>
          <w:lang w:val="en-GB"/>
        </w:rPr>
        <w:t xml:space="preserve"> (Cichos and Salvia, 2018)</w:t>
      </w:r>
      <w:r w:rsidR="15A2C169" w:rsidRPr="5F3A8107">
        <w:rPr>
          <w:rFonts w:ascii="Arial" w:eastAsia="Arial" w:hAnsi="Arial" w:cs="Arial"/>
          <w:sz w:val="22"/>
          <w:szCs w:val="22"/>
          <w:lang w:val="en-GB"/>
        </w:rPr>
        <w:t>.</w:t>
      </w:r>
      <w:r w:rsidRPr="008C0693">
        <w:rPr>
          <w:rFonts w:ascii="Arial" w:eastAsia="Arial" w:hAnsi="Arial" w:cs="Arial"/>
          <w:sz w:val="22"/>
          <w:szCs w:val="22"/>
          <w:lang w:val="en-GB"/>
        </w:rPr>
        <w:t xml:space="preserve"> It also focuses on implementing social protection systems, ensuring equal rights to ownership and control over land and other forms of property, and addressing the underlying causes of poverty, such as inequality and unemployment</w:t>
      </w:r>
      <w:r w:rsidR="1BC8BEE4" w:rsidRPr="5F3A8107">
        <w:rPr>
          <w:rFonts w:ascii="Arial" w:eastAsia="Arial" w:hAnsi="Arial" w:cs="Arial"/>
          <w:sz w:val="22"/>
          <w:szCs w:val="22"/>
          <w:lang w:val="en-GB"/>
        </w:rPr>
        <w:t xml:space="preserve"> (Hoy and Sumner, 2021)</w:t>
      </w:r>
      <w:r w:rsidR="15A2C169" w:rsidRPr="5F3A8107">
        <w:rPr>
          <w:rFonts w:ascii="Arial" w:eastAsia="Arial" w:hAnsi="Arial" w:cs="Arial"/>
          <w:sz w:val="22"/>
          <w:szCs w:val="22"/>
          <w:lang w:val="en-GB"/>
        </w:rPr>
        <w:t>.</w:t>
      </w:r>
    </w:p>
    <w:p w14:paraId="01D7918A" w14:textId="2355CA8F" w:rsidR="00912B32" w:rsidRPr="005569E5" w:rsidRDefault="005F1008" w:rsidP="228BB679">
      <w:pPr>
        <w:spacing w:line="360" w:lineRule="auto"/>
        <w:rPr>
          <w:rFonts w:ascii="Arial" w:eastAsia="Arial" w:hAnsi="Arial" w:cs="Arial"/>
          <w:b/>
          <w:sz w:val="22"/>
          <w:szCs w:val="22"/>
          <w:lang w:val="en-GB"/>
        </w:rPr>
      </w:pPr>
      <w:r w:rsidRPr="7A0A3DDB">
        <w:rPr>
          <w:rFonts w:ascii="Arial" w:eastAsia="Arial" w:hAnsi="Arial" w:cs="Arial"/>
          <w:b/>
          <w:sz w:val="22"/>
          <w:szCs w:val="22"/>
          <w:lang w:val="en-GB"/>
        </w:rPr>
        <w:t>Glo</w:t>
      </w:r>
      <w:r w:rsidR="005569E5" w:rsidRPr="7A0A3DDB">
        <w:rPr>
          <w:rFonts w:ascii="Arial" w:eastAsia="Arial" w:hAnsi="Arial" w:cs="Arial"/>
          <w:b/>
          <w:sz w:val="22"/>
          <w:szCs w:val="22"/>
          <w:lang w:val="en-GB"/>
        </w:rPr>
        <w:t xml:space="preserve">bal </w:t>
      </w:r>
    </w:p>
    <w:p w14:paraId="6D844769" w14:textId="24B39195" w:rsidR="18CC1641" w:rsidRDefault="00487966" w:rsidP="18CC1641">
      <w:pPr>
        <w:spacing w:line="360" w:lineRule="auto"/>
        <w:rPr>
          <w:rFonts w:ascii="Arial" w:eastAsia="Arial" w:hAnsi="Arial" w:cs="Arial"/>
          <w:sz w:val="22"/>
          <w:szCs w:val="22"/>
          <w:lang w:val="en-GB"/>
        </w:rPr>
      </w:pPr>
      <w:r w:rsidRPr="7A0A3DDB">
        <w:rPr>
          <w:rFonts w:ascii="Arial" w:eastAsia="Arial" w:hAnsi="Arial" w:cs="Arial"/>
          <w:sz w:val="22"/>
          <w:szCs w:val="22"/>
          <w:lang w:val="en-GB"/>
        </w:rPr>
        <w:t xml:space="preserve"> </w:t>
      </w:r>
      <w:r w:rsidR="00F57FB1" w:rsidRPr="7A0A3DDB">
        <w:rPr>
          <w:rFonts w:ascii="Arial" w:eastAsia="Arial" w:hAnsi="Arial" w:cs="Arial"/>
          <w:sz w:val="22"/>
          <w:szCs w:val="22"/>
          <w:lang w:val="en-GB"/>
        </w:rPr>
        <w:t>Global Sustainable Development Goal 1 aims to eradicate poverty in all its forms everywhere by 2030</w:t>
      </w:r>
      <w:r w:rsidR="7160F645" w:rsidRPr="7A0A3DDB">
        <w:rPr>
          <w:rFonts w:ascii="Arial" w:eastAsia="Arial" w:hAnsi="Arial" w:cs="Arial"/>
          <w:sz w:val="22"/>
          <w:szCs w:val="22"/>
          <w:lang w:val="en-GB"/>
        </w:rPr>
        <w:t xml:space="preserve"> (United Nations, 2015)</w:t>
      </w:r>
      <w:r w:rsidR="00F57FB1" w:rsidRPr="7A0A3DDB">
        <w:rPr>
          <w:rFonts w:ascii="Arial" w:eastAsia="Arial" w:hAnsi="Arial" w:cs="Arial"/>
          <w:sz w:val="22"/>
          <w:szCs w:val="22"/>
          <w:lang w:val="en-GB"/>
        </w:rPr>
        <w:t>. This goal highlights the importance of ensuring that individuals have access to essential resources and services</w:t>
      </w:r>
      <w:r w:rsidR="4AB5D087" w:rsidRPr="7A0A3DDB">
        <w:rPr>
          <w:rFonts w:ascii="Arial" w:eastAsia="Arial" w:hAnsi="Arial" w:cs="Arial"/>
          <w:sz w:val="22"/>
          <w:szCs w:val="22"/>
          <w:lang w:val="en-GB"/>
        </w:rPr>
        <w:t xml:space="preserve"> (United Nations, 2015)</w:t>
      </w:r>
      <w:r w:rsidR="00F57FB1" w:rsidRPr="7A0A3DDB">
        <w:rPr>
          <w:rFonts w:ascii="Arial" w:eastAsia="Arial" w:hAnsi="Arial" w:cs="Arial"/>
          <w:sz w:val="22"/>
          <w:szCs w:val="22"/>
          <w:lang w:val="en-GB"/>
        </w:rPr>
        <w:t xml:space="preserve">. These include comprehensive social protection systems that provide security against economic shocks, equal access to land and property rights, and reliable economic opportunities that promote sustainable livelihoods. </w:t>
      </w:r>
      <w:r w:rsidR="42A6B679" w:rsidRPr="7A0A3DDB">
        <w:rPr>
          <w:rFonts w:ascii="Arial" w:eastAsia="Arial" w:hAnsi="Arial" w:cs="Arial"/>
          <w:sz w:val="22"/>
          <w:szCs w:val="22"/>
          <w:lang w:val="en-GB"/>
        </w:rPr>
        <w:t>(Aslam et al., 2024)</w:t>
      </w:r>
      <w:r w:rsidR="5A065D31" w:rsidRPr="7A0A3DDB">
        <w:rPr>
          <w:rFonts w:ascii="Arial" w:eastAsia="Arial" w:hAnsi="Arial" w:cs="Arial"/>
          <w:sz w:val="22"/>
          <w:szCs w:val="22"/>
          <w:lang w:val="en-GB"/>
        </w:rPr>
        <w:t>.</w:t>
      </w:r>
    </w:p>
    <w:p w14:paraId="230443D2" w14:textId="503FD66C" w:rsidR="00485378" w:rsidRPr="000F4CF4" w:rsidRDefault="00485378" w:rsidP="7A0A3DDB">
      <w:pPr>
        <w:spacing w:line="360" w:lineRule="auto"/>
        <w:rPr>
          <w:rFonts w:ascii="Arial" w:eastAsia="Arial" w:hAnsi="Arial" w:cs="Arial"/>
          <w:bCs/>
          <w:sz w:val="22"/>
          <w:szCs w:val="22"/>
          <w:lang w:val="en-GB"/>
        </w:rPr>
      </w:pPr>
      <w:r w:rsidRPr="000F4CF4">
        <w:rPr>
          <w:rFonts w:ascii="Arial" w:eastAsia="Arial" w:hAnsi="Arial" w:cs="Arial"/>
          <w:bCs/>
          <w:sz w:val="22"/>
          <w:szCs w:val="22"/>
          <w:lang w:val="en-GB"/>
        </w:rPr>
        <w:t>Sustainable Development Goal 1 (SDG 1) focuses on eradicating poverty in all forms, particularly in Kenya. It addresses economic instability, lack of basic services, and social inequalities. The goal emphasizes strategies for inclusive economic growth, improved social protection, and better access to education, healthcare, and clean water</w:t>
      </w:r>
      <w:r w:rsidR="2C0056A3" w:rsidRPr="5F620E85">
        <w:rPr>
          <w:rFonts w:ascii="Arial" w:eastAsia="Arial" w:hAnsi="Arial" w:cs="Arial"/>
          <w:sz w:val="22"/>
          <w:szCs w:val="22"/>
          <w:lang w:val="en-GB"/>
        </w:rPr>
        <w:t xml:space="preserve"> (Obulemire, 2025)</w:t>
      </w:r>
      <w:r w:rsidRPr="5F620E85">
        <w:rPr>
          <w:rFonts w:ascii="Arial" w:eastAsia="Arial" w:hAnsi="Arial" w:cs="Arial"/>
          <w:sz w:val="22"/>
          <w:szCs w:val="22"/>
          <w:lang w:val="en-GB"/>
        </w:rPr>
        <w:t>.</w:t>
      </w:r>
      <w:r w:rsidRPr="000F4CF4">
        <w:rPr>
          <w:rFonts w:ascii="Arial" w:eastAsia="Arial" w:hAnsi="Arial" w:cs="Arial"/>
          <w:bCs/>
          <w:sz w:val="22"/>
          <w:szCs w:val="22"/>
          <w:lang w:val="en-GB"/>
        </w:rPr>
        <w:t xml:space="preserve"> By 2030, Kenya aims to significantly reduce extreme poverty and ensure that all citizens can achieve a decent standard of living</w:t>
      </w:r>
      <w:r w:rsidR="4E35A7A2" w:rsidRPr="5F620E85">
        <w:rPr>
          <w:rFonts w:ascii="Arial" w:eastAsia="Arial" w:hAnsi="Arial" w:cs="Arial"/>
          <w:sz w:val="22"/>
          <w:szCs w:val="22"/>
          <w:lang w:val="en-GB"/>
        </w:rPr>
        <w:t xml:space="preserve"> (Obulemire, 2025)</w:t>
      </w:r>
      <w:r w:rsidRPr="5F620E85">
        <w:rPr>
          <w:rFonts w:ascii="Arial" w:eastAsia="Arial" w:hAnsi="Arial" w:cs="Arial"/>
          <w:sz w:val="22"/>
          <w:szCs w:val="22"/>
          <w:lang w:val="en-GB"/>
        </w:rPr>
        <w:t>.</w:t>
      </w:r>
    </w:p>
    <w:p w14:paraId="6BD325FA" w14:textId="2D81178C" w:rsidR="00F02B0F" w:rsidRDefault="04ABE255" w:rsidP="1E52A072">
      <w:pPr>
        <w:spacing w:line="360" w:lineRule="auto"/>
        <w:rPr>
          <w:rFonts w:ascii="Arial" w:eastAsia="Arial" w:hAnsi="Arial" w:cs="Arial"/>
          <w:b/>
          <w:bCs/>
          <w:sz w:val="22"/>
          <w:szCs w:val="22"/>
          <w:lang w:val="en-GB"/>
        </w:rPr>
      </w:pPr>
      <w:r w:rsidRPr="1E52A072">
        <w:rPr>
          <w:rFonts w:ascii="Arial" w:eastAsia="Arial" w:hAnsi="Arial" w:cs="Arial"/>
          <w:b/>
          <w:bCs/>
          <w:sz w:val="22"/>
          <w:szCs w:val="22"/>
          <w:lang w:val="en-GB"/>
        </w:rPr>
        <w:t xml:space="preserve">National </w:t>
      </w:r>
    </w:p>
    <w:p w14:paraId="4BAF6376" w14:textId="7B4C5A97" w:rsidR="00D45FE3" w:rsidRPr="00D45FE3" w:rsidRDefault="00A51815" w:rsidP="7A0A3DDB">
      <w:pPr>
        <w:spacing w:line="360" w:lineRule="auto"/>
        <w:rPr>
          <w:rFonts w:ascii="Arial" w:eastAsia="Arial" w:hAnsi="Arial" w:cs="Arial"/>
          <w:sz w:val="22"/>
          <w:szCs w:val="22"/>
          <w:lang w:val="en-GB"/>
        </w:rPr>
      </w:pPr>
      <w:r w:rsidRPr="7A0A3DDB">
        <w:rPr>
          <w:rFonts w:ascii="Arial" w:eastAsia="Arial" w:hAnsi="Arial" w:cs="Arial"/>
          <w:sz w:val="22"/>
          <w:szCs w:val="22"/>
          <w:lang w:val="en-GB"/>
        </w:rPr>
        <w:t>Nationally we have universal credit system. This benefits program is designed to provide financial support to individuals and families, ensuring a basic standard of living</w:t>
      </w:r>
      <w:r w:rsidR="55BF9865" w:rsidRPr="7A0A3DDB">
        <w:rPr>
          <w:rFonts w:ascii="Arial" w:eastAsia="Arial" w:hAnsi="Arial" w:cs="Arial"/>
          <w:sz w:val="22"/>
          <w:szCs w:val="22"/>
          <w:lang w:val="en-GB"/>
        </w:rPr>
        <w:t xml:space="preserve"> (Geneva and Switzerland, 2024)</w:t>
      </w:r>
      <w:r w:rsidRPr="7A0A3DDB">
        <w:rPr>
          <w:rFonts w:ascii="Arial" w:eastAsia="Arial" w:hAnsi="Arial" w:cs="Arial"/>
          <w:sz w:val="22"/>
          <w:szCs w:val="22"/>
          <w:lang w:val="en-GB"/>
        </w:rPr>
        <w:t>. By consolidating various forms of assistance into a single payment, universal credit aims to streamline access and reduce bureaucratic hurdles. It is intended to support those in need by offering social income that can help cover essential expenses such as housing, food, and healthcare, thereby promoting economic security and stability</w:t>
      </w:r>
      <w:r w:rsidR="58F96B6B" w:rsidRPr="7A0A3DDB">
        <w:rPr>
          <w:rFonts w:ascii="Arial" w:eastAsia="Arial" w:hAnsi="Arial" w:cs="Arial"/>
          <w:sz w:val="22"/>
          <w:szCs w:val="22"/>
          <w:lang w:val="en-GB"/>
        </w:rPr>
        <w:t xml:space="preserve"> (Geneva and Switzerland, 2024)</w:t>
      </w:r>
      <w:r w:rsidRPr="7A0A3DDB">
        <w:rPr>
          <w:rFonts w:ascii="Arial" w:eastAsia="Arial" w:hAnsi="Arial" w:cs="Arial"/>
          <w:sz w:val="22"/>
          <w:szCs w:val="22"/>
          <w:lang w:val="en-GB"/>
        </w:rPr>
        <w:t xml:space="preserve">. </w:t>
      </w:r>
    </w:p>
    <w:p w14:paraId="437A5195" w14:textId="63B3FBA9" w:rsidR="00D45FE3" w:rsidRPr="00DD664E" w:rsidRDefault="00D45FE3" w:rsidP="00D45FE3">
      <w:pPr>
        <w:spacing w:line="360" w:lineRule="auto"/>
        <w:rPr>
          <w:rFonts w:ascii="Arial" w:eastAsia="Arial" w:hAnsi="Arial" w:cs="Arial"/>
          <w:sz w:val="22"/>
          <w:szCs w:val="22"/>
          <w:lang w:val="en-GB"/>
        </w:rPr>
      </w:pPr>
      <w:r w:rsidRPr="7A0A3DDB">
        <w:rPr>
          <w:rFonts w:ascii="Arial" w:eastAsia="Arial" w:hAnsi="Arial" w:cs="Arial"/>
          <w:sz w:val="22"/>
          <w:szCs w:val="22"/>
          <w:lang w:val="en-GB"/>
        </w:rPr>
        <w:t xml:space="preserve">As of recent estimates, </w:t>
      </w:r>
      <w:r w:rsidR="744768D2" w:rsidRPr="7A0A3DDB">
        <w:rPr>
          <w:rFonts w:ascii="Arial" w:eastAsia="Arial" w:hAnsi="Arial" w:cs="Arial"/>
          <w:sz w:val="22"/>
          <w:szCs w:val="22"/>
          <w:lang w:val="en-GB"/>
        </w:rPr>
        <w:t>there were 8.3</w:t>
      </w:r>
      <w:r w:rsidRPr="7A0A3DDB">
        <w:rPr>
          <w:rFonts w:ascii="Arial" w:eastAsia="Arial" w:hAnsi="Arial" w:cs="Arial"/>
          <w:sz w:val="22"/>
          <w:szCs w:val="22"/>
          <w:lang w:val="en-GB"/>
        </w:rPr>
        <w:t xml:space="preserve"> million people </w:t>
      </w:r>
      <w:r w:rsidR="001031CA" w:rsidRPr="7A0A3DDB">
        <w:rPr>
          <w:rFonts w:ascii="Arial" w:eastAsia="Arial" w:hAnsi="Arial" w:cs="Arial"/>
          <w:sz w:val="22"/>
          <w:szCs w:val="22"/>
          <w:lang w:val="en-GB"/>
        </w:rPr>
        <w:t>receiving Universal Credit in October 2025, an increase from 7.2 million in October 2024</w:t>
      </w:r>
      <w:r w:rsidR="6F14C047" w:rsidRPr="7A0A3DDB">
        <w:rPr>
          <w:rFonts w:ascii="Arial" w:eastAsia="Arial" w:hAnsi="Arial" w:cs="Arial"/>
          <w:sz w:val="22"/>
          <w:szCs w:val="22"/>
          <w:lang w:val="en-GB"/>
        </w:rPr>
        <w:t xml:space="preserve"> (GOV.UK, 2025)</w:t>
      </w:r>
      <w:r w:rsidR="001031CA" w:rsidRPr="7A0A3DDB">
        <w:rPr>
          <w:rFonts w:ascii="Arial" w:eastAsia="Arial" w:hAnsi="Arial" w:cs="Arial"/>
          <w:sz w:val="22"/>
          <w:szCs w:val="22"/>
          <w:lang w:val="en-GB"/>
        </w:rPr>
        <w:t>. This rise is partly due to claimants transitioning from legacy benefits as part of the Move to Universal Credit program</w:t>
      </w:r>
      <w:r w:rsidR="00DD664E" w:rsidRPr="7A0A3DDB">
        <w:rPr>
          <w:rFonts w:ascii="Arial" w:eastAsia="Arial" w:hAnsi="Arial" w:cs="Arial"/>
          <w:sz w:val="22"/>
          <w:szCs w:val="22"/>
          <w:lang w:val="en-GB"/>
        </w:rPr>
        <w:t xml:space="preserve">. </w:t>
      </w:r>
      <w:r w:rsidRPr="7A0A3DDB">
        <w:rPr>
          <w:rFonts w:ascii="Arial" w:eastAsia="Arial" w:hAnsi="Arial" w:cs="Arial"/>
          <w:sz w:val="22"/>
          <w:szCs w:val="22"/>
          <w:lang w:val="en-GB"/>
        </w:rPr>
        <w:t xml:space="preserve"> This program aims to assist those who are unemployed, underemployed, or on low incomes by offering them a more</w:t>
      </w:r>
      <w:r w:rsidR="00DD664E" w:rsidRPr="7A0A3DDB">
        <w:rPr>
          <w:rFonts w:ascii="Arial" w:eastAsia="Arial" w:hAnsi="Arial" w:cs="Arial"/>
          <w:sz w:val="22"/>
          <w:szCs w:val="22"/>
          <w:lang w:val="en-GB"/>
        </w:rPr>
        <w:t xml:space="preserve"> </w:t>
      </w:r>
      <w:r w:rsidRPr="7A0A3DDB">
        <w:rPr>
          <w:rFonts w:ascii="Arial" w:eastAsia="Arial" w:hAnsi="Arial" w:cs="Arial"/>
          <w:sz w:val="22"/>
          <w:szCs w:val="22"/>
          <w:lang w:val="en-GB"/>
        </w:rPr>
        <w:t>straightforward and accessible form of financial support</w:t>
      </w:r>
      <w:r w:rsidR="100CFD34" w:rsidRPr="7A0A3DDB">
        <w:rPr>
          <w:rFonts w:ascii="Arial" w:eastAsia="Arial" w:hAnsi="Arial" w:cs="Arial"/>
          <w:sz w:val="22"/>
          <w:szCs w:val="22"/>
          <w:lang w:val="en-GB"/>
        </w:rPr>
        <w:t xml:space="preserve"> (GOV.UK, 2025).</w:t>
      </w:r>
    </w:p>
    <w:p w14:paraId="12778D5C" w14:textId="1EE30A80" w:rsidR="00134FF8" w:rsidRPr="00A51815" w:rsidRDefault="00D45FE3" w:rsidP="5E8CD28E">
      <w:pPr>
        <w:spacing w:line="360" w:lineRule="auto"/>
        <w:rPr>
          <w:rFonts w:ascii="Arial" w:eastAsia="Arial" w:hAnsi="Arial" w:cs="Arial"/>
          <w:sz w:val="22"/>
          <w:szCs w:val="22"/>
          <w:lang w:val="en-GB"/>
        </w:rPr>
      </w:pPr>
      <w:r w:rsidRPr="7A0A3DDB">
        <w:rPr>
          <w:rFonts w:ascii="Arial" w:eastAsia="Arial" w:hAnsi="Arial" w:cs="Arial"/>
          <w:sz w:val="22"/>
          <w:szCs w:val="22"/>
          <w:lang w:val="en-GB"/>
        </w:rPr>
        <w:t>However, several challenges remain related to Universal Credit. Some common issues include delays in payment processing, complex eligibility criteria, and the system's potential to inadvertently create financial difficulties for claimants transitioning into work</w:t>
      </w:r>
      <w:r w:rsidR="5C8301D9" w:rsidRPr="7A0A3DDB">
        <w:rPr>
          <w:rFonts w:ascii="Arial" w:eastAsia="Arial" w:hAnsi="Arial" w:cs="Arial"/>
          <w:sz w:val="22"/>
          <w:szCs w:val="22"/>
          <w:lang w:val="en-GB"/>
        </w:rPr>
        <w:t xml:space="preserve"> (GOV.UK, 2025).</w:t>
      </w:r>
    </w:p>
    <w:p w14:paraId="2E2A8C28" w14:textId="764EDD87" w:rsidR="66BE0AB5" w:rsidRDefault="4A4A8250" w:rsidP="7A0A3DDB">
      <w:pPr>
        <w:spacing w:line="360" w:lineRule="auto"/>
        <w:rPr>
          <w:rFonts w:ascii="Arial" w:eastAsia="Arial" w:hAnsi="Arial" w:cs="Arial"/>
          <w:b/>
          <w:sz w:val="22"/>
          <w:szCs w:val="22"/>
          <w:lang w:val="en-GB"/>
        </w:rPr>
      </w:pPr>
      <w:r w:rsidRPr="7A0A3DDB">
        <w:rPr>
          <w:rFonts w:ascii="Arial" w:eastAsia="Arial" w:hAnsi="Arial" w:cs="Arial"/>
          <w:b/>
          <w:sz w:val="22"/>
          <w:szCs w:val="22"/>
          <w:lang w:val="en-GB"/>
        </w:rPr>
        <w:t xml:space="preserve">Evaluation </w:t>
      </w:r>
    </w:p>
    <w:p w14:paraId="206A5D04" w14:textId="4692B657" w:rsidR="000409AC" w:rsidRPr="000409AC" w:rsidRDefault="000409AC" w:rsidP="7A0A3DDB">
      <w:pPr>
        <w:spacing w:line="360" w:lineRule="auto"/>
        <w:rPr>
          <w:rFonts w:ascii="Arial" w:eastAsia="Arial" w:hAnsi="Arial" w:cs="Arial"/>
          <w:sz w:val="22"/>
          <w:szCs w:val="22"/>
          <w:lang w:val="en-GB"/>
        </w:rPr>
      </w:pPr>
      <w:r w:rsidRPr="7A0A3DDB">
        <w:rPr>
          <w:rFonts w:ascii="Arial" w:eastAsia="Arial" w:hAnsi="Arial" w:cs="Arial"/>
          <w:sz w:val="22"/>
          <w:szCs w:val="22"/>
          <w:lang w:val="en-GB"/>
        </w:rPr>
        <w:t>A successful evaluation of social protection systems and safety nets must comprehensively assess their impact on vulnerable populations facing economic shocks. These systems are fundamental in alleviating poverty as they provide essential support during crises, such as unemployment, health emergencies, or natural disasters, allowing individuals and families to maintain their basic needs</w:t>
      </w:r>
      <w:r w:rsidR="054954C0" w:rsidRPr="7A0A3DDB">
        <w:rPr>
          <w:rFonts w:ascii="Arial" w:eastAsia="Arial" w:hAnsi="Arial" w:cs="Arial"/>
          <w:sz w:val="22"/>
          <w:szCs w:val="22"/>
          <w:lang w:val="en-GB"/>
        </w:rPr>
        <w:t xml:space="preserve"> (D’Errico, 2017)</w:t>
      </w:r>
      <w:r w:rsidRPr="7A0A3DDB">
        <w:rPr>
          <w:rFonts w:ascii="Arial" w:eastAsia="Arial" w:hAnsi="Arial" w:cs="Arial"/>
          <w:sz w:val="22"/>
          <w:szCs w:val="22"/>
          <w:lang w:val="en-GB"/>
        </w:rPr>
        <w:t xml:space="preserve">. </w:t>
      </w:r>
    </w:p>
    <w:p w14:paraId="3228E617" w14:textId="7823B5A5" w:rsidR="000409AC" w:rsidRDefault="000409AC" w:rsidP="1E52A072">
      <w:pPr>
        <w:spacing w:line="360" w:lineRule="auto"/>
        <w:rPr>
          <w:rFonts w:ascii="Arial" w:eastAsia="Arial" w:hAnsi="Arial" w:cs="Arial"/>
          <w:sz w:val="22"/>
          <w:szCs w:val="22"/>
          <w:lang w:val="en-GB"/>
        </w:rPr>
      </w:pPr>
      <w:r w:rsidRPr="1E52A072">
        <w:rPr>
          <w:rFonts w:ascii="Arial" w:eastAsia="Arial" w:hAnsi="Arial" w:cs="Arial"/>
          <w:sz w:val="22"/>
          <w:szCs w:val="22"/>
          <w:lang w:val="en-GB"/>
        </w:rPr>
        <w:t>Furthermore, evaluating partnerships and collaborations at local, national, and international levels is crucial. Multi-sectoral cooperation, which includes government agencies, non-governmental organizations, private sectors, and community groups, can significantly enhance the effectiveness of initiatives aimed at achieving Sustainable Development Goal 1 (SDG 1) on ending poverty in all its forms everywhere</w:t>
      </w:r>
      <w:r w:rsidR="4C166673" w:rsidRPr="1E52A072">
        <w:rPr>
          <w:rFonts w:ascii="Arial" w:eastAsia="Arial" w:hAnsi="Arial" w:cs="Arial"/>
          <w:sz w:val="22"/>
          <w:szCs w:val="22"/>
          <w:lang w:val="en-GB"/>
        </w:rPr>
        <w:t xml:space="preserve"> (Fitrah et al., 2025)</w:t>
      </w:r>
      <w:r w:rsidRPr="1E52A072">
        <w:rPr>
          <w:rFonts w:ascii="Arial" w:eastAsia="Arial" w:hAnsi="Arial" w:cs="Arial"/>
          <w:sz w:val="22"/>
          <w:szCs w:val="22"/>
          <w:lang w:val="en-GB"/>
        </w:rPr>
        <w:t>. Engaging communities actively in the evaluation process is equally important, as it ensures that strategies are informed by grassroots perspectives and are culturally relevant. This participatory approach not only fosters ownership but also helps address specific local needs, leading to more sustainable and effective outcomes in poverty alleviation efforts</w:t>
      </w:r>
      <w:r w:rsidR="4A8B51FA" w:rsidRPr="1E52A072">
        <w:rPr>
          <w:rFonts w:ascii="Arial" w:eastAsia="Arial" w:hAnsi="Arial" w:cs="Arial"/>
          <w:sz w:val="22"/>
          <w:szCs w:val="22"/>
          <w:lang w:val="en-GB"/>
        </w:rPr>
        <w:t xml:space="preserve"> (Fitrah et al., 2025)</w:t>
      </w:r>
      <w:r w:rsidRPr="1E52A072">
        <w:rPr>
          <w:rFonts w:ascii="Arial" w:eastAsia="Arial" w:hAnsi="Arial" w:cs="Arial"/>
          <w:sz w:val="22"/>
          <w:szCs w:val="22"/>
          <w:lang w:val="en-GB"/>
        </w:rPr>
        <w:t>.</w:t>
      </w:r>
    </w:p>
    <w:p w14:paraId="51E281D5" w14:textId="7C608BC3" w:rsidR="00307384" w:rsidRPr="00307384" w:rsidRDefault="4A4A8250" w:rsidP="1E52A072">
      <w:pPr>
        <w:spacing w:line="360" w:lineRule="auto"/>
        <w:rPr>
          <w:rFonts w:ascii="Arial" w:eastAsia="Arial" w:hAnsi="Arial" w:cs="Arial"/>
          <w:sz w:val="22"/>
          <w:szCs w:val="22"/>
          <w:lang w:val="en-GB"/>
        </w:rPr>
      </w:pPr>
      <w:r w:rsidRPr="1E52A072">
        <w:rPr>
          <w:rFonts w:ascii="Arial" w:eastAsia="Arial" w:hAnsi="Arial" w:cs="Arial"/>
          <w:b/>
          <w:bCs/>
          <w:sz w:val="22"/>
          <w:szCs w:val="22"/>
          <w:lang w:val="en-GB"/>
        </w:rPr>
        <w:t>Local Policies and Initiative</w:t>
      </w:r>
      <w:r w:rsidR="53F4C360" w:rsidRPr="1E52A072">
        <w:rPr>
          <w:rFonts w:ascii="Arial" w:eastAsia="Arial" w:hAnsi="Arial" w:cs="Arial"/>
          <w:b/>
          <w:bCs/>
          <w:sz w:val="22"/>
          <w:szCs w:val="22"/>
          <w:lang w:val="en-GB"/>
        </w:rPr>
        <w:t>s</w:t>
      </w:r>
    </w:p>
    <w:p w14:paraId="57A84E7A" w14:textId="44C8CC5F" w:rsidR="00307384" w:rsidRPr="00307384" w:rsidRDefault="721C7F56" w:rsidP="7A0A3DDB">
      <w:pPr>
        <w:spacing w:line="360" w:lineRule="auto"/>
        <w:rPr>
          <w:rFonts w:ascii="Arial" w:eastAsia="Arial" w:hAnsi="Arial" w:cs="Arial"/>
          <w:sz w:val="22"/>
          <w:szCs w:val="22"/>
          <w:lang w:val="en-GB"/>
        </w:rPr>
      </w:pPr>
      <w:r w:rsidRPr="1E52A072">
        <w:rPr>
          <w:rFonts w:ascii="Arial" w:eastAsia="Arial" w:hAnsi="Arial" w:cs="Arial"/>
          <w:sz w:val="22"/>
          <w:szCs w:val="22"/>
          <w:lang w:val="en-GB"/>
        </w:rPr>
        <w:t xml:space="preserve">In </w:t>
      </w:r>
      <w:r w:rsidR="00307384" w:rsidRPr="1E52A072">
        <w:rPr>
          <w:rFonts w:ascii="Arial" w:eastAsia="Arial" w:hAnsi="Arial" w:cs="Arial"/>
          <w:sz w:val="22"/>
          <w:szCs w:val="22"/>
          <w:lang w:val="en-GB"/>
        </w:rPr>
        <w:t xml:space="preserve">Birmingham, local policies have been developed to address this critical issue through various initiatives aimed at enhancing the living standards of vulnerable populations. </w:t>
      </w:r>
      <w:r w:rsidR="5D6C324D" w:rsidRPr="1E52A072">
        <w:rPr>
          <w:rFonts w:ascii="Arial" w:eastAsia="Arial" w:hAnsi="Arial" w:cs="Arial"/>
          <w:sz w:val="22"/>
          <w:szCs w:val="22"/>
          <w:lang w:val="en-GB"/>
        </w:rPr>
        <w:t xml:space="preserve"> </w:t>
      </w:r>
    </w:p>
    <w:p w14:paraId="782D7B23" w14:textId="4E0D6F41" w:rsidR="00307384" w:rsidRPr="00307384" w:rsidRDefault="00307384" w:rsidP="7A0A3DDB">
      <w:pPr>
        <w:spacing w:line="360" w:lineRule="auto"/>
        <w:rPr>
          <w:rFonts w:ascii="Arial" w:eastAsia="Arial" w:hAnsi="Arial" w:cs="Arial"/>
          <w:sz w:val="22"/>
          <w:szCs w:val="22"/>
          <w:lang w:val="en-GB"/>
        </w:rPr>
      </w:pPr>
      <w:r w:rsidRPr="7A0A3DDB">
        <w:rPr>
          <w:rFonts w:ascii="Arial" w:eastAsia="Arial" w:hAnsi="Arial" w:cs="Arial"/>
          <w:sz w:val="22"/>
          <w:szCs w:val="22"/>
          <w:lang w:val="en-GB"/>
        </w:rPr>
        <w:t>The Birmingham Inclusive Growth Strategy is designed to create sustainable job opportunities and improve economic participation, particularly focusing on marginalized communities such as those facing socio-economic disadvantages, ethnic minorities, and individuals with disabilities</w:t>
      </w:r>
      <w:r w:rsidR="79F92C8C" w:rsidRPr="7A0A3DDB">
        <w:rPr>
          <w:rFonts w:ascii="Arial" w:eastAsia="Arial" w:hAnsi="Arial" w:cs="Arial"/>
          <w:sz w:val="22"/>
          <w:szCs w:val="22"/>
          <w:lang w:val="en-GB"/>
        </w:rPr>
        <w:t xml:space="preserve"> (Council, n.d.)</w:t>
      </w:r>
      <w:r w:rsidRPr="7A0A3DDB">
        <w:rPr>
          <w:rFonts w:ascii="Arial" w:eastAsia="Arial" w:hAnsi="Arial" w:cs="Arial"/>
          <w:sz w:val="22"/>
          <w:szCs w:val="22"/>
          <w:lang w:val="en-GB"/>
        </w:rPr>
        <w:t>. By implementing targeted training programs, improving access to education, and fostering partnerships between local businesses and community organizations, the strategy seeks to empower these groups to actively engage in the workforce.</w:t>
      </w:r>
    </w:p>
    <w:p w14:paraId="7F29EC32" w14:textId="4B8EB248" w:rsidR="5938FC98" w:rsidRPr="002F5EC0" w:rsidRDefault="002F5EC0" w:rsidP="7A0A3DDB">
      <w:pPr>
        <w:spacing w:line="360" w:lineRule="auto"/>
        <w:rPr>
          <w:rFonts w:ascii="Arial" w:eastAsia="Arial" w:hAnsi="Arial" w:cs="Arial"/>
          <w:b/>
          <w:sz w:val="22"/>
          <w:szCs w:val="22"/>
          <w:lang w:val="en-GB"/>
        </w:rPr>
      </w:pPr>
      <w:r w:rsidRPr="7A0A3DDB">
        <w:rPr>
          <w:rFonts w:ascii="Arial" w:eastAsia="Arial" w:hAnsi="Arial" w:cs="Arial"/>
          <w:b/>
          <w:sz w:val="22"/>
          <w:szCs w:val="22"/>
          <w:lang w:val="en-GB"/>
        </w:rPr>
        <w:t>Critical evaluation</w:t>
      </w:r>
    </w:p>
    <w:p w14:paraId="7050EE36" w14:textId="09FBA9EC" w:rsidR="002F5EC0" w:rsidRPr="002F5EC0" w:rsidRDefault="002F5EC0" w:rsidP="7A0A3DDB">
      <w:pPr>
        <w:spacing w:line="360" w:lineRule="auto"/>
        <w:rPr>
          <w:rFonts w:ascii="Arial" w:eastAsia="Arial" w:hAnsi="Arial" w:cs="Arial"/>
          <w:sz w:val="22"/>
          <w:szCs w:val="22"/>
          <w:lang w:val="en-GB"/>
        </w:rPr>
      </w:pPr>
      <w:r w:rsidRPr="7A0A3DDB">
        <w:rPr>
          <w:rFonts w:ascii="Arial" w:eastAsia="Arial" w:hAnsi="Arial" w:cs="Arial"/>
          <w:sz w:val="22"/>
          <w:szCs w:val="22"/>
          <w:lang w:val="en-GB"/>
        </w:rPr>
        <w:t>Approximately 689 million people live on less than $1.90 a day, a clear indicator of extreme poverty</w:t>
      </w:r>
      <w:r w:rsidR="095F2394" w:rsidRPr="7A0A3DDB">
        <w:rPr>
          <w:rFonts w:ascii="Arial" w:eastAsia="Arial" w:hAnsi="Arial" w:cs="Arial"/>
          <w:sz w:val="22"/>
          <w:szCs w:val="22"/>
          <w:lang w:val="en-GB"/>
        </w:rPr>
        <w:t xml:space="preserve"> (Segovia-Hernandez et al., 2024)</w:t>
      </w:r>
      <w:r w:rsidRPr="7A0A3DDB">
        <w:rPr>
          <w:rFonts w:ascii="Arial" w:eastAsia="Arial" w:hAnsi="Arial" w:cs="Arial"/>
          <w:sz w:val="22"/>
          <w:szCs w:val="22"/>
          <w:lang w:val="en-GB"/>
        </w:rPr>
        <w:t>. The COVID-19 pandemic worsened this situation, adding over 100 million people in 2020</w:t>
      </w:r>
      <w:r w:rsidR="6AA796BE" w:rsidRPr="7A0A3DDB">
        <w:rPr>
          <w:rFonts w:ascii="Arial" w:eastAsia="Arial" w:hAnsi="Arial" w:cs="Arial"/>
          <w:sz w:val="22"/>
          <w:szCs w:val="22"/>
          <w:lang w:val="en-GB"/>
        </w:rPr>
        <w:t xml:space="preserve"> (Velempini, 2025)</w:t>
      </w:r>
      <w:r w:rsidRPr="7A0A3DDB">
        <w:rPr>
          <w:rFonts w:ascii="Arial" w:eastAsia="Arial" w:hAnsi="Arial" w:cs="Arial"/>
          <w:sz w:val="22"/>
          <w:szCs w:val="22"/>
          <w:lang w:val="en-GB"/>
        </w:rPr>
        <w:t>.  Key contributors to ongoing poverty include lack of quality education, inadequate healthcare, and limited job opportunities, with gender inequality further entrenching the issue</w:t>
      </w:r>
      <w:r w:rsidR="15970FD5" w:rsidRPr="7A0A3DDB">
        <w:rPr>
          <w:rFonts w:ascii="Arial" w:eastAsia="Arial" w:hAnsi="Arial" w:cs="Arial"/>
          <w:sz w:val="22"/>
          <w:szCs w:val="22"/>
          <w:lang w:val="en-GB"/>
        </w:rPr>
        <w:t xml:space="preserve"> (Velempini, 2025)</w:t>
      </w:r>
      <w:r w:rsidRPr="7A0A3DDB">
        <w:rPr>
          <w:rFonts w:ascii="Arial" w:eastAsia="Arial" w:hAnsi="Arial" w:cs="Arial"/>
          <w:sz w:val="22"/>
          <w:szCs w:val="22"/>
          <w:lang w:val="en-GB"/>
        </w:rPr>
        <w:t>.</w:t>
      </w:r>
      <w:r w:rsidR="0C1C0F4A" w:rsidRPr="7A0A3DDB">
        <w:rPr>
          <w:rFonts w:ascii="Arial" w:eastAsia="Arial" w:hAnsi="Arial" w:cs="Arial"/>
          <w:sz w:val="22"/>
          <w:szCs w:val="22"/>
          <w:lang w:val="en-GB"/>
        </w:rPr>
        <w:t xml:space="preserve"> </w:t>
      </w:r>
    </w:p>
    <w:p w14:paraId="119AE468" w14:textId="6A1C6F4D" w:rsidR="002F5EC0" w:rsidRPr="002F5EC0" w:rsidRDefault="002F5EC0" w:rsidP="7A0A3DDB">
      <w:pPr>
        <w:spacing w:line="360" w:lineRule="auto"/>
        <w:rPr>
          <w:rFonts w:ascii="Arial" w:eastAsia="Arial" w:hAnsi="Arial" w:cs="Arial"/>
          <w:sz w:val="22"/>
          <w:szCs w:val="22"/>
          <w:lang w:val="en-GB"/>
        </w:rPr>
      </w:pPr>
      <w:r w:rsidRPr="7A0A3DDB">
        <w:rPr>
          <w:rFonts w:ascii="Arial" w:eastAsia="Arial" w:hAnsi="Arial" w:cs="Arial"/>
          <w:sz w:val="22"/>
          <w:szCs w:val="22"/>
          <w:lang w:val="en-GB"/>
        </w:rPr>
        <w:t>While programs like conditional cash transfers and microfinance have had some success, they often struggle with implementation and coverage</w:t>
      </w:r>
      <w:r w:rsidR="51827C76" w:rsidRPr="7A0A3DDB">
        <w:rPr>
          <w:rFonts w:ascii="Arial" w:eastAsia="Arial" w:hAnsi="Arial" w:cs="Arial"/>
          <w:sz w:val="22"/>
          <w:szCs w:val="22"/>
          <w:lang w:val="en-GB"/>
        </w:rPr>
        <w:t xml:space="preserve"> (Biswas et al., 2025)</w:t>
      </w:r>
      <w:r w:rsidRPr="7A0A3DDB">
        <w:rPr>
          <w:rFonts w:ascii="Arial" w:eastAsia="Arial" w:hAnsi="Arial" w:cs="Arial"/>
          <w:sz w:val="22"/>
          <w:szCs w:val="22"/>
          <w:lang w:val="en-GB"/>
        </w:rPr>
        <w:t>. An emphasis on short-term aid rather than long-term solutions undermines sustainable efforts to reduce poverty</w:t>
      </w:r>
      <w:r w:rsidR="1274FF09" w:rsidRPr="7A0A3DDB">
        <w:rPr>
          <w:rFonts w:ascii="Arial" w:eastAsia="Arial" w:hAnsi="Arial" w:cs="Arial"/>
          <w:sz w:val="22"/>
          <w:szCs w:val="22"/>
          <w:lang w:val="en-GB"/>
        </w:rPr>
        <w:t xml:space="preserve"> (Biswas et al., 2025)</w:t>
      </w:r>
      <w:r w:rsidRPr="7A0A3DDB">
        <w:rPr>
          <w:rFonts w:ascii="Arial" w:eastAsia="Arial" w:hAnsi="Arial" w:cs="Arial"/>
          <w:sz w:val="22"/>
          <w:szCs w:val="22"/>
          <w:lang w:val="en-GB"/>
        </w:rPr>
        <w:t>.</w:t>
      </w:r>
    </w:p>
    <w:p w14:paraId="6F7D8626" w14:textId="0900BC34" w:rsidR="002F5EC0" w:rsidRPr="002F5EC0" w:rsidRDefault="002F5EC0" w:rsidP="7A0A3DDB">
      <w:pPr>
        <w:spacing w:line="360" w:lineRule="auto"/>
        <w:rPr>
          <w:rFonts w:ascii="Arial" w:eastAsia="Arial" w:hAnsi="Arial" w:cs="Arial"/>
          <w:b/>
          <w:sz w:val="22"/>
          <w:szCs w:val="22"/>
          <w:lang w:val="en-GB"/>
        </w:rPr>
      </w:pPr>
      <w:r w:rsidRPr="7A0A3DDB">
        <w:rPr>
          <w:rFonts w:ascii="Arial" w:eastAsia="Arial" w:hAnsi="Arial" w:cs="Arial"/>
          <w:b/>
          <w:sz w:val="22"/>
          <w:szCs w:val="22"/>
          <w:lang w:val="en-GB"/>
        </w:rPr>
        <w:t>Recommendations</w:t>
      </w:r>
    </w:p>
    <w:p w14:paraId="53C1C2AD" w14:textId="40C873E5" w:rsidR="002F5EC0" w:rsidRPr="002F5EC0" w:rsidRDefault="002F5EC0" w:rsidP="7A0A3DDB">
      <w:pPr>
        <w:spacing w:line="360" w:lineRule="auto"/>
        <w:rPr>
          <w:rFonts w:ascii="Arial" w:eastAsia="Arial" w:hAnsi="Arial" w:cs="Arial"/>
          <w:sz w:val="22"/>
          <w:szCs w:val="22"/>
          <w:lang w:val="en-GB"/>
        </w:rPr>
      </w:pPr>
      <w:r w:rsidRPr="7A0A3DDB">
        <w:rPr>
          <w:rFonts w:ascii="Arial" w:eastAsia="Arial" w:hAnsi="Arial" w:cs="Arial"/>
          <w:sz w:val="22"/>
          <w:szCs w:val="22"/>
          <w:lang w:val="en-GB"/>
        </w:rPr>
        <w:t>We need policies that tackle poverty by linking economic growth with better education, healthcare, and social protection. For example, combining vocational training with job creation prepares people for sustainable jobs. Supporting small businesses boosts local communities, and ensuring access to markets and financial services strengthens local economies and reduces dependency on aid</w:t>
      </w:r>
      <w:r w:rsidR="06E3CB98" w:rsidRPr="7A0A3DDB">
        <w:rPr>
          <w:rFonts w:ascii="Arial" w:eastAsia="Arial" w:hAnsi="Arial" w:cs="Arial"/>
          <w:sz w:val="22"/>
          <w:szCs w:val="22"/>
          <w:lang w:val="en-GB"/>
        </w:rPr>
        <w:t xml:space="preserve"> (Zhou, 2024)</w:t>
      </w:r>
      <w:r w:rsidRPr="7A0A3DDB">
        <w:rPr>
          <w:rFonts w:ascii="Arial" w:eastAsia="Arial" w:hAnsi="Arial" w:cs="Arial"/>
          <w:sz w:val="22"/>
          <w:szCs w:val="22"/>
          <w:lang w:val="en-GB"/>
        </w:rPr>
        <w:t>.</w:t>
      </w:r>
    </w:p>
    <w:p w14:paraId="55AFC46C" w14:textId="0426806F" w:rsidR="002F5EC0" w:rsidRPr="002F5EC0" w:rsidRDefault="002F5EC0" w:rsidP="7A0A3DDB">
      <w:pPr>
        <w:spacing w:line="360" w:lineRule="auto"/>
        <w:rPr>
          <w:rFonts w:ascii="Arial" w:eastAsia="Arial" w:hAnsi="Arial" w:cs="Arial"/>
          <w:sz w:val="22"/>
          <w:szCs w:val="22"/>
          <w:lang w:val="en-GB"/>
        </w:rPr>
      </w:pPr>
      <w:r w:rsidRPr="7A0A3DDB">
        <w:rPr>
          <w:rFonts w:ascii="Arial" w:eastAsia="Arial" w:hAnsi="Arial" w:cs="Arial"/>
          <w:sz w:val="22"/>
          <w:szCs w:val="22"/>
          <w:lang w:val="en-GB"/>
        </w:rPr>
        <w:t>Involving local governments, NGOs, community leaders, and people experiencing poverty in creating and implementing strategies is crucial</w:t>
      </w:r>
      <w:r w:rsidR="4B22FADB" w:rsidRPr="7A0A3DDB">
        <w:rPr>
          <w:rFonts w:ascii="Arial" w:eastAsia="Arial" w:hAnsi="Arial" w:cs="Arial"/>
          <w:sz w:val="22"/>
          <w:szCs w:val="22"/>
          <w:lang w:val="en-GB"/>
        </w:rPr>
        <w:t xml:space="preserve"> (Zhou, 2024)</w:t>
      </w:r>
      <w:r w:rsidRPr="7A0A3DDB">
        <w:rPr>
          <w:rFonts w:ascii="Arial" w:eastAsia="Arial" w:hAnsi="Arial" w:cs="Arial"/>
          <w:sz w:val="22"/>
          <w:szCs w:val="22"/>
          <w:lang w:val="en-GB"/>
        </w:rPr>
        <w:t>. This ensures initiatives are relevant, culturally sensitive, and promotes accountability and community ownership</w:t>
      </w:r>
      <w:r w:rsidR="204B5C64" w:rsidRPr="7A0A3DDB">
        <w:rPr>
          <w:rFonts w:ascii="Arial" w:eastAsia="Arial" w:hAnsi="Arial" w:cs="Arial"/>
          <w:sz w:val="22"/>
          <w:szCs w:val="22"/>
          <w:lang w:val="en-GB"/>
        </w:rPr>
        <w:t xml:space="preserve"> (Zhou, 2024)</w:t>
      </w:r>
      <w:r w:rsidRPr="7A0A3DDB">
        <w:rPr>
          <w:rFonts w:ascii="Arial" w:eastAsia="Arial" w:hAnsi="Arial" w:cs="Arial"/>
          <w:sz w:val="22"/>
          <w:szCs w:val="22"/>
          <w:lang w:val="en-GB"/>
        </w:rPr>
        <w:t>.</w:t>
      </w:r>
    </w:p>
    <w:p w14:paraId="62BDF485" w14:textId="5DCF3340" w:rsidR="7FE47AC9" w:rsidRDefault="002F5EC0" w:rsidP="7FE47AC9">
      <w:pPr>
        <w:spacing w:line="360" w:lineRule="auto"/>
        <w:rPr>
          <w:rFonts w:ascii="Arial" w:eastAsia="Arial" w:hAnsi="Arial" w:cs="Arial"/>
          <w:sz w:val="22"/>
          <w:szCs w:val="22"/>
          <w:lang w:val="en-GB"/>
        </w:rPr>
      </w:pPr>
      <w:r w:rsidRPr="1E52A072">
        <w:rPr>
          <w:rFonts w:ascii="Arial" w:eastAsia="Arial" w:hAnsi="Arial" w:cs="Arial"/>
          <w:sz w:val="22"/>
          <w:szCs w:val="22"/>
          <w:lang w:val="en-GB"/>
        </w:rPr>
        <w:t>Investing in solid data collection is essential for tracking progress and understanding poverty dynamics. Good data helps inform policies and enables targeted actions. Since global economies are interconnected, international collaboration is crucial. Wealthier nations should increase financial aid and capacity-building in developing regions, acknowledging that global poverty impacts everyone</w:t>
      </w:r>
      <w:r w:rsidR="727DA943" w:rsidRPr="1E52A072">
        <w:rPr>
          <w:rFonts w:ascii="Arial" w:eastAsia="Arial" w:hAnsi="Arial" w:cs="Arial"/>
          <w:sz w:val="22"/>
          <w:szCs w:val="22"/>
          <w:lang w:val="en-GB"/>
        </w:rPr>
        <w:t xml:space="preserve"> (Zhou, 2024)</w:t>
      </w:r>
      <w:r w:rsidRPr="1E52A072">
        <w:rPr>
          <w:rFonts w:ascii="Arial" w:eastAsia="Arial" w:hAnsi="Arial" w:cs="Arial"/>
          <w:sz w:val="22"/>
          <w:szCs w:val="22"/>
          <w:lang w:val="en-GB"/>
        </w:rPr>
        <w:t>.</w:t>
      </w:r>
    </w:p>
    <w:p w14:paraId="3CA9343F" w14:textId="728CF879" w:rsidR="3624EAC5" w:rsidRDefault="29991C0A" w:rsidP="7FE47AC9">
      <w:pPr>
        <w:spacing w:line="360" w:lineRule="auto"/>
        <w:rPr>
          <w:rFonts w:ascii="Arial" w:eastAsia="Arial" w:hAnsi="Arial" w:cs="Arial"/>
          <w:b/>
          <w:bCs/>
          <w:sz w:val="22"/>
          <w:szCs w:val="22"/>
          <w:lang w:val="en-GB"/>
        </w:rPr>
      </w:pPr>
      <w:r w:rsidRPr="1E52A072">
        <w:rPr>
          <w:rFonts w:ascii="Arial" w:eastAsia="Arial" w:hAnsi="Arial" w:cs="Arial"/>
          <w:b/>
          <w:bCs/>
          <w:sz w:val="22"/>
          <w:szCs w:val="22"/>
          <w:lang w:val="en-GB"/>
        </w:rPr>
        <w:t>Conclusion</w:t>
      </w:r>
      <w:r w:rsidR="3624EAC5" w:rsidRPr="1E52A072">
        <w:rPr>
          <w:rFonts w:ascii="Arial" w:eastAsia="Arial" w:hAnsi="Arial" w:cs="Arial"/>
          <w:b/>
          <w:bCs/>
          <w:sz w:val="22"/>
          <w:szCs w:val="22"/>
          <w:lang w:val="en-GB"/>
        </w:rPr>
        <w:t xml:space="preserve"> </w:t>
      </w:r>
    </w:p>
    <w:p w14:paraId="4B49CB28" w14:textId="3527308F" w:rsidR="00B24BBF" w:rsidRPr="00B24BBF" w:rsidRDefault="00B24BBF" w:rsidP="1E52A072">
      <w:pPr>
        <w:spacing w:after="45" w:line="360" w:lineRule="auto"/>
        <w:rPr>
          <w:rFonts w:ascii="Arial" w:eastAsia="Arial" w:hAnsi="Arial" w:cs="Arial"/>
          <w:sz w:val="22"/>
          <w:szCs w:val="22"/>
        </w:rPr>
      </w:pPr>
      <w:r w:rsidRPr="1E52A072">
        <w:rPr>
          <w:rFonts w:ascii="Arial" w:eastAsia="Arial" w:hAnsi="Arial" w:cs="Arial"/>
          <w:kern w:val="0"/>
          <w:sz w:val="22"/>
          <w:szCs w:val="22"/>
          <w14:ligatures w14:val="none"/>
        </w:rPr>
        <w:t>In conclusion, Sustainable Development Goal 3 (SDG 3), which aims to ensure healthy lives and promote well-being for all at all ages, and Sustainable Development Goal 1 (SDG 1), focused on ending poverty in all its forms everywhere, are intricately linked both in the UK and globally.</w:t>
      </w:r>
      <w:r w:rsidR="04172754" w:rsidRPr="1E52A072">
        <w:rPr>
          <w:rFonts w:ascii="Arial" w:eastAsia="Arial" w:hAnsi="Arial" w:cs="Arial"/>
          <w:kern w:val="0"/>
          <w:sz w:val="22"/>
          <w:szCs w:val="22"/>
          <w14:ligatures w14:val="none"/>
        </w:rPr>
        <w:t xml:space="preserve"> </w:t>
      </w:r>
      <w:r w:rsidRPr="1E52A072">
        <w:rPr>
          <w:rFonts w:ascii="Arial" w:eastAsia="Arial" w:hAnsi="Arial" w:cs="Arial"/>
          <w:kern w:val="0"/>
          <w:sz w:val="22"/>
          <w:szCs w:val="22"/>
          <w14:ligatures w14:val="none"/>
        </w:rPr>
        <w:t>In the UK, significant progress has been made in areas such as reducing infant mortality rates and improving access to healthcare services. However, challenges remain, particularly in addressing health disparities among different socioeconomic groups.</w:t>
      </w:r>
    </w:p>
    <w:p w14:paraId="6976CED3" w14:textId="0F00F674" w:rsidR="00B24BBF" w:rsidRPr="00B24BBF" w:rsidRDefault="00B24BBF" w:rsidP="1E52A072">
      <w:pPr>
        <w:spacing w:after="45" w:line="360" w:lineRule="auto"/>
        <w:rPr>
          <w:rFonts w:ascii="Arial" w:eastAsia="Arial" w:hAnsi="Arial" w:cs="Arial"/>
          <w:kern w:val="0"/>
          <w:sz w:val="22"/>
          <w:szCs w:val="22"/>
          <w14:ligatures w14:val="none"/>
        </w:rPr>
      </w:pPr>
      <w:r w:rsidRPr="1E52A072">
        <w:rPr>
          <w:rFonts w:ascii="Arial" w:eastAsia="Arial" w:hAnsi="Arial" w:cs="Arial"/>
          <w:kern w:val="0"/>
          <w:sz w:val="22"/>
          <w:szCs w:val="22"/>
          <w14:ligatures w14:val="none"/>
        </w:rPr>
        <w:t xml:space="preserve"> </w:t>
      </w:r>
      <w:r w:rsidR="74398349" w:rsidRPr="1E52A072">
        <w:rPr>
          <w:rFonts w:ascii="Arial" w:eastAsia="Arial" w:hAnsi="Arial" w:cs="Arial"/>
          <w:kern w:val="0"/>
          <w:sz w:val="22"/>
          <w:szCs w:val="22"/>
          <w14:ligatures w14:val="none"/>
        </w:rPr>
        <w:t xml:space="preserve">Also, </w:t>
      </w:r>
      <w:r w:rsidRPr="1E52A072">
        <w:rPr>
          <w:rFonts w:ascii="Arial" w:eastAsia="Arial" w:hAnsi="Arial" w:cs="Arial"/>
          <w:kern w:val="0"/>
          <w:sz w:val="22"/>
          <w:szCs w:val="22"/>
          <w14:ligatures w14:val="none"/>
        </w:rPr>
        <w:t xml:space="preserve">countries </w:t>
      </w:r>
      <w:r w:rsidR="26B52FE6" w:rsidRPr="1E52A072">
        <w:rPr>
          <w:rFonts w:ascii="Arial" w:eastAsia="Arial" w:hAnsi="Arial" w:cs="Arial"/>
          <w:kern w:val="0"/>
          <w:sz w:val="22"/>
          <w:szCs w:val="22"/>
          <w14:ligatures w14:val="none"/>
        </w:rPr>
        <w:t xml:space="preserve">like Kenya </w:t>
      </w:r>
      <w:r w:rsidRPr="1E52A072">
        <w:rPr>
          <w:rFonts w:ascii="Arial" w:eastAsia="Arial" w:hAnsi="Arial" w:cs="Arial"/>
          <w:kern w:val="0"/>
          <w:sz w:val="22"/>
          <w:szCs w:val="22"/>
          <w14:ligatures w14:val="none"/>
        </w:rPr>
        <w:t>continue to grapple with high levels of poverty, which directly undermines public health efforts. Access to essential health services is often limited in low-income nations, where diseases prevalent in these regions can thrive due to poor living conditions and lack of resources. Worldwide, efforts to combat poverty through economic growth and social protection schemes are crucial to improving health outcomes, as they can help lift populations out of poverty and enable better access to services and resources that contribute to better health.</w:t>
      </w:r>
    </w:p>
    <w:p w14:paraId="0DE96AE4" w14:textId="77777777" w:rsidR="00B24BBF" w:rsidRPr="00B24BBF" w:rsidRDefault="00B24BBF" w:rsidP="1E52A072">
      <w:pPr>
        <w:spacing w:after="45" w:line="360" w:lineRule="auto"/>
        <w:rPr>
          <w:rFonts w:ascii="Arial" w:eastAsia="Arial" w:hAnsi="Arial" w:cs="Arial"/>
          <w:kern w:val="0"/>
          <w:sz w:val="22"/>
          <w:szCs w:val="22"/>
          <w14:ligatures w14:val="none"/>
        </w:rPr>
      </w:pPr>
    </w:p>
    <w:p w14:paraId="4EB6786E" w14:textId="1E6D7278" w:rsidR="00B24BBF" w:rsidRPr="00B24BBF" w:rsidRDefault="00B24BBF" w:rsidP="1E52A072">
      <w:pPr>
        <w:spacing w:after="45" w:line="360" w:lineRule="auto"/>
        <w:rPr>
          <w:rFonts w:ascii="Arial" w:eastAsia="Arial" w:hAnsi="Arial" w:cs="Arial"/>
          <w:kern w:val="0"/>
          <w:sz w:val="22"/>
          <w:szCs w:val="22"/>
          <w14:ligatures w14:val="none"/>
        </w:rPr>
      </w:pPr>
      <w:r w:rsidRPr="1E52A072">
        <w:rPr>
          <w:rFonts w:ascii="Arial" w:eastAsia="Arial" w:hAnsi="Arial" w:cs="Arial"/>
          <w:kern w:val="0"/>
          <w:sz w:val="22"/>
          <w:szCs w:val="22"/>
          <w14:ligatures w14:val="none"/>
        </w:rPr>
        <w:t>Thus, addressing SDG 1 and SDG 3 requires a coordinated approach that recognizes the interdependence of economic stability and health. Global collaborations and local initiatives must focus on equitable resource distribution, empowering communities, and fostering environments that promote both economic viability and health equity.</w:t>
      </w:r>
    </w:p>
    <w:p w14:paraId="7AC1AD6A" w14:textId="624D155B" w:rsidR="00B24BBF" w:rsidRPr="00B24BBF" w:rsidRDefault="00B24BBF" w:rsidP="1E52A072">
      <w:pPr>
        <w:spacing w:line="360" w:lineRule="auto"/>
        <w:rPr>
          <w:rFonts w:ascii="Arial" w:eastAsia="Arial" w:hAnsi="Arial" w:cs="Arial"/>
          <w:sz w:val="22"/>
          <w:szCs w:val="22"/>
          <w:lang w:val="en-GB"/>
        </w:rPr>
      </w:pPr>
    </w:p>
    <w:p w14:paraId="2AC15EE6" w14:textId="515CBBB9" w:rsidR="00DC7632" w:rsidRPr="002023E1" w:rsidRDefault="00DC7632" w:rsidP="1E52A072">
      <w:pPr>
        <w:spacing w:line="360" w:lineRule="auto"/>
        <w:rPr>
          <w:rFonts w:ascii="Arial" w:eastAsia="Arial" w:hAnsi="Arial" w:cs="Arial"/>
          <w:sz w:val="22"/>
          <w:szCs w:val="22"/>
          <w:lang w:val="en-GB"/>
        </w:rPr>
      </w:pPr>
    </w:p>
    <w:p w14:paraId="02E8E2B9" w14:textId="099C533E" w:rsidR="7FE47AC9" w:rsidRDefault="7FE47AC9" w:rsidP="7FE47AC9">
      <w:pPr>
        <w:rPr>
          <w:b/>
          <w:bCs/>
          <w:lang w:val="en-GB"/>
        </w:rPr>
      </w:pPr>
    </w:p>
    <w:p w14:paraId="4B1B05B7" w14:textId="19796123" w:rsidR="7FE47AC9" w:rsidRDefault="7FE47AC9" w:rsidP="7FE47AC9">
      <w:pPr>
        <w:rPr>
          <w:b/>
          <w:bCs/>
          <w:lang w:val="en-GB"/>
        </w:rPr>
      </w:pPr>
    </w:p>
    <w:p w14:paraId="75697DC2" w14:textId="10F353EB" w:rsidR="7FE47AC9" w:rsidRDefault="7FE47AC9" w:rsidP="7FE47AC9">
      <w:pPr>
        <w:rPr>
          <w:b/>
          <w:bCs/>
          <w:lang w:val="en-GB"/>
        </w:rPr>
      </w:pPr>
    </w:p>
    <w:p w14:paraId="6CE71606" w14:textId="62577FC9" w:rsidR="7FE47AC9" w:rsidRDefault="7FE47AC9" w:rsidP="7FE47AC9">
      <w:pPr>
        <w:rPr>
          <w:b/>
          <w:bCs/>
          <w:lang w:val="en-GB"/>
        </w:rPr>
      </w:pPr>
    </w:p>
    <w:p w14:paraId="59F87468" w14:textId="7DD88095" w:rsidR="7FE47AC9" w:rsidRDefault="7FE47AC9" w:rsidP="7FE47AC9">
      <w:pPr>
        <w:rPr>
          <w:b/>
          <w:bCs/>
          <w:lang w:val="en-GB"/>
        </w:rPr>
      </w:pPr>
    </w:p>
    <w:p w14:paraId="6E2B381F" w14:textId="63AAFBD3" w:rsidR="7FE47AC9" w:rsidRDefault="7FE47AC9" w:rsidP="7FE47AC9">
      <w:pPr>
        <w:rPr>
          <w:b/>
          <w:bCs/>
          <w:lang w:val="en-GB"/>
        </w:rPr>
      </w:pPr>
    </w:p>
    <w:p w14:paraId="51BB3311" w14:textId="7FA28484" w:rsidR="7FE47AC9" w:rsidRDefault="7FE47AC9" w:rsidP="7FE47AC9">
      <w:pPr>
        <w:rPr>
          <w:b/>
          <w:bCs/>
          <w:lang w:val="en-GB"/>
        </w:rPr>
      </w:pPr>
    </w:p>
    <w:p w14:paraId="5D124993" w14:textId="01D3542B" w:rsidR="1E52A072" w:rsidRDefault="1E52A072" w:rsidP="1E52A072">
      <w:pPr>
        <w:jc w:val="both"/>
        <w:rPr>
          <w:b/>
          <w:bCs/>
          <w:sz w:val="22"/>
          <w:szCs w:val="22"/>
          <w:lang w:val="en-GB"/>
        </w:rPr>
      </w:pPr>
    </w:p>
    <w:p w14:paraId="04193F12" w14:textId="424B07E9" w:rsidR="1E52A072" w:rsidRDefault="1E52A072" w:rsidP="1E52A072">
      <w:pPr>
        <w:jc w:val="both"/>
        <w:rPr>
          <w:b/>
          <w:bCs/>
          <w:sz w:val="22"/>
          <w:szCs w:val="22"/>
          <w:lang w:val="en-GB"/>
        </w:rPr>
      </w:pPr>
    </w:p>
    <w:p w14:paraId="0AC28CEB" w14:textId="7DEA9566" w:rsidR="1E52A072" w:rsidRDefault="1E52A072" w:rsidP="1E52A072">
      <w:pPr>
        <w:jc w:val="both"/>
        <w:rPr>
          <w:b/>
          <w:bCs/>
          <w:sz w:val="22"/>
          <w:szCs w:val="22"/>
          <w:lang w:val="en-GB"/>
        </w:rPr>
      </w:pPr>
    </w:p>
    <w:p w14:paraId="2E4501CD" w14:textId="64C5C03D" w:rsidR="1E52A072" w:rsidRDefault="1E52A072" w:rsidP="1E52A072">
      <w:pPr>
        <w:jc w:val="both"/>
        <w:rPr>
          <w:b/>
          <w:bCs/>
          <w:sz w:val="22"/>
          <w:szCs w:val="22"/>
          <w:lang w:val="en-GB"/>
        </w:rPr>
      </w:pPr>
    </w:p>
    <w:p w14:paraId="009CF2FC" w14:textId="77F8D84F" w:rsidR="1E52A072" w:rsidRDefault="1E52A072" w:rsidP="1E52A072">
      <w:pPr>
        <w:jc w:val="both"/>
        <w:rPr>
          <w:b/>
          <w:bCs/>
          <w:sz w:val="22"/>
          <w:szCs w:val="22"/>
          <w:lang w:val="en-GB"/>
        </w:rPr>
      </w:pPr>
    </w:p>
    <w:p w14:paraId="2F2FC65F" w14:textId="41B2F101" w:rsidR="1E52A072" w:rsidRDefault="1E52A072" w:rsidP="1E52A072">
      <w:pPr>
        <w:jc w:val="both"/>
        <w:rPr>
          <w:b/>
          <w:bCs/>
          <w:sz w:val="22"/>
          <w:szCs w:val="22"/>
          <w:lang w:val="en-GB"/>
        </w:rPr>
      </w:pPr>
    </w:p>
    <w:p w14:paraId="6C1D0173" w14:textId="5D0771DB" w:rsidR="1E52A072" w:rsidRDefault="1E52A072" w:rsidP="1E52A072">
      <w:pPr>
        <w:jc w:val="both"/>
        <w:rPr>
          <w:b/>
          <w:bCs/>
          <w:sz w:val="22"/>
          <w:szCs w:val="22"/>
          <w:lang w:val="en-GB"/>
        </w:rPr>
      </w:pPr>
    </w:p>
    <w:p w14:paraId="0AD74833" w14:textId="3325EE50" w:rsidR="1E52A072" w:rsidRDefault="1E52A072" w:rsidP="1E52A072">
      <w:pPr>
        <w:jc w:val="both"/>
        <w:rPr>
          <w:b/>
          <w:bCs/>
          <w:sz w:val="22"/>
          <w:szCs w:val="22"/>
          <w:lang w:val="en-GB"/>
        </w:rPr>
      </w:pPr>
    </w:p>
    <w:p w14:paraId="0A10F4C8" w14:textId="7805B3DC" w:rsidR="01A2BF80" w:rsidRDefault="380F1BA7" w:rsidP="7FE47AC9">
      <w:pPr>
        <w:jc w:val="both"/>
        <w:rPr>
          <w:b/>
          <w:sz w:val="22"/>
          <w:szCs w:val="22"/>
          <w:lang w:val="en-GB"/>
        </w:rPr>
      </w:pPr>
      <w:r w:rsidRPr="7FE47AC9">
        <w:rPr>
          <w:b/>
          <w:sz w:val="22"/>
          <w:szCs w:val="22"/>
          <w:lang w:val="en-GB"/>
        </w:rPr>
        <w:t xml:space="preserve">Reference </w:t>
      </w:r>
    </w:p>
    <w:p w14:paraId="28ACAB41" w14:textId="22ABBC7C" w:rsidR="26BD5D55" w:rsidRDefault="24DF6CFF"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Aslam, B., Asghar, R., Muzammil, S., Shafique, M., Siddique, A.B., Khurshid, M., Ijaz, M., Rasool, M.H., Chaudhry, T.H., Aamir, A. and Baloch, Z. (2024). AMR and Sustainable Development Goals: at a crossroads. </w:t>
      </w:r>
      <w:r w:rsidRPr="7FE47AC9">
        <w:rPr>
          <w:rFonts w:ascii="Calibri" w:eastAsia="Calibri" w:hAnsi="Calibri" w:cs="Calibri"/>
          <w:i/>
          <w:color w:val="000000" w:themeColor="text1"/>
          <w:sz w:val="22"/>
          <w:szCs w:val="22"/>
          <w:lang w:val="en-GB"/>
        </w:rPr>
        <w:t>Globalization and Health</w:t>
      </w:r>
      <w:r w:rsidRPr="7FE47AC9">
        <w:rPr>
          <w:rFonts w:ascii="Calibri" w:eastAsia="Calibri" w:hAnsi="Calibri" w:cs="Calibri"/>
          <w:color w:val="000000" w:themeColor="text1"/>
          <w:sz w:val="22"/>
          <w:szCs w:val="22"/>
          <w:lang w:val="en-GB"/>
        </w:rPr>
        <w:t xml:space="preserve">, 20(1). doi:https://doi.org/10.1186/s12992-024-01046-8. </w:t>
      </w:r>
    </w:p>
    <w:p w14:paraId="552A7DD0" w14:textId="1D156127" w:rsidR="7FE47AC9" w:rsidRDefault="7FE47AC9" w:rsidP="7FE47AC9">
      <w:pPr>
        <w:spacing w:after="0"/>
        <w:jc w:val="both"/>
        <w:rPr>
          <w:rFonts w:ascii="Calibri" w:eastAsia="Calibri" w:hAnsi="Calibri" w:cs="Calibri"/>
          <w:color w:val="000000" w:themeColor="text1"/>
          <w:sz w:val="22"/>
          <w:szCs w:val="22"/>
          <w:lang w:val="en-GB"/>
        </w:rPr>
      </w:pPr>
    </w:p>
    <w:p w14:paraId="456A0770" w14:textId="78C86491" w:rsidR="15A3E587" w:rsidRDefault="15A3E587"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Austen El-Osta, Sami Altalib, Aos Alaa, Mahmoud Al-Ammouri, Karki, M., Riboli-Sasco, E., Majeed, A. and Kudrna, L. (2025). A scoping review of UK local government workplace health and wellbeing programmes. </w:t>
      </w:r>
      <w:r w:rsidRPr="7FE47AC9">
        <w:rPr>
          <w:rFonts w:ascii="Calibri" w:eastAsia="Calibri" w:hAnsi="Calibri" w:cs="Calibri"/>
          <w:i/>
          <w:color w:val="000000" w:themeColor="text1"/>
          <w:sz w:val="22"/>
          <w:szCs w:val="22"/>
          <w:lang w:val="en-GB"/>
        </w:rPr>
        <w:t>BMC Public Health</w:t>
      </w:r>
      <w:r w:rsidRPr="7FE47AC9">
        <w:rPr>
          <w:rFonts w:ascii="Calibri" w:eastAsia="Calibri" w:hAnsi="Calibri" w:cs="Calibri"/>
          <w:color w:val="000000" w:themeColor="text1"/>
          <w:sz w:val="22"/>
          <w:szCs w:val="22"/>
          <w:lang w:val="en-GB"/>
        </w:rPr>
        <w:t xml:space="preserve">, 25(1). doi:https://doi.org/10.1186/s12889-025-23176-3. </w:t>
      </w:r>
    </w:p>
    <w:p w14:paraId="6DD1AEA5" w14:textId="7C0F2EC4" w:rsidR="66BE0AB5" w:rsidRDefault="66BE0AB5" w:rsidP="7FE47AC9">
      <w:pPr>
        <w:spacing w:after="0"/>
        <w:jc w:val="both"/>
        <w:rPr>
          <w:rFonts w:ascii="Calibri" w:eastAsia="Calibri" w:hAnsi="Calibri" w:cs="Calibri"/>
          <w:color w:val="000000" w:themeColor="text1"/>
          <w:sz w:val="22"/>
          <w:szCs w:val="22"/>
          <w:lang w:val="en-GB"/>
        </w:rPr>
      </w:pPr>
    </w:p>
    <w:p w14:paraId="1EAC223D" w14:textId="09D2619F" w:rsidR="7A0A3DDB" w:rsidRDefault="0494AE99"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Biswas, A., Sarkar, S., Das, S., Dutta, S., Choudhury, M.R., Giri, A., Bera, B., Bag, K., Mukherjee, B., Banerjee, K., Gupta, D. and Paul, D. (2025). Water scarcity: A global hindrance to sustainable development and agricultural production – A critical review of the impacts and adaptation strategies. </w:t>
      </w:r>
      <w:r w:rsidRPr="7FE47AC9">
        <w:rPr>
          <w:rFonts w:ascii="Calibri" w:eastAsia="Calibri" w:hAnsi="Calibri" w:cs="Calibri"/>
          <w:i/>
          <w:color w:val="000000" w:themeColor="text1"/>
          <w:sz w:val="22"/>
          <w:szCs w:val="22"/>
          <w:lang w:val="en-GB"/>
        </w:rPr>
        <w:t>Cambridge Prisms Water</w:t>
      </w:r>
      <w:r w:rsidRPr="7FE47AC9">
        <w:rPr>
          <w:rFonts w:ascii="Calibri" w:eastAsia="Calibri" w:hAnsi="Calibri" w:cs="Calibri"/>
          <w:color w:val="000000" w:themeColor="text1"/>
          <w:sz w:val="22"/>
          <w:szCs w:val="22"/>
          <w:lang w:val="en-GB"/>
        </w:rPr>
        <w:t>,  3. doi:https://doi.org/10.1017/wat.2024.16.</w:t>
      </w:r>
    </w:p>
    <w:p w14:paraId="6EC289F3" w14:textId="1EB6FCF6" w:rsidR="6E9ACB39" w:rsidRDefault="6E9ACB39" w:rsidP="7FE47AC9">
      <w:pPr>
        <w:spacing w:after="0"/>
        <w:jc w:val="both"/>
        <w:rPr>
          <w:rFonts w:ascii="Calibri" w:eastAsia="Calibri" w:hAnsi="Calibri" w:cs="Calibri"/>
          <w:color w:val="000000" w:themeColor="text1"/>
          <w:sz w:val="22"/>
          <w:szCs w:val="22"/>
          <w:lang w:val="en-GB"/>
        </w:rPr>
      </w:pPr>
    </w:p>
    <w:p w14:paraId="283BF822" w14:textId="4DD57B50" w:rsidR="2D9803B8" w:rsidRDefault="2D9803B8"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Bora, J.K. and Saikia, N. (2018). Neonatal and under-five mortality rate in Indian districts with reference to Sustainable Development Goal 3: An analysis of the National Family Health Survey of India (NFHS), 2015–2016. </w:t>
      </w:r>
      <w:r w:rsidRPr="7FE47AC9">
        <w:rPr>
          <w:rFonts w:ascii="Calibri" w:eastAsia="Calibri" w:hAnsi="Calibri" w:cs="Calibri"/>
          <w:i/>
          <w:color w:val="000000" w:themeColor="text1"/>
          <w:sz w:val="22"/>
          <w:szCs w:val="22"/>
          <w:lang w:val="en-GB"/>
        </w:rPr>
        <w:t>PLOS ONE</w:t>
      </w:r>
      <w:r w:rsidRPr="7FE47AC9">
        <w:rPr>
          <w:rFonts w:ascii="Calibri" w:eastAsia="Calibri" w:hAnsi="Calibri" w:cs="Calibri"/>
          <w:color w:val="000000" w:themeColor="text1"/>
          <w:sz w:val="22"/>
          <w:szCs w:val="22"/>
          <w:lang w:val="en-GB"/>
        </w:rPr>
        <w:t xml:space="preserve">, 13(7), p.e0201125. doi:https://doi.org/10.1371/journal.pone.0201125. </w:t>
      </w:r>
    </w:p>
    <w:p w14:paraId="64762285" w14:textId="0521F52F" w:rsidR="5F3A8107" w:rsidRDefault="5F3A8107" w:rsidP="7FE47AC9">
      <w:pPr>
        <w:spacing w:after="0"/>
        <w:jc w:val="both"/>
        <w:rPr>
          <w:rFonts w:ascii="Calibri" w:eastAsia="Calibri" w:hAnsi="Calibri" w:cs="Calibri"/>
          <w:color w:val="000000" w:themeColor="text1"/>
          <w:sz w:val="22"/>
          <w:szCs w:val="22"/>
          <w:lang w:val="en-GB"/>
        </w:rPr>
      </w:pPr>
    </w:p>
    <w:p w14:paraId="7DFD55D7" w14:textId="0AC97047" w:rsidR="6E56D7F7" w:rsidRDefault="6E56D7F7"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Cichos, K. and Salvia, A.L. (2018). Sustainable Development Goal 1. </w:t>
      </w:r>
      <w:r w:rsidRPr="7FE47AC9">
        <w:rPr>
          <w:rFonts w:ascii="Calibri" w:eastAsia="Calibri" w:hAnsi="Calibri" w:cs="Calibri"/>
          <w:i/>
          <w:color w:val="000000" w:themeColor="text1"/>
          <w:sz w:val="22"/>
          <w:szCs w:val="22"/>
          <w:lang w:val="en-GB"/>
        </w:rPr>
        <w:t>SDG1 – No Poverty</w:t>
      </w:r>
      <w:r w:rsidRPr="7FE47AC9">
        <w:rPr>
          <w:rFonts w:ascii="Calibri" w:eastAsia="Calibri" w:hAnsi="Calibri" w:cs="Calibri"/>
          <w:color w:val="000000" w:themeColor="text1"/>
          <w:sz w:val="22"/>
          <w:szCs w:val="22"/>
          <w:lang w:val="en-GB"/>
        </w:rPr>
        <w:t>, pp.51–61. doi:https://doi.org/10.1108/978-1-78769-625-920181007.</w:t>
      </w:r>
    </w:p>
    <w:p w14:paraId="48DF6905" w14:textId="60791F9E" w:rsidR="6E56D7F7" w:rsidRDefault="6E56D7F7"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w:t>
      </w:r>
      <w:r w:rsidR="40F42DAD" w:rsidRPr="7FE47AC9">
        <w:rPr>
          <w:rFonts w:ascii="Calibri" w:eastAsia="Calibri" w:hAnsi="Calibri" w:cs="Calibri"/>
          <w:color w:val="000000" w:themeColor="text1"/>
          <w:sz w:val="22"/>
          <w:szCs w:val="22"/>
          <w:lang w:val="en-GB"/>
        </w:rPr>
        <w:t xml:space="preserve"> </w:t>
      </w:r>
    </w:p>
    <w:p w14:paraId="7626E9A7" w14:textId="4B33C1AB" w:rsidR="2D9803B8" w:rsidRDefault="40F42DAD" w:rsidP="7FE47AC9">
      <w:pPr>
        <w:spacing w:before="240"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Council, B.C. (n.d.). </w:t>
      </w:r>
      <w:r w:rsidRPr="7FE47AC9">
        <w:rPr>
          <w:rFonts w:ascii="Calibri" w:eastAsia="Calibri" w:hAnsi="Calibri" w:cs="Calibri"/>
          <w:i/>
          <w:color w:val="000000" w:themeColor="text1"/>
          <w:sz w:val="22"/>
          <w:szCs w:val="22"/>
          <w:lang w:val="en-GB"/>
        </w:rPr>
        <w:t>East Birmingham Inclusive Growth Strategy</w:t>
      </w:r>
      <w:r w:rsidRPr="7FE47AC9">
        <w:rPr>
          <w:rFonts w:ascii="Calibri" w:eastAsia="Calibri" w:hAnsi="Calibri" w:cs="Calibri"/>
          <w:color w:val="000000" w:themeColor="text1"/>
          <w:sz w:val="22"/>
          <w:szCs w:val="22"/>
          <w:lang w:val="en-GB"/>
        </w:rPr>
        <w:t xml:space="preserve">.  </w:t>
      </w:r>
      <w:hyperlink r:id="rId6">
        <w:r w:rsidRPr="7FE47AC9">
          <w:rPr>
            <w:rStyle w:val="Hyperlink"/>
            <w:rFonts w:ascii="Calibri" w:eastAsia="Calibri" w:hAnsi="Calibri" w:cs="Calibri"/>
            <w:sz w:val="22"/>
            <w:szCs w:val="22"/>
            <w:lang w:val="en-GB"/>
          </w:rPr>
          <w:t>www.birmingham.gov.uk</w:t>
        </w:r>
      </w:hyperlink>
      <w:r w:rsidRPr="7FE47AC9">
        <w:rPr>
          <w:rFonts w:ascii="Calibri" w:eastAsia="Calibri" w:hAnsi="Calibri" w:cs="Calibri"/>
          <w:color w:val="000000" w:themeColor="text1"/>
          <w:sz w:val="22"/>
          <w:szCs w:val="22"/>
          <w:lang w:val="en-GB"/>
        </w:rPr>
        <w:t xml:space="preserve">. Available at: </w:t>
      </w:r>
      <w:hyperlink r:id="rId7">
        <w:r w:rsidRPr="7FE47AC9">
          <w:rPr>
            <w:rStyle w:val="Hyperlink"/>
            <w:rFonts w:ascii="Calibri" w:eastAsia="Calibri" w:hAnsi="Calibri" w:cs="Calibri"/>
            <w:sz w:val="22"/>
            <w:szCs w:val="22"/>
            <w:lang w:val="en-GB"/>
          </w:rPr>
          <w:t>https://www.birmingham.gov.uk/info/20054/local_plan_documents/2048/east_birmingham_inclusive_growth_strategy</w:t>
        </w:r>
      </w:hyperlink>
      <w:r w:rsidRPr="7FE47AC9">
        <w:rPr>
          <w:rFonts w:ascii="Calibri" w:eastAsia="Calibri" w:hAnsi="Calibri" w:cs="Calibri"/>
          <w:color w:val="000000" w:themeColor="text1"/>
          <w:sz w:val="22"/>
          <w:szCs w:val="22"/>
          <w:lang w:val="en-GB"/>
        </w:rPr>
        <w:t>. (Accessed: 15/11/2025).</w:t>
      </w:r>
    </w:p>
    <w:p w14:paraId="3A2A0628" w14:textId="2EDC2298" w:rsidR="6E9ACB39" w:rsidRDefault="6E9ACB39" w:rsidP="7FE47AC9">
      <w:pPr>
        <w:spacing w:after="0"/>
        <w:jc w:val="both"/>
        <w:rPr>
          <w:rFonts w:ascii="Calibri" w:eastAsia="Calibri" w:hAnsi="Calibri" w:cs="Calibri"/>
          <w:color w:val="000000" w:themeColor="text1"/>
          <w:sz w:val="22"/>
          <w:szCs w:val="22"/>
          <w:lang w:val="en-GB"/>
        </w:rPr>
      </w:pPr>
    </w:p>
    <w:p w14:paraId="0B563EC4" w14:textId="1D3737BC" w:rsidR="3BE7FBE2" w:rsidRDefault="3BE7FBE2"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Decouttere, C., De Boeck, K. and Vandaele, N. (2021). Advancing sustainable development goals through immunization: a literature review. </w:t>
      </w:r>
      <w:r w:rsidRPr="7FE47AC9">
        <w:rPr>
          <w:rFonts w:ascii="Calibri" w:eastAsia="Calibri" w:hAnsi="Calibri" w:cs="Calibri"/>
          <w:i/>
          <w:color w:val="000000" w:themeColor="text1"/>
          <w:sz w:val="22"/>
          <w:szCs w:val="22"/>
          <w:lang w:val="en-GB"/>
        </w:rPr>
        <w:t>Globalization and Health</w:t>
      </w:r>
      <w:r w:rsidRPr="7FE47AC9">
        <w:rPr>
          <w:rFonts w:ascii="Calibri" w:eastAsia="Calibri" w:hAnsi="Calibri" w:cs="Calibri"/>
          <w:color w:val="000000" w:themeColor="text1"/>
          <w:sz w:val="22"/>
          <w:szCs w:val="22"/>
          <w:lang w:val="en-GB"/>
        </w:rPr>
        <w:t>, 17(1). doi:https://doi.org/10.1186/s12992-021-00745-w.</w:t>
      </w:r>
    </w:p>
    <w:p w14:paraId="43B40552" w14:textId="3A49B418" w:rsidR="38D10C61" w:rsidRDefault="38D10C61" w:rsidP="7FE47AC9">
      <w:pPr>
        <w:spacing w:after="0"/>
        <w:jc w:val="both"/>
        <w:rPr>
          <w:rFonts w:ascii="Calibri" w:eastAsia="Calibri" w:hAnsi="Calibri" w:cs="Calibri"/>
          <w:color w:val="000000" w:themeColor="text1"/>
          <w:sz w:val="22"/>
          <w:szCs w:val="22"/>
          <w:lang w:val="en-GB"/>
        </w:rPr>
      </w:pPr>
    </w:p>
    <w:p w14:paraId="5CD1E8B0" w14:textId="25ED7EF5" w:rsidR="6A7CA0A4" w:rsidRDefault="6A7CA0A4"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D’Errico, S. (2017). </w:t>
      </w:r>
      <w:r w:rsidRPr="7FE47AC9">
        <w:rPr>
          <w:rFonts w:ascii="Calibri" w:eastAsia="Calibri" w:hAnsi="Calibri" w:cs="Calibri"/>
          <w:i/>
          <w:color w:val="000000" w:themeColor="text1"/>
          <w:sz w:val="22"/>
          <w:szCs w:val="22"/>
          <w:lang w:val="en-GB"/>
        </w:rPr>
        <w:t>Effective evaluation for the Sustainable Development Goals</w:t>
      </w:r>
      <w:r w:rsidRPr="7FE47AC9">
        <w:rPr>
          <w:rFonts w:ascii="Calibri" w:eastAsia="Calibri" w:hAnsi="Calibri" w:cs="Calibri"/>
          <w:color w:val="000000" w:themeColor="text1"/>
          <w:sz w:val="22"/>
          <w:szCs w:val="22"/>
          <w:lang w:val="en-GB"/>
        </w:rPr>
        <w:t xml:space="preserve">.  International Institute for Environment and Development. Available at: </w:t>
      </w:r>
      <w:hyperlink r:id="rId8">
        <w:r w:rsidRPr="7FE47AC9">
          <w:rPr>
            <w:rStyle w:val="Hyperlink"/>
            <w:rFonts w:ascii="Calibri" w:eastAsia="Calibri" w:hAnsi="Calibri" w:cs="Calibri"/>
            <w:sz w:val="22"/>
            <w:szCs w:val="22"/>
            <w:lang w:val="en-GB"/>
          </w:rPr>
          <w:t>https://www.iied.org/effective-evaluation-for-sustainable-development-goals</w:t>
        </w:r>
      </w:hyperlink>
      <w:r w:rsidRPr="7FE47AC9">
        <w:rPr>
          <w:rFonts w:ascii="Calibri" w:eastAsia="Calibri" w:hAnsi="Calibri" w:cs="Calibri"/>
          <w:color w:val="000000" w:themeColor="text1"/>
          <w:sz w:val="22"/>
          <w:szCs w:val="22"/>
          <w:lang w:val="en-GB"/>
        </w:rPr>
        <w:t>.</w:t>
      </w:r>
    </w:p>
    <w:p w14:paraId="1F927696" w14:textId="4BFBBECD" w:rsidR="6A7CA0A4" w:rsidRDefault="6A7CA0A4"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 (Accessed: 14/11/2025).</w:t>
      </w:r>
    </w:p>
    <w:p w14:paraId="2481E37B" w14:textId="1EBBCCE8" w:rsidR="5C11AE58" w:rsidRDefault="5C11AE58" w:rsidP="7FE47AC9">
      <w:pPr>
        <w:spacing w:after="0"/>
        <w:jc w:val="both"/>
        <w:rPr>
          <w:rFonts w:ascii="Calibri" w:eastAsia="Calibri" w:hAnsi="Calibri" w:cs="Calibri"/>
          <w:color w:val="000000" w:themeColor="text1"/>
          <w:sz w:val="22"/>
          <w:szCs w:val="22"/>
          <w:lang w:val="en-GB"/>
        </w:rPr>
      </w:pPr>
    </w:p>
    <w:p w14:paraId="47514329" w14:textId="0D49D678" w:rsidR="06A814BD" w:rsidRDefault="06A814BD"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D’Errico, S. (2017). </w:t>
      </w:r>
      <w:r w:rsidRPr="7FE47AC9">
        <w:rPr>
          <w:rFonts w:ascii="Calibri" w:eastAsia="Calibri" w:hAnsi="Calibri" w:cs="Calibri"/>
          <w:i/>
          <w:color w:val="000000" w:themeColor="text1"/>
          <w:sz w:val="22"/>
          <w:szCs w:val="22"/>
          <w:lang w:val="en-GB"/>
        </w:rPr>
        <w:t>Effective evaluation for the Sustainable Development Goals</w:t>
      </w:r>
      <w:r w:rsidRPr="7FE47AC9">
        <w:rPr>
          <w:rFonts w:ascii="Calibri" w:eastAsia="Calibri" w:hAnsi="Calibri" w:cs="Calibri"/>
          <w:color w:val="000000" w:themeColor="text1"/>
          <w:sz w:val="22"/>
          <w:szCs w:val="22"/>
          <w:lang w:val="en-GB"/>
        </w:rPr>
        <w:t xml:space="preserve">.  International Institute for Environment and Development. Available at: </w:t>
      </w:r>
      <w:hyperlink r:id="rId9">
        <w:r w:rsidRPr="7FE47AC9">
          <w:rPr>
            <w:rStyle w:val="Hyperlink"/>
            <w:rFonts w:ascii="Calibri" w:eastAsia="Calibri" w:hAnsi="Calibri" w:cs="Calibri"/>
            <w:sz w:val="22"/>
            <w:szCs w:val="22"/>
            <w:lang w:val="en-GB"/>
          </w:rPr>
          <w:t>https://www.iied.org/effective-evaluation-for-sustainable-development-goals</w:t>
        </w:r>
      </w:hyperlink>
      <w:r w:rsidRPr="7FE47AC9">
        <w:rPr>
          <w:rFonts w:ascii="Calibri" w:eastAsia="Calibri" w:hAnsi="Calibri" w:cs="Calibri"/>
          <w:color w:val="000000" w:themeColor="text1"/>
          <w:sz w:val="22"/>
          <w:szCs w:val="22"/>
          <w:lang w:val="en-GB"/>
        </w:rPr>
        <w:t>. (Accessed: 15/11/2025).</w:t>
      </w:r>
    </w:p>
    <w:p w14:paraId="065C32E0" w14:textId="5A0914A6" w:rsidR="06A814BD" w:rsidRDefault="06A814BD" w:rsidP="7FE47AC9">
      <w:pPr>
        <w:spacing w:before="240" w:after="24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w:t>
      </w:r>
    </w:p>
    <w:p w14:paraId="5E4EEDBD" w14:textId="7B966FB6" w:rsidR="2F46850B" w:rsidRDefault="7E3AFAC2" w:rsidP="7FE47AC9">
      <w:pPr>
        <w:spacing w:before="240" w:after="24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Fitrah, E., Bintarsari, N.K., Al Hasyim, M.M., Saputra, R.Y. and Nailah, A.A. (2025). Five years to 2030: Assessing a multi-stakeholder collaboration model for localized sustainable development goals (SDGs) implementation in Banyumas regency, Indonesia. </w:t>
      </w:r>
      <w:r w:rsidRPr="7FE47AC9">
        <w:rPr>
          <w:rFonts w:ascii="Calibri" w:eastAsia="Calibri" w:hAnsi="Calibri" w:cs="Calibri"/>
          <w:i/>
          <w:color w:val="000000" w:themeColor="text1"/>
          <w:sz w:val="22"/>
          <w:szCs w:val="22"/>
          <w:lang w:val="en-GB"/>
        </w:rPr>
        <w:t>Societal Impacts</w:t>
      </w:r>
      <w:r w:rsidRPr="7FE47AC9">
        <w:rPr>
          <w:rFonts w:ascii="Calibri" w:eastAsia="Calibri" w:hAnsi="Calibri" w:cs="Calibri"/>
          <w:color w:val="000000" w:themeColor="text1"/>
          <w:sz w:val="22"/>
          <w:szCs w:val="22"/>
          <w:lang w:val="en-GB"/>
        </w:rPr>
        <w:t>, 6, p.100157. doi:https://doi.org/10.1016/j.socimp.2025.100157.</w:t>
      </w:r>
    </w:p>
    <w:p w14:paraId="703B78CC" w14:textId="6C2C884C" w:rsidR="5B1C7178" w:rsidRDefault="5129AB65"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GOV.UK, (2025). </w:t>
      </w:r>
      <w:r w:rsidRPr="7FE47AC9">
        <w:rPr>
          <w:rFonts w:ascii="Calibri" w:eastAsia="Calibri" w:hAnsi="Calibri" w:cs="Calibri"/>
          <w:i/>
          <w:color w:val="000000" w:themeColor="text1"/>
          <w:sz w:val="22"/>
          <w:szCs w:val="22"/>
          <w:lang w:val="en-GB"/>
        </w:rPr>
        <w:t>Universal Credit statistics, 29 April 2013 to 9 October 2025</w:t>
      </w:r>
      <w:r w:rsidRPr="7FE47AC9">
        <w:rPr>
          <w:rFonts w:ascii="Calibri" w:eastAsia="Calibri" w:hAnsi="Calibri" w:cs="Calibri"/>
          <w:color w:val="000000" w:themeColor="text1"/>
          <w:sz w:val="22"/>
          <w:szCs w:val="22"/>
          <w:lang w:val="en-GB"/>
        </w:rPr>
        <w:t xml:space="preserve">. [online] GOV.UK. Available at: </w:t>
      </w:r>
      <w:hyperlink r:id="rId10">
        <w:r w:rsidRPr="7FE47AC9">
          <w:rPr>
            <w:rStyle w:val="Hyperlink"/>
            <w:rFonts w:ascii="Calibri" w:eastAsia="Calibri" w:hAnsi="Calibri" w:cs="Calibri"/>
            <w:sz w:val="22"/>
            <w:szCs w:val="22"/>
            <w:lang w:val="en-GB"/>
          </w:rPr>
          <w:t>https://www.gov.uk/government/statistics/universal-credit-statistics-29-april-2013-to-9-october-2025/universal-credit-statistics-29-april-2013-to-9-october-2025</w:t>
        </w:r>
      </w:hyperlink>
      <w:r w:rsidRPr="7FE47AC9">
        <w:rPr>
          <w:rFonts w:ascii="Calibri" w:eastAsia="Calibri" w:hAnsi="Calibri" w:cs="Calibri"/>
          <w:color w:val="000000" w:themeColor="text1"/>
          <w:sz w:val="22"/>
          <w:szCs w:val="22"/>
          <w:lang w:val="en-GB"/>
        </w:rPr>
        <w:t>.</w:t>
      </w:r>
    </w:p>
    <w:p w14:paraId="499E0C36" w14:textId="1AB7C2CC" w:rsidR="42D0D2FF" w:rsidRDefault="42D0D2FF" w:rsidP="7FE47AC9">
      <w:pPr>
        <w:spacing w:after="0"/>
        <w:jc w:val="both"/>
        <w:rPr>
          <w:rFonts w:ascii="Calibri" w:eastAsia="Calibri" w:hAnsi="Calibri" w:cs="Calibri"/>
          <w:color w:val="000000" w:themeColor="text1"/>
          <w:sz w:val="22"/>
          <w:szCs w:val="22"/>
          <w:lang w:val="en-GB"/>
        </w:rPr>
      </w:pPr>
    </w:p>
    <w:p w14:paraId="5C158902" w14:textId="253A8250" w:rsidR="42D0D2FF" w:rsidRDefault="10388D34"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GOV.UK (2021). </w:t>
      </w:r>
      <w:r w:rsidRPr="7FE47AC9">
        <w:rPr>
          <w:rFonts w:ascii="Calibri" w:eastAsia="Calibri" w:hAnsi="Calibri" w:cs="Calibri"/>
          <w:i/>
          <w:color w:val="000000" w:themeColor="text1"/>
          <w:sz w:val="22"/>
          <w:szCs w:val="22"/>
          <w:lang w:val="en-GB"/>
        </w:rPr>
        <w:t>Implementing the Sustainable Development Goals</w:t>
      </w:r>
      <w:r w:rsidRPr="7FE47AC9">
        <w:rPr>
          <w:rFonts w:ascii="Calibri" w:eastAsia="Calibri" w:hAnsi="Calibri" w:cs="Calibri"/>
          <w:color w:val="000000" w:themeColor="text1"/>
          <w:sz w:val="22"/>
          <w:szCs w:val="22"/>
          <w:lang w:val="en-GB"/>
        </w:rPr>
        <w:t xml:space="preserve">.  GOV.UK. Available at: </w:t>
      </w:r>
      <w:hyperlink r:id="rId11">
        <w:r w:rsidRPr="7FE47AC9">
          <w:rPr>
            <w:rStyle w:val="Hyperlink"/>
            <w:rFonts w:ascii="Calibri" w:eastAsia="Calibri" w:hAnsi="Calibri" w:cs="Calibri"/>
            <w:sz w:val="22"/>
            <w:szCs w:val="22"/>
            <w:lang w:val="en-GB"/>
          </w:rPr>
          <w:t>https://www.gov.uk/government/publications/implementing-the-sustainable-development-goals/implementing-the-sustainable-development-goals--2</w:t>
        </w:r>
      </w:hyperlink>
      <w:r w:rsidRPr="7FE47AC9">
        <w:rPr>
          <w:rFonts w:ascii="Calibri" w:eastAsia="Calibri" w:hAnsi="Calibri" w:cs="Calibri"/>
          <w:color w:val="000000" w:themeColor="text1"/>
          <w:sz w:val="22"/>
          <w:szCs w:val="22"/>
          <w:lang w:val="en-GB"/>
        </w:rPr>
        <w:t>. (Accessed: 10/11/202</w:t>
      </w:r>
      <w:r w:rsidR="2FC9E8AB" w:rsidRPr="7FE47AC9">
        <w:rPr>
          <w:rFonts w:ascii="Calibri" w:eastAsia="Calibri" w:hAnsi="Calibri" w:cs="Calibri"/>
          <w:color w:val="000000" w:themeColor="text1"/>
          <w:sz w:val="22"/>
          <w:szCs w:val="22"/>
          <w:lang w:val="en-GB"/>
        </w:rPr>
        <w:t>5</w:t>
      </w:r>
      <w:r w:rsidRPr="7FE47AC9">
        <w:rPr>
          <w:rFonts w:ascii="Calibri" w:eastAsia="Calibri" w:hAnsi="Calibri" w:cs="Calibri"/>
          <w:color w:val="000000" w:themeColor="text1"/>
          <w:sz w:val="22"/>
          <w:szCs w:val="22"/>
          <w:lang w:val="en-GB"/>
        </w:rPr>
        <w:t>).</w:t>
      </w:r>
    </w:p>
    <w:p w14:paraId="195AC382" w14:textId="016F8177" w:rsidR="38D10C61" w:rsidRDefault="6A134B8D"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 </w:t>
      </w:r>
    </w:p>
    <w:p w14:paraId="449B34A1" w14:textId="651B81F9" w:rsidR="756C678F" w:rsidRDefault="31B97BF5" w:rsidP="7FE47AC9">
      <w:pPr>
        <w:spacing w:before="240"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Geneva and Switzerland (2024). </w:t>
      </w:r>
      <w:r w:rsidRPr="7FE47AC9">
        <w:rPr>
          <w:rFonts w:ascii="Calibri" w:eastAsia="Calibri" w:hAnsi="Calibri" w:cs="Calibri"/>
          <w:i/>
          <w:color w:val="000000" w:themeColor="text1"/>
          <w:sz w:val="22"/>
          <w:szCs w:val="22"/>
          <w:lang w:val="en-GB"/>
        </w:rPr>
        <w:t>Sustainable Development Goal 1 An Expert Group Meeting in preparation for HLPF 2024: Reinforcing the 2030 Agenda and eradicating poverty in times of multiple crisis: the effective delivery of sustainable, resilient and innovative solutions</w:t>
      </w:r>
      <w:r w:rsidRPr="7FE47AC9">
        <w:rPr>
          <w:rFonts w:ascii="Calibri" w:eastAsia="Calibri" w:hAnsi="Calibri" w:cs="Calibri"/>
          <w:color w:val="000000" w:themeColor="text1"/>
          <w:sz w:val="22"/>
          <w:szCs w:val="22"/>
          <w:lang w:val="en-GB"/>
        </w:rPr>
        <w:t xml:space="preserve">.  Available at: </w:t>
      </w:r>
      <w:hyperlink r:id="rId12">
        <w:r w:rsidRPr="7FE47AC9">
          <w:rPr>
            <w:rStyle w:val="Hyperlink"/>
            <w:rFonts w:ascii="Calibri" w:eastAsia="Calibri" w:hAnsi="Calibri" w:cs="Calibri"/>
            <w:sz w:val="22"/>
            <w:szCs w:val="22"/>
            <w:lang w:val="en-GB"/>
          </w:rPr>
          <w:t>https://sdgs.un.org/sites/default/files/2024-04/240412_2024HLPF_EGM_Concept_Note_%20SDG%201%2015%20April_0.pdf.</w:t>
        </w:r>
      </w:hyperlink>
      <w:r w:rsidRPr="7FE47AC9">
        <w:rPr>
          <w:rFonts w:ascii="Calibri" w:eastAsia="Calibri" w:hAnsi="Calibri" w:cs="Calibri"/>
          <w:sz w:val="22"/>
          <w:szCs w:val="22"/>
          <w:lang w:val="en-GB"/>
        </w:rPr>
        <w:t xml:space="preserve"> (Accessed: 15/11/2025).</w:t>
      </w:r>
    </w:p>
    <w:p w14:paraId="378354BB" w14:textId="4DB59822" w:rsidR="32862525" w:rsidRDefault="32862525" w:rsidP="7FE47AC9">
      <w:pPr>
        <w:spacing w:before="240"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Hoy, C. and Sumner, A. (2021). The End of Global Poverty: Is the UN Sustainable Development Goal 1 (Still) Achievable? </w:t>
      </w:r>
      <w:r w:rsidRPr="7FE47AC9">
        <w:rPr>
          <w:rFonts w:ascii="Calibri" w:eastAsia="Calibri" w:hAnsi="Calibri" w:cs="Calibri"/>
          <w:i/>
          <w:color w:val="000000" w:themeColor="text1"/>
          <w:sz w:val="22"/>
          <w:szCs w:val="22"/>
          <w:lang w:val="en-GB"/>
        </w:rPr>
        <w:t>Global Policy</w:t>
      </w:r>
      <w:r w:rsidRPr="7FE47AC9">
        <w:rPr>
          <w:rFonts w:ascii="Calibri" w:eastAsia="Calibri" w:hAnsi="Calibri" w:cs="Calibri"/>
          <w:color w:val="000000" w:themeColor="text1"/>
          <w:sz w:val="22"/>
          <w:szCs w:val="22"/>
          <w:lang w:val="en-GB"/>
        </w:rPr>
        <w:t>, 12(4), pp.419–429. doi:https://doi.org/10.1111/1758-5899.12992.</w:t>
      </w:r>
    </w:p>
    <w:p w14:paraId="7CEDBD24" w14:textId="30946D99" w:rsidR="3569AB1F" w:rsidRDefault="32862525" w:rsidP="7FE47AC9">
      <w:pPr>
        <w:spacing w:before="240" w:after="24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w:t>
      </w:r>
      <w:r w:rsidR="3569AB1F" w:rsidRPr="7FE47AC9">
        <w:rPr>
          <w:rFonts w:ascii="Calibri" w:eastAsia="Calibri" w:hAnsi="Calibri" w:cs="Calibri"/>
          <w:color w:val="000000" w:themeColor="text1"/>
          <w:sz w:val="22"/>
          <w:szCs w:val="22"/>
          <w:lang w:val="en-GB"/>
        </w:rPr>
        <w:t xml:space="preserve">Khan, S., Asif, M., Aslam, S., Khan, W.J. and Hamza, S.A. (2023). Pakistan’s Healthcare System: A Review of Major Challenges and the First Comprehensive Universal Health Coverage Initiative. </w:t>
      </w:r>
      <w:r w:rsidR="3569AB1F" w:rsidRPr="7FE47AC9">
        <w:rPr>
          <w:rFonts w:ascii="Calibri" w:eastAsia="Calibri" w:hAnsi="Calibri" w:cs="Calibri"/>
          <w:i/>
          <w:color w:val="000000" w:themeColor="text1"/>
          <w:sz w:val="22"/>
          <w:szCs w:val="22"/>
          <w:lang w:val="en-GB"/>
        </w:rPr>
        <w:t>Cureus</w:t>
      </w:r>
      <w:r w:rsidR="3569AB1F" w:rsidRPr="7FE47AC9">
        <w:rPr>
          <w:rFonts w:ascii="Calibri" w:eastAsia="Calibri" w:hAnsi="Calibri" w:cs="Calibri"/>
          <w:color w:val="000000" w:themeColor="text1"/>
          <w:sz w:val="22"/>
          <w:szCs w:val="22"/>
          <w:lang w:val="en-GB"/>
        </w:rPr>
        <w:t xml:space="preserve">, 15(9). doi:https://doi.org/10.7759/cureus.44641. </w:t>
      </w:r>
    </w:p>
    <w:p w14:paraId="5891848E" w14:textId="784A9121" w:rsidR="609CA677" w:rsidRDefault="3569AB1F" w:rsidP="7FE47AC9">
      <w:pPr>
        <w:spacing w:before="240" w:after="24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w:t>
      </w:r>
      <w:r w:rsidR="609CA677" w:rsidRPr="7FE47AC9">
        <w:rPr>
          <w:rFonts w:ascii="Calibri" w:eastAsia="Calibri" w:hAnsi="Calibri" w:cs="Calibri"/>
          <w:color w:val="000000" w:themeColor="text1"/>
          <w:sz w:val="22"/>
          <w:szCs w:val="22"/>
          <w:lang w:val="en-GB"/>
        </w:rPr>
        <w:t xml:space="preserve">Küfeoğlu, S. (2022). SDG-3 Good Health and Well-Being. </w:t>
      </w:r>
      <w:r w:rsidR="609CA677" w:rsidRPr="7FE47AC9">
        <w:rPr>
          <w:rFonts w:ascii="Calibri" w:eastAsia="Calibri" w:hAnsi="Calibri" w:cs="Calibri"/>
          <w:i/>
          <w:color w:val="000000" w:themeColor="text1"/>
          <w:sz w:val="22"/>
          <w:szCs w:val="22"/>
          <w:lang w:val="en-GB"/>
        </w:rPr>
        <w:t>Emerging Technologies</w:t>
      </w:r>
      <w:r w:rsidR="609CA677" w:rsidRPr="7FE47AC9">
        <w:rPr>
          <w:rFonts w:ascii="Calibri" w:eastAsia="Calibri" w:hAnsi="Calibri" w:cs="Calibri"/>
          <w:color w:val="000000" w:themeColor="text1"/>
          <w:sz w:val="22"/>
          <w:szCs w:val="22"/>
          <w:lang w:val="en-GB"/>
        </w:rPr>
        <w:t>,  pp.229–253. doi:https://doi.org/10.1007/978-3-031-07127-0_5.</w:t>
      </w:r>
      <w:r w:rsidR="6FB09442" w:rsidRPr="7FE47AC9">
        <w:rPr>
          <w:rFonts w:ascii="Calibri" w:eastAsia="Calibri" w:hAnsi="Calibri" w:cs="Calibri"/>
          <w:color w:val="000000" w:themeColor="text1"/>
          <w:sz w:val="22"/>
          <w:szCs w:val="22"/>
          <w:lang w:val="en-GB"/>
        </w:rPr>
        <w:t xml:space="preserve"> </w:t>
      </w:r>
    </w:p>
    <w:p w14:paraId="1CBC611E" w14:textId="741F795F" w:rsidR="13CD8CCE" w:rsidRDefault="13CD8CCE"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Lakioti, E., Pagonis, N., Flegkas, D., Itziou, A., Moustakas, K. and Karayannis, V. (2025). Social Factors and Policies Promoting Good Health and Well-Being as a Sustainable Development Goal: Current Achievements and Future Pathways. </w:t>
      </w:r>
      <w:r w:rsidRPr="7FE47AC9">
        <w:rPr>
          <w:rFonts w:ascii="Calibri" w:eastAsia="Calibri" w:hAnsi="Calibri" w:cs="Calibri"/>
          <w:i/>
          <w:color w:val="000000" w:themeColor="text1"/>
          <w:sz w:val="22"/>
          <w:szCs w:val="22"/>
          <w:lang w:val="en-GB"/>
        </w:rPr>
        <w:t>Sustainability</w:t>
      </w:r>
      <w:r w:rsidRPr="7FE47AC9">
        <w:rPr>
          <w:rFonts w:ascii="Calibri" w:eastAsia="Calibri" w:hAnsi="Calibri" w:cs="Calibri"/>
          <w:color w:val="000000" w:themeColor="text1"/>
          <w:sz w:val="22"/>
          <w:szCs w:val="22"/>
          <w:lang w:val="en-GB"/>
        </w:rPr>
        <w:t xml:space="preserve">,  17(11), p.5063. doi:https://doi.org/10.3390/su17115063. </w:t>
      </w:r>
    </w:p>
    <w:p w14:paraId="6413EE6E" w14:textId="3FB26896" w:rsidR="32DE7BCB" w:rsidRDefault="13CD8CCE" w:rsidP="7FE47AC9">
      <w:pPr>
        <w:spacing w:before="240" w:after="24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w:t>
      </w:r>
      <w:r w:rsidR="32DE7BCB" w:rsidRPr="7FE47AC9">
        <w:rPr>
          <w:rFonts w:ascii="Calibri" w:eastAsia="Calibri" w:hAnsi="Calibri" w:cs="Calibri"/>
          <w:color w:val="000000" w:themeColor="text1"/>
          <w:sz w:val="22"/>
          <w:szCs w:val="22"/>
          <w:lang w:val="en-GB"/>
        </w:rPr>
        <w:t xml:space="preserve">Lee, Park and Kim (2019). Evaluation of Local Comprehensive Plans to Vacancy Issue in a Growing and Shrinking City. </w:t>
      </w:r>
      <w:r w:rsidR="32DE7BCB" w:rsidRPr="7FE47AC9">
        <w:rPr>
          <w:rFonts w:ascii="Calibri" w:eastAsia="Calibri" w:hAnsi="Calibri" w:cs="Calibri"/>
          <w:i/>
          <w:color w:val="000000" w:themeColor="text1"/>
          <w:sz w:val="22"/>
          <w:szCs w:val="22"/>
          <w:lang w:val="en-GB"/>
        </w:rPr>
        <w:t>Sustainability</w:t>
      </w:r>
      <w:r w:rsidR="32DE7BCB" w:rsidRPr="7FE47AC9">
        <w:rPr>
          <w:rFonts w:ascii="Calibri" w:eastAsia="Calibri" w:hAnsi="Calibri" w:cs="Calibri"/>
          <w:color w:val="000000" w:themeColor="text1"/>
          <w:sz w:val="22"/>
          <w:szCs w:val="22"/>
          <w:lang w:val="en-GB"/>
        </w:rPr>
        <w:t xml:space="preserve">, 11(18), p.4966. doi:https://doi.org/10.3390/su11184966. </w:t>
      </w:r>
    </w:p>
    <w:p w14:paraId="681EA41C" w14:textId="76BA5C6C" w:rsidR="45D1DDB6" w:rsidRDefault="32DE7BCB" w:rsidP="7FE47AC9">
      <w:pPr>
        <w:spacing w:before="240" w:after="24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w:t>
      </w:r>
      <w:r w:rsidR="57134C2B" w:rsidRPr="7FE47AC9">
        <w:rPr>
          <w:rFonts w:ascii="Calibri" w:eastAsia="Calibri" w:hAnsi="Calibri" w:cs="Calibri"/>
          <w:color w:val="000000" w:themeColor="text1"/>
          <w:sz w:val="22"/>
          <w:szCs w:val="22"/>
          <w:lang w:val="en-GB"/>
        </w:rPr>
        <w:t xml:space="preserve">Office (2021). </w:t>
      </w:r>
      <w:r w:rsidR="57134C2B" w:rsidRPr="7FE47AC9">
        <w:rPr>
          <w:rFonts w:ascii="Calibri" w:eastAsia="Calibri" w:hAnsi="Calibri" w:cs="Calibri"/>
          <w:i/>
          <w:iCs/>
          <w:color w:val="000000" w:themeColor="text1"/>
          <w:sz w:val="22"/>
          <w:szCs w:val="22"/>
          <w:lang w:val="en-GB"/>
        </w:rPr>
        <w:t>Annex B: a summary of analyses and evidence on the current NHS Health Check programme</w:t>
      </w:r>
      <w:r w:rsidR="57134C2B" w:rsidRPr="7FE47AC9">
        <w:rPr>
          <w:rFonts w:ascii="Calibri" w:eastAsia="Calibri" w:hAnsi="Calibri" w:cs="Calibri"/>
          <w:color w:val="000000" w:themeColor="text1"/>
          <w:sz w:val="22"/>
          <w:szCs w:val="22"/>
          <w:lang w:val="en-GB"/>
        </w:rPr>
        <w:t xml:space="preserve">. GOV.UK. Available at: </w:t>
      </w:r>
      <w:hyperlink r:id="rId13">
        <w:r w:rsidR="57134C2B" w:rsidRPr="7FE47AC9">
          <w:rPr>
            <w:rStyle w:val="Hyperlink"/>
            <w:rFonts w:ascii="Calibri" w:eastAsia="Calibri" w:hAnsi="Calibri" w:cs="Calibri"/>
            <w:sz w:val="22"/>
            <w:szCs w:val="22"/>
            <w:lang w:val="en-GB"/>
          </w:rPr>
          <w:t>https://www.gov.uk/government/publications/nhs-health-check-programme-review/annex-b-a-summary-of-analyses-and-evidence-on-the-current-nhs-health-check-programme?utm_source=chatgpt.com</w:t>
        </w:r>
      </w:hyperlink>
      <w:r w:rsidR="57134C2B" w:rsidRPr="7FE47AC9">
        <w:rPr>
          <w:rFonts w:ascii="Calibri" w:eastAsia="Calibri" w:hAnsi="Calibri" w:cs="Calibri"/>
          <w:color w:val="000000" w:themeColor="text1"/>
          <w:sz w:val="22"/>
          <w:szCs w:val="22"/>
          <w:lang w:val="en-GB"/>
        </w:rPr>
        <w:t>. (Accessed: 14/11/2025).</w:t>
      </w:r>
      <w:r w:rsidR="475B4922" w:rsidRPr="7FE47AC9">
        <w:rPr>
          <w:rFonts w:ascii="Calibri" w:eastAsia="Calibri" w:hAnsi="Calibri" w:cs="Calibri"/>
          <w:color w:val="000000" w:themeColor="text1"/>
          <w:sz w:val="22"/>
          <w:szCs w:val="22"/>
          <w:lang w:val="en-GB"/>
        </w:rPr>
        <w:t xml:space="preserve"> </w:t>
      </w:r>
    </w:p>
    <w:p w14:paraId="4E60EB60" w14:textId="52C6CF00" w:rsidR="57134C2B" w:rsidRDefault="64B708C8" w:rsidP="7FE47AC9">
      <w:pPr>
        <w:spacing w:before="240" w:after="24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Obulemire, Rev.E.A. (2025). Gender-based inequalities, religious extremism, and the Shakahola pandemic: exploring the intersection of women, religion and sustainable development in Kenya. </w:t>
      </w:r>
      <w:r w:rsidRPr="7FE47AC9">
        <w:rPr>
          <w:rFonts w:ascii="Calibri" w:eastAsia="Calibri" w:hAnsi="Calibri" w:cs="Calibri"/>
          <w:i/>
          <w:color w:val="000000" w:themeColor="text1"/>
          <w:sz w:val="22"/>
          <w:szCs w:val="22"/>
          <w:lang w:val="en-GB"/>
        </w:rPr>
        <w:t>Pharos Journal of Theology</w:t>
      </w:r>
      <w:r w:rsidRPr="7FE47AC9">
        <w:rPr>
          <w:rFonts w:ascii="Calibri" w:eastAsia="Calibri" w:hAnsi="Calibri" w:cs="Calibri"/>
          <w:color w:val="000000" w:themeColor="text1"/>
          <w:sz w:val="22"/>
          <w:szCs w:val="22"/>
          <w:lang w:val="en-GB"/>
        </w:rPr>
        <w:t>, [online] (106.2). doi:https://doi.org/10.46222/pharosjot.106.211.</w:t>
      </w:r>
    </w:p>
    <w:p w14:paraId="71EC9024" w14:textId="5761B89B" w:rsidR="45D1DDB6" w:rsidRDefault="64B708C8" w:rsidP="7FE47AC9">
      <w:pPr>
        <w:spacing w:before="240" w:after="24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w:t>
      </w:r>
      <w:r w:rsidR="45D1DDB6" w:rsidRPr="7FE47AC9">
        <w:rPr>
          <w:rFonts w:ascii="Calibri" w:eastAsia="Calibri" w:hAnsi="Calibri" w:cs="Calibri"/>
          <w:color w:val="000000" w:themeColor="text1"/>
          <w:sz w:val="22"/>
          <w:szCs w:val="22"/>
          <w:lang w:val="en-GB"/>
        </w:rPr>
        <w:t xml:space="preserve">Olalekan John Okesanya, Olatunji, G., Olaleke, N.O., Mercy, M.O., Ilesanmi, A.O., Kayode, H.H., Manirambona, E., Ahmed, M.M., Bonaventure Michael Ukoaka and Eliseo, D. (2024). Advancing Immunization in Africa: Overcoming Challenges to Achieve the 2030 Global Immunization Targets. </w:t>
      </w:r>
      <w:r w:rsidR="45D1DDB6" w:rsidRPr="7FE47AC9">
        <w:rPr>
          <w:rFonts w:ascii="Calibri" w:eastAsia="Calibri" w:hAnsi="Calibri" w:cs="Calibri"/>
          <w:i/>
          <w:color w:val="000000" w:themeColor="text1"/>
          <w:sz w:val="22"/>
          <w:szCs w:val="22"/>
          <w:lang w:val="en-GB"/>
        </w:rPr>
        <w:t>Adolescent Health Medicine and Therapeutics</w:t>
      </w:r>
      <w:r w:rsidR="45D1DDB6" w:rsidRPr="7FE47AC9">
        <w:rPr>
          <w:rFonts w:ascii="Calibri" w:eastAsia="Calibri" w:hAnsi="Calibri" w:cs="Calibri"/>
          <w:color w:val="000000" w:themeColor="text1"/>
          <w:sz w:val="22"/>
          <w:szCs w:val="22"/>
          <w:lang w:val="en-GB"/>
        </w:rPr>
        <w:t xml:space="preserve">, Volume 15, pp.83–91. doi:https://doi.org/10.2147/ahmt.s494099. </w:t>
      </w:r>
    </w:p>
    <w:p w14:paraId="4109FE71" w14:textId="6D9293D9" w:rsidR="38D10C61" w:rsidRDefault="45D1DDB6" w:rsidP="7FE47AC9">
      <w:pPr>
        <w:spacing w:before="240" w:after="240"/>
        <w:jc w:val="both"/>
        <w:rPr>
          <w:rFonts w:ascii="Calibri" w:eastAsia="Calibri" w:hAnsi="Calibri" w:cs="Calibri"/>
          <w:color w:val="000000" w:themeColor="text1"/>
          <w:sz w:val="22"/>
          <w:szCs w:val="22"/>
          <w:lang w:val="pt-BR"/>
        </w:rPr>
      </w:pPr>
      <w:r w:rsidRPr="7FE47AC9">
        <w:rPr>
          <w:rFonts w:ascii="Calibri" w:eastAsia="Calibri" w:hAnsi="Calibri" w:cs="Calibri"/>
          <w:color w:val="000000" w:themeColor="text1"/>
          <w:sz w:val="22"/>
          <w:szCs w:val="22"/>
          <w:lang w:val="en-GB"/>
        </w:rPr>
        <w:t>‌</w:t>
      </w:r>
      <w:r w:rsidR="31AB950A" w:rsidRPr="7FE47AC9">
        <w:rPr>
          <w:rFonts w:ascii="Calibri" w:eastAsia="Calibri" w:hAnsi="Calibri" w:cs="Calibri"/>
          <w:color w:val="000000" w:themeColor="text1"/>
          <w:sz w:val="22"/>
          <w:szCs w:val="22"/>
          <w:lang w:val="pt-BR"/>
        </w:rPr>
        <w:t xml:space="preserve">René, S., Santos, A.S. dos, Duarte, C.S., Yarid, S.D., Santos, C.S. and Neta, M.M.S. dos A. (2025). Desafios do objetivo de desenvolvimento sustentável 3. </w:t>
      </w:r>
      <w:r w:rsidR="31AB950A" w:rsidRPr="7FE47AC9">
        <w:rPr>
          <w:rFonts w:ascii="Calibri" w:eastAsia="Calibri" w:hAnsi="Calibri" w:cs="Calibri"/>
          <w:i/>
          <w:color w:val="000000" w:themeColor="text1"/>
          <w:sz w:val="22"/>
          <w:szCs w:val="22"/>
          <w:lang w:val="pt-BR"/>
        </w:rPr>
        <w:t>Revista Bioética</w:t>
      </w:r>
      <w:r w:rsidR="31AB950A" w:rsidRPr="7FE47AC9">
        <w:rPr>
          <w:rFonts w:ascii="Calibri" w:eastAsia="Calibri" w:hAnsi="Calibri" w:cs="Calibri"/>
          <w:color w:val="000000" w:themeColor="text1"/>
          <w:sz w:val="22"/>
          <w:szCs w:val="22"/>
          <w:lang w:val="pt-BR"/>
        </w:rPr>
        <w:t xml:space="preserve">, [online] 33. doi:https://doi.org/10.1590/1983-803420253832pt. </w:t>
      </w:r>
    </w:p>
    <w:p w14:paraId="703C58F1" w14:textId="79CDE4A3" w:rsidR="3A6DA3BE" w:rsidRDefault="3A6DA3BE" w:rsidP="7FE47AC9">
      <w:pPr>
        <w:spacing w:after="0"/>
        <w:jc w:val="both"/>
        <w:rPr>
          <w:rFonts w:ascii="Calibri" w:eastAsia="Calibri" w:hAnsi="Calibri" w:cs="Calibri"/>
          <w:color w:val="000000" w:themeColor="text1"/>
          <w:sz w:val="22"/>
          <w:szCs w:val="22"/>
        </w:rPr>
      </w:pPr>
      <w:r w:rsidRPr="7FE47AC9">
        <w:rPr>
          <w:rFonts w:ascii="Calibri" w:eastAsia="Calibri" w:hAnsi="Calibri" w:cs="Calibri"/>
          <w:color w:val="000000" w:themeColor="text1"/>
          <w:sz w:val="22"/>
          <w:szCs w:val="22"/>
        </w:rPr>
        <w:t xml:space="preserve">Raman, R., Nair, V.K. and Nedungadi, P. (2023). Discrepancies in Mapping Sustainable Development Goal 3 (Good Health and Well-Being) Research: A Comparative Analysis of Scopus and Dimensions Databases. </w:t>
      </w:r>
      <w:r w:rsidRPr="7FE47AC9">
        <w:rPr>
          <w:rFonts w:ascii="Calibri" w:eastAsia="Calibri" w:hAnsi="Calibri" w:cs="Calibri"/>
          <w:i/>
          <w:color w:val="000000" w:themeColor="text1"/>
          <w:sz w:val="22"/>
          <w:szCs w:val="22"/>
        </w:rPr>
        <w:t>Sustainability</w:t>
      </w:r>
      <w:r w:rsidRPr="7FE47AC9">
        <w:rPr>
          <w:rFonts w:ascii="Calibri" w:eastAsia="Calibri" w:hAnsi="Calibri" w:cs="Calibri"/>
          <w:color w:val="000000" w:themeColor="text1"/>
          <w:sz w:val="22"/>
          <w:szCs w:val="22"/>
        </w:rPr>
        <w:t>, [online] 15(23), p.16413. doi:https://doi.org/10.3390/su152316413. (Accessed: 15/11/2025).</w:t>
      </w:r>
      <w:r w:rsidR="478B3176" w:rsidRPr="7FE47AC9">
        <w:rPr>
          <w:rFonts w:ascii="Calibri" w:eastAsia="Calibri" w:hAnsi="Calibri" w:cs="Calibri"/>
          <w:color w:val="000000" w:themeColor="text1"/>
          <w:sz w:val="22"/>
          <w:szCs w:val="22"/>
        </w:rPr>
        <w:t xml:space="preserve"> </w:t>
      </w:r>
    </w:p>
    <w:p w14:paraId="5206166A" w14:textId="083960F8" w:rsidR="6E9ACB39" w:rsidRDefault="6E9ACB39" w:rsidP="7FE47AC9">
      <w:pPr>
        <w:spacing w:after="0"/>
        <w:jc w:val="both"/>
        <w:rPr>
          <w:rFonts w:ascii="Calibri" w:eastAsia="Calibri" w:hAnsi="Calibri" w:cs="Calibri"/>
          <w:color w:val="000000" w:themeColor="text1"/>
          <w:sz w:val="22"/>
          <w:szCs w:val="22"/>
          <w:lang w:val="en-GB"/>
        </w:rPr>
      </w:pPr>
    </w:p>
    <w:p w14:paraId="30CCD988" w14:textId="0B6B8435" w:rsidR="38D10C61" w:rsidRDefault="792E1862"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Segovia-Hernandez, J.G., Hernandez, S., COSSIO-VARGAS, E., JUAREZ-GARCIA, M. and SANCHEZ-RAMIREZ, E. (2024). Green Hydrogen Production for Sustainable Development: A Critical Examination of Barriers and Strategic Opportunities. </w:t>
      </w:r>
      <w:r w:rsidRPr="7FE47AC9">
        <w:rPr>
          <w:rFonts w:ascii="Calibri" w:eastAsia="Calibri" w:hAnsi="Calibri" w:cs="Calibri"/>
          <w:i/>
          <w:color w:val="000000" w:themeColor="text1"/>
          <w:sz w:val="22"/>
          <w:szCs w:val="22"/>
          <w:lang w:val="en-GB"/>
        </w:rPr>
        <w:t>RSC Sustainability</w:t>
      </w:r>
      <w:r w:rsidRPr="7FE47AC9">
        <w:rPr>
          <w:rFonts w:ascii="Calibri" w:eastAsia="Calibri" w:hAnsi="Calibri" w:cs="Calibri"/>
          <w:color w:val="000000" w:themeColor="text1"/>
          <w:sz w:val="22"/>
          <w:szCs w:val="22"/>
          <w:lang w:val="en-GB"/>
        </w:rPr>
        <w:t>. doi:https://doi.org/10.1039/d4su00630e.</w:t>
      </w:r>
    </w:p>
    <w:p w14:paraId="2E3D4EF5" w14:textId="6AF675FC" w:rsidR="388958E0" w:rsidRDefault="792E1862" w:rsidP="7FE47AC9">
      <w:pPr>
        <w:spacing w:before="240" w:after="24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w:t>
      </w:r>
      <w:r w:rsidR="388958E0" w:rsidRPr="7FE47AC9">
        <w:rPr>
          <w:rFonts w:ascii="Calibri" w:eastAsia="Calibri" w:hAnsi="Calibri" w:cs="Calibri"/>
          <w:color w:val="000000" w:themeColor="text1"/>
          <w:sz w:val="22"/>
          <w:szCs w:val="22"/>
          <w:lang w:val="en-GB"/>
        </w:rPr>
        <w:t xml:space="preserve">Sweileh, W.M. (2020). Bibliometric analysis of scientific publications on ‘sustainable development goals’ with emphasis on ‘good health and well-being’ goal (2015–2019). </w:t>
      </w:r>
      <w:r w:rsidR="388958E0" w:rsidRPr="7FE47AC9">
        <w:rPr>
          <w:rFonts w:ascii="Calibri" w:eastAsia="Calibri" w:hAnsi="Calibri" w:cs="Calibri"/>
          <w:i/>
          <w:color w:val="000000" w:themeColor="text1"/>
          <w:sz w:val="22"/>
          <w:szCs w:val="22"/>
          <w:lang w:val="en-GB"/>
        </w:rPr>
        <w:t>Globalization and Health</w:t>
      </w:r>
      <w:r w:rsidR="388958E0" w:rsidRPr="7FE47AC9">
        <w:rPr>
          <w:rFonts w:ascii="Calibri" w:eastAsia="Calibri" w:hAnsi="Calibri" w:cs="Calibri"/>
          <w:color w:val="000000" w:themeColor="text1"/>
          <w:sz w:val="22"/>
          <w:szCs w:val="22"/>
          <w:lang w:val="en-GB"/>
        </w:rPr>
        <w:t xml:space="preserve">, 16(1). doi:https://doi.org/10.1186/s12992-020-00602-2. </w:t>
      </w:r>
    </w:p>
    <w:p w14:paraId="5046B007" w14:textId="69CFE9DF" w:rsidR="462F6BAA" w:rsidRDefault="462F6BAA"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The Global Goals (2025). </w:t>
      </w:r>
      <w:r w:rsidRPr="7FE47AC9">
        <w:rPr>
          <w:rFonts w:ascii="Calibri" w:eastAsia="Calibri" w:hAnsi="Calibri" w:cs="Calibri"/>
          <w:i/>
          <w:color w:val="000000" w:themeColor="text1"/>
          <w:sz w:val="22"/>
          <w:szCs w:val="22"/>
          <w:lang w:val="en-GB"/>
        </w:rPr>
        <w:t>Goal 3: Good health and well-being</w:t>
      </w:r>
      <w:r w:rsidRPr="7FE47AC9">
        <w:rPr>
          <w:rFonts w:ascii="Calibri" w:eastAsia="Calibri" w:hAnsi="Calibri" w:cs="Calibri"/>
          <w:color w:val="000000" w:themeColor="text1"/>
          <w:sz w:val="22"/>
          <w:szCs w:val="22"/>
          <w:lang w:val="en-GB"/>
        </w:rPr>
        <w:t xml:space="preserve">. The Global Goals. Available at: </w:t>
      </w:r>
      <w:hyperlink r:id="rId14">
        <w:r w:rsidRPr="7FE47AC9">
          <w:rPr>
            <w:rStyle w:val="Hyperlink"/>
            <w:rFonts w:ascii="Calibri" w:eastAsia="Calibri" w:hAnsi="Calibri" w:cs="Calibri"/>
            <w:sz w:val="22"/>
            <w:szCs w:val="22"/>
            <w:lang w:val="en-GB"/>
          </w:rPr>
          <w:t>https://globalgoals.org/goals/3-good-health-and-well-being/</w:t>
        </w:r>
      </w:hyperlink>
      <w:r w:rsidRPr="7FE47AC9">
        <w:rPr>
          <w:rFonts w:ascii="Calibri" w:eastAsia="Calibri" w:hAnsi="Calibri" w:cs="Calibri"/>
          <w:color w:val="000000" w:themeColor="text1"/>
          <w:sz w:val="22"/>
          <w:szCs w:val="22"/>
          <w:lang w:val="en-GB"/>
        </w:rPr>
        <w:t>. (Accessed: 10/11/2025).</w:t>
      </w:r>
      <w:r>
        <w:tab/>
      </w:r>
    </w:p>
    <w:p w14:paraId="0BDA858F" w14:textId="0016126C" w:rsidR="38D10C61" w:rsidRDefault="0569930E" w:rsidP="7FE47AC9">
      <w:pPr>
        <w:spacing w:before="240"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Thomas, C. and Sloggett, R. (2022). </w:t>
      </w:r>
      <w:r w:rsidRPr="7FE47AC9">
        <w:rPr>
          <w:rFonts w:ascii="Calibri" w:eastAsia="Calibri" w:hAnsi="Calibri" w:cs="Calibri"/>
          <w:i/>
          <w:color w:val="000000" w:themeColor="text1"/>
          <w:sz w:val="22"/>
          <w:szCs w:val="22"/>
          <w:lang w:val="en-GB"/>
        </w:rPr>
        <w:t>SUSTAINABLE HEALTHCARE PRACTICAL STEPS TO BUILD BACK BETTER IN THE ENGLISH NHS</w:t>
      </w:r>
      <w:r w:rsidRPr="7FE47AC9">
        <w:rPr>
          <w:rFonts w:ascii="Calibri" w:eastAsia="Calibri" w:hAnsi="Calibri" w:cs="Calibri"/>
          <w:color w:val="000000" w:themeColor="text1"/>
          <w:sz w:val="22"/>
          <w:szCs w:val="22"/>
          <w:lang w:val="en-GB"/>
        </w:rPr>
        <w:t xml:space="preserve">. [online] Available at: </w:t>
      </w:r>
      <w:hyperlink r:id="rId15">
        <w:r w:rsidRPr="7FE47AC9">
          <w:rPr>
            <w:rStyle w:val="Hyperlink"/>
            <w:rFonts w:ascii="Calibri" w:eastAsia="Calibri" w:hAnsi="Calibri" w:cs="Calibri"/>
            <w:sz w:val="22"/>
            <w:szCs w:val="22"/>
            <w:lang w:val="en-GB"/>
          </w:rPr>
          <w:t>https://ippr-org.files.svdcdn.com/production/Downloads/sustainable-healthcare-may-2022.pdf</w:t>
        </w:r>
      </w:hyperlink>
      <w:r w:rsidRPr="7FE47AC9">
        <w:rPr>
          <w:rFonts w:ascii="Calibri" w:eastAsia="Calibri" w:hAnsi="Calibri" w:cs="Calibri"/>
          <w:color w:val="000000" w:themeColor="text1"/>
          <w:sz w:val="22"/>
          <w:szCs w:val="22"/>
          <w:lang w:val="en-GB"/>
        </w:rPr>
        <w:t xml:space="preserve"> (Accessed: 13/11/2025).</w:t>
      </w:r>
    </w:p>
    <w:p w14:paraId="09B2A06F" w14:textId="0BBEE36E" w:rsidR="7A0A3DDB" w:rsidRDefault="7A0A3DDB" w:rsidP="7FE47AC9">
      <w:pPr>
        <w:spacing w:after="0"/>
        <w:jc w:val="both"/>
        <w:rPr>
          <w:rFonts w:ascii="Calibri" w:eastAsia="Calibri" w:hAnsi="Calibri" w:cs="Calibri"/>
          <w:color w:val="000000" w:themeColor="text1"/>
          <w:sz w:val="22"/>
          <w:szCs w:val="22"/>
          <w:lang w:val="en-GB"/>
        </w:rPr>
      </w:pPr>
    </w:p>
    <w:p w14:paraId="2C0C4065" w14:textId="521B5249" w:rsidR="430B9A21" w:rsidRDefault="430B9A21"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UK Government (2019). </w:t>
      </w:r>
      <w:r w:rsidRPr="7FE47AC9">
        <w:rPr>
          <w:rFonts w:ascii="Calibri" w:eastAsia="Calibri" w:hAnsi="Calibri" w:cs="Calibri"/>
          <w:i/>
          <w:color w:val="000000" w:themeColor="text1"/>
          <w:sz w:val="22"/>
          <w:szCs w:val="22"/>
          <w:lang w:val="en-GB"/>
        </w:rPr>
        <w:t>UK Voluntary National Review of Progress Towards the Sustainable Development Goals - GOV.UK</w:t>
      </w:r>
      <w:r w:rsidRPr="7FE47AC9">
        <w:rPr>
          <w:rFonts w:ascii="Calibri" w:eastAsia="Calibri" w:hAnsi="Calibri" w:cs="Calibri"/>
          <w:color w:val="000000" w:themeColor="text1"/>
          <w:sz w:val="22"/>
          <w:szCs w:val="22"/>
          <w:lang w:val="en-GB"/>
        </w:rPr>
        <w:t xml:space="preserve">. </w:t>
      </w:r>
      <w:hyperlink r:id="rId16">
        <w:r w:rsidRPr="7FE47AC9">
          <w:rPr>
            <w:rStyle w:val="Hyperlink"/>
            <w:rFonts w:ascii="Calibri" w:eastAsia="Calibri" w:hAnsi="Calibri" w:cs="Calibri"/>
            <w:sz w:val="22"/>
            <w:szCs w:val="22"/>
            <w:lang w:val="en-GB"/>
          </w:rPr>
          <w:t>Www.gov.uk</w:t>
        </w:r>
      </w:hyperlink>
      <w:r w:rsidRPr="7FE47AC9">
        <w:rPr>
          <w:rFonts w:ascii="Calibri" w:eastAsia="Calibri" w:hAnsi="Calibri" w:cs="Calibri"/>
          <w:color w:val="000000" w:themeColor="text1"/>
          <w:sz w:val="22"/>
          <w:szCs w:val="22"/>
          <w:lang w:val="en-GB"/>
        </w:rPr>
        <w:t xml:space="preserve">. Available at: </w:t>
      </w:r>
      <w:hyperlink r:id="rId17">
        <w:r w:rsidRPr="7FE47AC9">
          <w:rPr>
            <w:rStyle w:val="Hyperlink"/>
            <w:rFonts w:ascii="Calibri" w:eastAsia="Calibri" w:hAnsi="Calibri" w:cs="Calibri"/>
            <w:sz w:val="22"/>
            <w:szCs w:val="22"/>
            <w:lang w:val="en-GB"/>
          </w:rPr>
          <w:t>https://www.gov.uk/government/topical-events/uk-voluntary-national-review-of-progress-towards-the-sustainable-development-goals</w:t>
        </w:r>
      </w:hyperlink>
      <w:r w:rsidRPr="7FE47AC9">
        <w:rPr>
          <w:rFonts w:ascii="Calibri" w:eastAsia="Calibri" w:hAnsi="Calibri" w:cs="Calibri"/>
          <w:color w:val="000000" w:themeColor="text1"/>
          <w:sz w:val="22"/>
          <w:szCs w:val="22"/>
          <w:lang w:val="en-GB"/>
        </w:rPr>
        <w:t>. (Accessed: 10/11/2025).</w:t>
      </w:r>
    </w:p>
    <w:p w14:paraId="7B7BB06C" w14:textId="4C5A64CE" w:rsidR="7A0A3DDB" w:rsidRDefault="7A0A3DDB" w:rsidP="7FE47AC9">
      <w:pPr>
        <w:spacing w:after="0"/>
        <w:jc w:val="both"/>
        <w:rPr>
          <w:rFonts w:ascii="Calibri" w:eastAsia="Calibri" w:hAnsi="Calibri" w:cs="Calibri"/>
          <w:color w:val="000000" w:themeColor="text1"/>
          <w:sz w:val="22"/>
          <w:szCs w:val="22"/>
          <w:lang w:val="en-GB"/>
        </w:rPr>
      </w:pPr>
    </w:p>
    <w:p w14:paraId="0C2364A8" w14:textId="5A84A0FF" w:rsidR="430B9A21" w:rsidRDefault="430B9A21"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United Nations (2015). </w:t>
      </w:r>
      <w:r w:rsidRPr="7FE47AC9">
        <w:rPr>
          <w:rFonts w:ascii="Calibri" w:eastAsia="Calibri" w:hAnsi="Calibri" w:cs="Calibri"/>
          <w:i/>
          <w:color w:val="000000" w:themeColor="text1"/>
          <w:sz w:val="22"/>
          <w:szCs w:val="22"/>
          <w:lang w:val="en-GB"/>
        </w:rPr>
        <w:t>The 17 sustainable development goals</w:t>
      </w:r>
      <w:r w:rsidRPr="7FE47AC9">
        <w:rPr>
          <w:rFonts w:ascii="Calibri" w:eastAsia="Calibri" w:hAnsi="Calibri" w:cs="Calibri"/>
          <w:color w:val="000000" w:themeColor="text1"/>
          <w:sz w:val="22"/>
          <w:szCs w:val="22"/>
          <w:lang w:val="en-GB"/>
        </w:rPr>
        <w:t xml:space="preserve">.  United Nations. Available at: </w:t>
      </w:r>
      <w:hyperlink r:id="rId18">
        <w:r w:rsidRPr="7FE47AC9">
          <w:rPr>
            <w:rStyle w:val="Hyperlink"/>
            <w:rFonts w:ascii="Calibri" w:eastAsia="Calibri" w:hAnsi="Calibri" w:cs="Calibri"/>
            <w:sz w:val="22"/>
            <w:szCs w:val="22"/>
            <w:lang w:val="en-GB"/>
          </w:rPr>
          <w:t>https://sdgs.un.org/goals</w:t>
        </w:r>
      </w:hyperlink>
      <w:r w:rsidRPr="7FE47AC9">
        <w:rPr>
          <w:rFonts w:ascii="Calibri" w:eastAsia="Calibri" w:hAnsi="Calibri" w:cs="Calibri"/>
          <w:color w:val="000000" w:themeColor="text1"/>
          <w:sz w:val="22"/>
          <w:szCs w:val="22"/>
          <w:lang w:val="en-GB"/>
        </w:rPr>
        <w:t>. (Accessed: 15/11/2025).</w:t>
      </w:r>
    </w:p>
    <w:p w14:paraId="25C15907" w14:textId="57104D38" w:rsidR="7A0A3DDB" w:rsidRDefault="7A0A3DDB" w:rsidP="7FE47AC9">
      <w:pPr>
        <w:spacing w:after="0"/>
        <w:jc w:val="both"/>
        <w:rPr>
          <w:rFonts w:ascii="Calibri" w:eastAsia="Calibri" w:hAnsi="Calibri" w:cs="Calibri"/>
          <w:color w:val="000000" w:themeColor="text1"/>
          <w:sz w:val="22"/>
          <w:szCs w:val="22"/>
          <w:lang w:val="en-GB"/>
        </w:rPr>
      </w:pPr>
    </w:p>
    <w:p w14:paraId="11F1CA3F" w14:textId="3EA8238E" w:rsidR="7155277B" w:rsidRDefault="7155277B"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 xml:space="preserve">Velempini, K. (2025). Assessing the Role of Environmental Education Practices Towards the Attainment of the 2030 Sustainable Development Goals. </w:t>
      </w:r>
      <w:r w:rsidRPr="7FE47AC9">
        <w:rPr>
          <w:rFonts w:ascii="Calibri" w:eastAsia="Calibri" w:hAnsi="Calibri" w:cs="Calibri"/>
          <w:i/>
          <w:color w:val="000000" w:themeColor="text1"/>
          <w:sz w:val="22"/>
          <w:szCs w:val="22"/>
          <w:lang w:val="en-GB"/>
        </w:rPr>
        <w:t>Sustainability</w:t>
      </w:r>
      <w:r w:rsidRPr="7FE47AC9">
        <w:rPr>
          <w:rFonts w:ascii="Calibri" w:eastAsia="Calibri" w:hAnsi="Calibri" w:cs="Calibri"/>
          <w:color w:val="000000" w:themeColor="text1"/>
          <w:sz w:val="22"/>
          <w:szCs w:val="22"/>
          <w:lang w:val="en-GB"/>
        </w:rPr>
        <w:t>, 17(5), p.2043. doi:https://doi.org/10.3390/su17052043.</w:t>
      </w:r>
    </w:p>
    <w:p w14:paraId="6CAD82B0" w14:textId="4282BD23" w:rsidR="6F3949EA" w:rsidRDefault="7155277B" w:rsidP="7FE47AC9">
      <w:pPr>
        <w:spacing w:before="240" w:after="24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w:t>
      </w:r>
      <w:r w:rsidR="6F3949EA" w:rsidRPr="7FE47AC9">
        <w:rPr>
          <w:rFonts w:ascii="Calibri" w:eastAsia="Calibri" w:hAnsi="Calibri" w:cs="Calibri"/>
          <w:color w:val="000000" w:themeColor="text1"/>
          <w:sz w:val="22"/>
          <w:szCs w:val="22"/>
          <w:lang w:val="en-GB"/>
        </w:rPr>
        <w:t xml:space="preserve">World Health Organization (2022). </w:t>
      </w:r>
      <w:r w:rsidR="6F3949EA" w:rsidRPr="7FE47AC9">
        <w:rPr>
          <w:rFonts w:ascii="Calibri" w:eastAsia="Calibri" w:hAnsi="Calibri" w:cs="Calibri"/>
          <w:i/>
          <w:color w:val="000000" w:themeColor="text1"/>
          <w:sz w:val="22"/>
          <w:szCs w:val="22"/>
          <w:lang w:val="en-GB"/>
        </w:rPr>
        <w:t>Sustainable Development Goals</w:t>
      </w:r>
      <w:r w:rsidR="6F3949EA" w:rsidRPr="7FE47AC9">
        <w:rPr>
          <w:rFonts w:ascii="Calibri" w:eastAsia="Calibri" w:hAnsi="Calibri" w:cs="Calibri"/>
          <w:color w:val="000000" w:themeColor="text1"/>
          <w:sz w:val="22"/>
          <w:szCs w:val="22"/>
          <w:lang w:val="en-GB"/>
        </w:rPr>
        <w:t xml:space="preserve">. [online] World Health Organization. Available at: </w:t>
      </w:r>
      <w:hyperlink r:id="rId19">
        <w:r w:rsidR="6F3949EA" w:rsidRPr="7FE47AC9">
          <w:rPr>
            <w:rStyle w:val="Hyperlink"/>
            <w:rFonts w:ascii="Calibri" w:eastAsia="Calibri" w:hAnsi="Calibri" w:cs="Calibri"/>
            <w:sz w:val="22"/>
            <w:szCs w:val="22"/>
            <w:lang w:val="en-GB"/>
          </w:rPr>
          <w:t>https://www.who.int/europe/about-us/our-work/sustainable-development-goals</w:t>
        </w:r>
      </w:hyperlink>
      <w:r w:rsidR="6F3949EA" w:rsidRPr="7FE47AC9">
        <w:rPr>
          <w:rFonts w:ascii="Calibri" w:eastAsia="Calibri" w:hAnsi="Calibri" w:cs="Calibri"/>
          <w:color w:val="000000" w:themeColor="text1"/>
          <w:sz w:val="22"/>
          <w:szCs w:val="22"/>
          <w:lang w:val="en-GB"/>
        </w:rPr>
        <w:t>. (Accessed: 11/11/2025)</w:t>
      </w:r>
    </w:p>
    <w:p w14:paraId="680D0B5B" w14:textId="53521D61" w:rsidR="73377FCD" w:rsidRDefault="6F3949EA" w:rsidP="7FE47AC9">
      <w:pPr>
        <w:spacing w:before="240" w:after="24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w:t>
      </w:r>
      <w:r w:rsidR="73377FCD" w:rsidRPr="7FE47AC9">
        <w:rPr>
          <w:rFonts w:ascii="Calibri" w:eastAsia="Calibri" w:hAnsi="Calibri" w:cs="Calibri"/>
          <w:color w:val="000000" w:themeColor="text1"/>
          <w:sz w:val="22"/>
          <w:szCs w:val="22"/>
          <w:lang w:val="en-GB"/>
        </w:rPr>
        <w:t xml:space="preserve">World Health Organization (2025). </w:t>
      </w:r>
      <w:r w:rsidR="73377FCD" w:rsidRPr="7FE47AC9">
        <w:rPr>
          <w:rFonts w:ascii="Calibri" w:eastAsia="Calibri" w:hAnsi="Calibri" w:cs="Calibri"/>
          <w:i/>
          <w:color w:val="000000" w:themeColor="text1"/>
          <w:sz w:val="22"/>
          <w:szCs w:val="22"/>
          <w:lang w:val="en-GB"/>
        </w:rPr>
        <w:t>Universal Health Coverage (UHC)</w:t>
      </w:r>
      <w:r w:rsidR="73377FCD" w:rsidRPr="7FE47AC9">
        <w:rPr>
          <w:rFonts w:ascii="Calibri" w:eastAsia="Calibri" w:hAnsi="Calibri" w:cs="Calibri"/>
          <w:color w:val="000000" w:themeColor="text1"/>
          <w:sz w:val="22"/>
          <w:szCs w:val="22"/>
          <w:lang w:val="en-GB"/>
        </w:rPr>
        <w:t xml:space="preserve">.  World Health Organization. Available at: </w:t>
      </w:r>
      <w:hyperlink r:id="rId20">
        <w:r w:rsidR="73377FCD" w:rsidRPr="7FE47AC9">
          <w:rPr>
            <w:rStyle w:val="Hyperlink"/>
            <w:rFonts w:ascii="Calibri" w:eastAsia="Calibri" w:hAnsi="Calibri" w:cs="Calibri"/>
            <w:sz w:val="22"/>
            <w:szCs w:val="22"/>
            <w:lang w:val="en-GB"/>
          </w:rPr>
          <w:t>https://www.who.int/news-room/fact-sheets/detail/universal-health-coverage-(uhc</w:t>
        </w:r>
      </w:hyperlink>
      <w:r w:rsidR="73377FCD" w:rsidRPr="7FE47AC9">
        <w:rPr>
          <w:rFonts w:ascii="Calibri" w:eastAsia="Calibri" w:hAnsi="Calibri" w:cs="Calibri"/>
          <w:color w:val="000000" w:themeColor="text1"/>
          <w:sz w:val="22"/>
          <w:szCs w:val="22"/>
          <w:lang w:val="en-GB"/>
        </w:rPr>
        <w:t>). (Accessed: 15/11/2025).</w:t>
      </w:r>
    </w:p>
    <w:p w14:paraId="01EAC12B" w14:textId="1A2758CF" w:rsidR="086C0704" w:rsidRDefault="086C0704"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Zhou, R. (2024). How UK universities approach sustainability: A timely review. Journal of adult and continuing education, 31(1). doi:https://doi.org/10.1177/14779714241240985.</w:t>
      </w:r>
    </w:p>
    <w:p w14:paraId="2AB55566" w14:textId="1DC4DFA4" w:rsidR="086C0704" w:rsidRDefault="086C0704" w:rsidP="7FE47AC9">
      <w:pPr>
        <w:spacing w:after="0"/>
        <w:jc w:val="both"/>
        <w:rPr>
          <w:rFonts w:ascii="Calibri" w:eastAsia="Calibri" w:hAnsi="Calibri" w:cs="Calibri"/>
          <w:color w:val="000000" w:themeColor="text1"/>
          <w:sz w:val="22"/>
          <w:szCs w:val="22"/>
          <w:lang w:val="en-GB"/>
        </w:rPr>
      </w:pPr>
      <w:r w:rsidRPr="7FE47AC9">
        <w:rPr>
          <w:rFonts w:ascii="Calibri" w:eastAsia="Calibri" w:hAnsi="Calibri" w:cs="Calibri"/>
          <w:color w:val="000000" w:themeColor="text1"/>
          <w:sz w:val="22"/>
          <w:szCs w:val="22"/>
          <w:lang w:val="en-GB"/>
        </w:rPr>
        <w:t>‌</w:t>
      </w:r>
    </w:p>
    <w:p w14:paraId="79FB27F5" w14:textId="5F2E1606" w:rsidR="7A0A3DDB" w:rsidRDefault="7A0A3DDB" w:rsidP="7A0A3DDB">
      <w:pPr>
        <w:spacing w:after="0"/>
        <w:rPr>
          <w:rFonts w:ascii="Calibri" w:eastAsia="Calibri" w:hAnsi="Calibri" w:cs="Calibri"/>
          <w:color w:val="000000" w:themeColor="text1"/>
          <w:sz w:val="27"/>
          <w:szCs w:val="27"/>
          <w:lang w:val="en-GB"/>
        </w:rPr>
      </w:pPr>
    </w:p>
    <w:p w14:paraId="167BF721" w14:textId="70060184" w:rsidR="73377FCD" w:rsidRDefault="73377FCD" w:rsidP="3039F795">
      <w:pPr>
        <w:spacing w:before="240" w:after="240"/>
      </w:pPr>
      <w:r w:rsidRPr="3039F795">
        <w:rPr>
          <w:rFonts w:ascii="Calibri" w:eastAsia="Calibri" w:hAnsi="Calibri" w:cs="Calibri"/>
          <w:color w:val="000000" w:themeColor="text1"/>
          <w:sz w:val="27"/>
          <w:szCs w:val="27"/>
          <w:lang w:val="en-GB"/>
        </w:rPr>
        <w:t>‌</w:t>
      </w:r>
    </w:p>
    <w:p w14:paraId="78C66B98" w14:textId="2E1E6D1F" w:rsidR="3039F795" w:rsidRDefault="3039F795" w:rsidP="3039F795">
      <w:pPr>
        <w:spacing w:after="0"/>
        <w:rPr>
          <w:rFonts w:ascii="Calibri" w:eastAsia="Calibri" w:hAnsi="Calibri" w:cs="Calibri"/>
          <w:color w:val="000000" w:themeColor="text1"/>
          <w:sz w:val="27"/>
          <w:szCs w:val="27"/>
          <w:lang w:val="en-GB"/>
        </w:rPr>
      </w:pPr>
    </w:p>
    <w:p w14:paraId="008C407C" w14:textId="77F6DAF2" w:rsidR="228BB679" w:rsidRDefault="228BB679" w:rsidP="228BB679">
      <w:pPr>
        <w:spacing w:after="0"/>
        <w:rPr>
          <w:rFonts w:ascii="Calibri" w:eastAsia="Calibri" w:hAnsi="Calibri" w:cs="Calibri"/>
          <w:color w:val="000000" w:themeColor="text1"/>
          <w:sz w:val="27"/>
          <w:szCs w:val="27"/>
          <w:lang w:val="en-GB"/>
        </w:rPr>
      </w:pPr>
    </w:p>
    <w:p w14:paraId="130E3480" w14:textId="4F23B472" w:rsidR="26BD5D55" w:rsidRDefault="26BD5D55" w:rsidP="26BD5D55">
      <w:pPr>
        <w:spacing w:after="0"/>
        <w:rPr>
          <w:rFonts w:ascii="Calibri" w:eastAsia="Calibri" w:hAnsi="Calibri" w:cs="Calibri"/>
          <w:color w:val="000000" w:themeColor="text1"/>
          <w:sz w:val="27"/>
          <w:szCs w:val="27"/>
          <w:lang w:val="en-GB"/>
        </w:rPr>
      </w:pPr>
    </w:p>
    <w:p w14:paraId="554C2A67" w14:textId="41D8B318" w:rsidR="26BD5D55" w:rsidRDefault="26BD5D55" w:rsidP="26BD5D55">
      <w:pPr>
        <w:spacing w:after="0"/>
        <w:rPr>
          <w:rFonts w:ascii="Calibri" w:eastAsia="Calibri" w:hAnsi="Calibri" w:cs="Calibri"/>
          <w:color w:val="000000" w:themeColor="text1"/>
          <w:sz w:val="27"/>
          <w:szCs w:val="27"/>
          <w:lang w:val="en-GB"/>
        </w:rPr>
      </w:pPr>
    </w:p>
    <w:p w14:paraId="5B92ABE3" w14:textId="0664E242" w:rsidR="00DC7632" w:rsidRPr="002023E1" w:rsidRDefault="01A2BF80" w:rsidP="5508FDBE">
      <w:pPr>
        <w:spacing w:before="240" w:after="240"/>
      </w:pPr>
      <w:r w:rsidRPr="5508FDBE">
        <w:rPr>
          <w:rFonts w:ascii="Calibri" w:eastAsia="Calibri" w:hAnsi="Calibri" w:cs="Calibri"/>
          <w:color w:val="000000" w:themeColor="text1"/>
          <w:lang w:val="en-GB"/>
        </w:rPr>
        <w:t>‌</w:t>
      </w:r>
    </w:p>
    <w:p w14:paraId="5E739C49" w14:textId="138181DE" w:rsidR="00DC7632" w:rsidRPr="002023E1" w:rsidRDefault="00DC7632">
      <w:pPr>
        <w:rPr>
          <w:lang w:val="en-GB"/>
        </w:rPr>
      </w:pPr>
    </w:p>
    <w:proofErr w:type="spellEnd"/>
    <w:sectPr w:rsidR="00DC7632" w:rsidRPr="002023E1">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568E0" w14:textId="77777777" w:rsidR="00EE4D4B" w:rsidRDefault="00EE4D4B" w:rsidP="001D1672">
      <w:pPr>
        <w:spacing w:after="0" w:line="240" w:lineRule="auto"/>
      </w:pPr>
      <w:r>
        <w:separator/>
      </w:r>
    </w:p>
  </w:endnote>
  <w:endnote w:type="continuationSeparator" w:id="0">
    <w:p w14:paraId="43B0503E" w14:textId="77777777" w:rsidR="00EE4D4B" w:rsidRDefault="00EE4D4B" w:rsidP="001D1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A0A3DDB" w14:paraId="127BBAE9" w14:textId="77777777" w:rsidTr="7A0A3DDB">
      <w:trPr>
        <w:trHeight w:val="300"/>
      </w:trPr>
      <w:tc>
        <w:tcPr>
          <w:tcW w:w="3005" w:type="dxa"/>
        </w:tcPr>
        <w:p w14:paraId="0DD46AEF" w14:textId="13E14C19" w:rsidR="7A0A3DDB" w:rsidRDefault="7A0A3DDB" w:rsidP="7A0A3DDB">
          <w:pPr>
            <w:pStyle w:val="Header"/>
            <w:ind w:left="-115"/>
          </w:pPr>
        </w:p>
      </w:tc>
      <w:tc>
        <w:tcPr>
          <w:tcW w:w="3005" w:type="dxa"/>
        </w:tcPr>
        <w:p w14:paraId="0C25727A" w14:textId="78484AAE" w:rsidR="7A0A3DDB" w:rsidRDefault="7A0A3DDB" w:rsidP="7A0A3DDB">
          <w:pPr>
            <w:pStyle w:val="Header"/>
            <w:jc w:val="center"/>
          </w:pPr>
        </w:p>
      </w:tc>
      <w:tc>
        <w:tcPr>
          <w:tcW w:w="3005" w:type="dxa"/>
        </w:tcPr>
        <w:p w14:paraId="444AD996" w14:textId="511E27C7" w:rsidR="7A0A3DDB" w:rsidRDefault="7A0A3DDB" w:rsidP="7A0A3DDB">
          <w:pPr>
            <w:pStyle w:val="Header"/>
            <w:ind w:right="-115"/>
            <w:jc w:val="right"/>
          </w:pPr>
        </w:p>
      </w:tc>
    </w:tr>
  </w:tbl>
  <w:p w14:paraId="3FB549A3" w14:textId="70A77DE0" w:rsidR="001D1672" w:rsidRDefault="001D16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F6E1C" w14:textId="77777777" w:rsidR="00EE4D4B" w:rsidRDefault="00EE4D4B" w:rsidP="001D1672">
      <w:pPr>
        <w:spacing w:after="0" w:line="240" w:lineRule="auto"/>
      </w:pPr>
      <w:r>
        <w:separator/>
      </w:r>
    </w:p>
  </w:footnote>
  <w:footnote w:type="continuationSeparator" w:id="0">
    <w:p w14:paraId="132DC0C3" w14:textId="77777777" w:rsidR="00EE4D4B" w:rsidRDefault="00EE4D4B" w:rsidP="001D16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A0A3DDB" w14:paraId="04CC7809" w14:textId="77777777" w:rsidTr="7A0A3DDB">
      <w:trPr>
        <w:trHeight w:val="300"/>
      </w:trPr>
      <w:tc>
        <w:tcPr>
          <w:tcW w:w="3005" w:type="dxa"/>
        </w:tcPr>
        <w:p w14:paraId="779812A4" w14:textId="2499C7B0" w:rsidR="7A0A3DDB" w:rsidRDefault="7A0A3DDB" w:rsidP="7A0A3DDB">
          <w:pPr>
            <w:pStyle w:val="Header"/>
            <w:ind w:left="-115"/>
          </w:pPr>
        </w:p>
      </w:tc>
      <w:tc>
        <w:tcPr>
          <w:tcW w:w="3005" w:type="dxa"/>
        </w:tcPr>
        <w:p w14:paraId="0F0295A7" w14:textId="72BB800B" w:rsidR="7A0A3DDB" w:rsidRDefault="7A0A3DDB" w:rsidP="7A0A3DDB">
          <w:pPr>
            <w:pStyle w:val="Header"/>
            <w:jc w:val="center"/>
          </w:pPr>
        </w:p>
      </w:tc>
      <w:tc>
        <w:tcPr>
          <w:tcW w:w="3005" w:type="dxa"/>
        </w:tcPr>
        <w:p w14:paraId="1B350B2E" w14:textId="5A1BD27F" w:rsidR="7A0A3DDB" w:rsidRDefault="7A0A3DDB" w:rsidP="7A0A3DDB">
          <w:pPr>
            <w:pStyle w:val="Header"/>
            <w:ind w:right="-115"/>
            <w:jc w:val="right"/>
          </w:pPr>
        </w:p>
      </w:tc>
    </w:tr>
  </w:tbl>
  <w:p w14:paraId="641576E5" w14:textId="21BEEB13" w:rsidR="001D1672" w:rsidRDefault="001D16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3E1"/>
    <w:rsid w:val="00015D11"/>
    <w:rsid w:val="00017163"/>
    <w:rsid w:val="00020994"/>
    <w:rsid w:val="000221D7"/>
    <w:rsid w:val="0002279B"/>
    <w:rsid w:val="0002416E"/>
    <w:rsid w:val="00024C10"/>
    <w:rsid w:val="00036C2F"/>
    <w:rsid w:val="000409AC"/>
    <w:rsid w:val="00047201"/>
    <w:rsid w:val="000571FF"/>
    <w:rsid w:val="00073344"/>
    <w:rsid w:val="000771E9"/>
    <w:rsid w:val="00080F77"/>
    <w:rsid w:val="000854F1"/>
    <w:rsid w:val="00097FA8"/>
    <w:rsid w:val="000A3429"/>
    <w:rsid w:val="000B3C29"/>
    <w:rsid w:val="000C15BF"/>
    <w:rsid w:val="000C40E5"/>
    <w:rsid w:val="000C6A2E"/>
    <w:rsid w:val="000D216E"/>
    <w:rsid w:val="000E2230"/>
    <w:rsid w:val="000E589E"/>
    <w:rsid w:val="000E72D3"/>
    <w:rsid w:val="000F4CF4"/>
    <w:rsid w:val="00102E44"/>
    <w:rsid w:val="001031CA"/>
    <w:rsid w:val="00106BEE"/>
    <w:rsid w:val="00120FD5"/>
    <w:rsid w:val="00130787"/>
    <w:rsid w:val="001318AB"/>
    <w:rsid w:val="00134FF8"/>
    <w:rsid w:val="00136CEE"/>
    <w:rsid w:val="00144332"/>
    <w:rsid w:val="00146F09"/>
    <w:rsid w:val="00147CB0"/>
    <w:rsid w:val="00161736"/>
    <w:rsid w:val="0016331C"/>
    <w:rsid w:val="001651E6"/>
    <w:rsid w:val="00170E5F"/>
    <w:rsid w:val="00175788"/>
    <w:rsid w:val="001759F0"/>
    <w:rsid w:val="0018226D"/>
    <w:rsid w:val="00183EC1"/>
    <w:rsid w:val="001972BC"/>
    <w:rsid w:val="001A02FC"/>
    <w:rsid w:val="001A13BD"/>
    <w:rsid w:val="001A524A"/>
    <w:rsid w:val="001A5523"/>
    <w:rsid w:val="001B7AA4"/>
    <w:rsid w:val="001D1672"/>
    <w:rsid w:val="001D627E"/>
    <w:rsid w:val="001E25AB"/>
    <w:rsid w:val="001E3256"/>
    <w:rsid w:val="002023E1"/>
    <w:rsid w:val="002036F7"/>
    <w:rsid w:val="00203A97"/>
    <w:rsid w:val="002046E1"/>
    <w:rsid w:val="002137E0"/>
    <w:rsid w:val="0022020C"/>
    <w:rsid w:val="0023442D"/>
    <w:rsid w:val="0024063E"/>
    <w:rsid w:val="00244BBC"/>
    <w:rsid w:val="0024547E"/>
    <w:rsid w:val="0024585E"/>
    <w:rsid w:val="00246716"/>
    <w:rsid w:val="00261602"/>
    <w:rsid w:val="00262199"/>
    <w:rsid w:val="0029088B"/>
    <w:rsid w:val="002A213D"/>
    <w:rsid w:val="002A4626"/>
    <w:rsid w:val="002A4AF4"/>
    <w:rsid w:val="002A5EC7"/>
    <w:rsid w:val="002A7E96"/>
    <w:rsid w:val="002B21D7"/>
    <w:rsid w:val="002B2852"/>
    <w:rsid w:val="002B5317"/>
    <w:rsid w:val="002C2E2E"/>
    <w:rsid w:val="002C39DA"/>
    <w:rsid w:val="002C5EC8"/>
    <w:rsid w:val="002D659F"/>
    <w:rsid w:val="002F4777"/>
    <w:rsid w:val="002F5EC0"/>
    <w:rsid w:val="00305878"/>
    <w:rsid w:val="00307384"/>
    <w:rsid w:val="00310905"/>
    <w:rsid w:val="00316563"/>
    <w:rsid w:val="00316F96"/>
    <w:rsid w:val="00324FA1"/>
    <w:rsid w:val="00327906"/>
    <w:rsid w:val="003308E1"/>
    <w:rsid w:val="00336D59"/>
    <w:rsid w:val="00344A2B"/>
    <w:rsid w:val="00350173"/>
    <w:rsid w:val="00351CE2"/>
    <w:rsid w:val="00355260"/>
    <w:rsid w:val="003579F6"/>
    <w:rsid w:val="00357D9C"/>
    <w:rsid w:val="00370870"/>
    <w:rsid w:val="003851CF"/>
    <w:rsid w:val="00390B59"/>
    <w:rsid w:val="003A5D0C"/>
    <w:rsid w:val="003B1A37"/>
    <w:rsid w:val="003B3B33"/>
    <w:rsid w:val="003C2678"/>
    <w:rsid w:val="003E05A0"/>
    <w:rsid w:val="003E4503"/>
    <w:rsid w:val="003F35CC"/>
    <w:rsid w:val="003FACD0"/>
    <w:rsid w:val="004006BA"/>
    <w:rsid w:val="004100B6"/>
    <w:rsid w:val="004117DB"/>
    <w:rsid w:val="0042276C"/>
    <w:rsid w:val="004230BE"/>
    <w:rsid w:val="00424C7A"/>
    <w:rsid w:val="004321E3"/>
    <w:rsid w:val="00434EA5"/>
    <w:rsid w:val="004350F1"/>
    <w:rsid w:val="00436898"/>
    <w:rsid w:val="00436AE7"/>
    <w:rsid w:val="0043768A"/>
    <w:rsid w:val="004405FB"/>
    <w:rsid w:val="00443AF9"/>
    <w:rsid w:val="00446FA4"/>
    <w:rsid w:val="00447C57"/>
    <w:rsid w:val="00457161"/>
    <w:rsid w:val="00482AB9"/>
    <w:rsid w:val="00483F9A"/>
    <w:rsid w:val="00485378"/>
    <w:rsid w:val="00487966"/>
    <w:rsid w:val="00490EF6"/>
    <w:rsid w:val="004A5F94"/>
    <w:rsid w:val="004A7B5E"/>
    <w:rsid w:val="004B0872"/>
    <w:rsid w:val="004B7F61"/>
    <w:rsid w:val="004C312B"/>
    <w:rsid w:val="004D0D60"/>
    <w:rsid w:val="004D4DE2"/>
    <w:rsid w:val="004E2779"/>
    <w:rsid w:val="004E483E"/>
    <w:rsid w:val="004E4892"/>
    <w:rsid w:val="004E5844"/>
    <w:rsid w:val="004F63A8"/>
    <w:rsid w:val="005056B2"/>
    <w:rsid w:val="00507C44"/>
    <w:rsid w:val="00512D43"/>
    <w:rsid w:val="0051314E"/>
    <w:rsid w:val="005202BB"/>
    <w:rsid w:val="0052303D"/>
    <w:rsid w:val="0055222C"/>
    <w:rsid w:val="00555BA3"/>
    <w:rsid w:val="00555DC3"/>
    <w:rsid w:val="005569E5"/>
    <w:rsid w:val="00561469"/>
    <w:rsid w:val="00561716"/>
    <w:rsid w:val="00562C09"/>
    <w:rsid w:val="00566374"/>
    <w:rsid w:val="00581C28"/>
    <w:rsid w:val="00587F72"/>
    <w:rsid w:val="005902B4"/>
    <w:rsid w:val="00591BEF"/>
    <w:rsid w:val="00592D4A"/>
    <w:rsid w:val="00594759"/>
    <w:rsid w:val="00596A95"/>
    <w:rsid w:val="005A07F9"/>
    <w:rsid w:val="005C177F"/>
    <w:rsid w:val="005D5045"/>
    <w:rsid w:val="005F1008"/>
    <w:rsid w:val="005F6108"/>
    <w:rsid w:val="005F66EA"/>
    <w:rsid w:val="006027C6"/>
    <w:rsid w:val="0060463E"/>
    <w:rsid w:val="0060477F"/>
    <w:rsid w:val="00605E39"/>
    <w:rsid w:val="00615236"/>
    <w:rsid w:val="006213B1"/>
    <w:rsid w:val="00627AEA"/>
    <w:rsid w:val="00656C60"/>
    <w:rsid w:val="006573D2"/>
    <w:rsid w:val="00662244"/>
    <w:rsid w:val="0066540E"/>
    <w:rsid w:val="00693131"/>
    <w:rsid w:val="006943B0"/>
    <w:rsid w:val="006A1F34"/>
    <w:rsid w:val="006B44D3"/>
    <w:rsid w:val="006B6C6D"/>
    <w:rsid w:val="006C4F88"/>
    <w:rsid w:val="006D2624"/>
    <w:rsid w:val="006D65EF"/>
    <w:rsid w:val="006E290F"/>
    <w:rsid w:val="006E7E42"/>
    <w:rsid w:val="006F1273"/>
    <w:rsid w:val="006F5C52"/>
    <w:rsid w:val="006F6BE8"/>
    <w:rsid w:val="006F7B85"/>
    <w:rsid w:val="00707A7A"/>
    <w:rsid w:val="00711811"/>
    <w:rsid w:val="007119BE"/>
    <w:rsid w:val="00724ADD"/>
    <w:rsid w:val="00733514"/>
    <w:rsid w:val="007367EB"/>
    <w:rsid w:val="00741BC3"/>
    <w:rsid w:val="007455EF"/>
    <w:rsid w:val="00752805"/>
    <w:rsid w:val="00753F0D"/>
    <w:rsid w:val="0075630C"/>
    <w:rsid w:val="00764DF0"/>
    <w:rsid w:val="00780454"/>
    <w:rsid w:val="00797BB4"/>
    <w:rsid w:val="007A12F8"/>
    <w:rsid w:val="007A17AD"/>
    <w:rsid w:val="007A713D"/>
    <w:rsid w:val="007C00D7"/>
    <w:rsid w:val="007C3A8B"/>
    <w:rsid w:val="007D2ADE"/>
    <w:rsid w:val="007D304C"/>
    <w:rsid w:val="007D7800"/>
    <w:rsid w:val="007F16F6"/>
    <w:rsid w:val="007F2423"/>
    <w:rsid w:val="007F4ECF"/>
    <w:rsid w:val="007F9643"/>
    <w:rsid w:val="008116D1"/>
    <w:rsid w:val="00820370"/>
    <w:rsid w:val="00827936"/>
    <w:rsid w:val="008447C5"/>
    <w:rsid w:val="00845A61"/>
    <w:rsid w:val="00850124"/>
    <w:rsid w:val="00856756"/>
    <w:rsid w:val="00876CEB"/>
    <w:rsid w:val="0089464F"/>
    <w:rsid w:val="008C0693"/>
    <w:rsid w:val="008C5DB2"/>
    <w:rsid w:val="008D4356"/>
    <w:rsid w:val="008D488C"/>
    <w:rsid w:val="008E4204"/>
    <w:rsid w:val="008F2B0E"/>
    <w:rsid w:val="008F7F90"/>
    <w:rsid w:val="00900017"/>
    <w:rsid w:val="00912B32"/>
    <w:rsid w:val="009269A8"/>
    <w:rsid w:val="00943C7C"/>
    <w:rsid w:val="009479AA"/>
    <w:rsid w:val="009529F4"/>
    <w:rsid w:val="00955028"/>
    <w:rsid w:val="009611CE"/>
    <w:rsid w:val="00961769"/>
    <w:rsid w:val="00962C18"/>
    <w:rsid w:val="00971C87"/>
    <w:rsid w:val="00984019"/>
    <w:rsid w:val="009846D9"/>
    <w:rsid w:val="00993A76"/>
    <w:rsid w:val="009B162C"/>
    <w:rsid w:val="009B4D5C"/>
    <w:rsid w:val="009D292E"/>
    <w:rsid w:val="009D40C4"/>
    <w:rsid w:val="009E1B9C"/>
    <w:rsid w:val="009E531E"/>
    <w:rsid w:val="009F5CB3"/>
    <w:rsid w:val="00A14627"/>
    <w:rsid w:val="00A34454"/>
    <w:rsid w:val="00A50CA5"/>
    <w:rsid w:val="00A51815"/>
    <w:rsid w:val="00A55A90"/>
    <w:rsid w:val="00A576BC"/>
    <w:rsid w:val="00A60794"/>
    <w:rsid w:val="00A63BF1"/>
    <w:rsid w:val="00A653EC"/>
    <w:rsid w:val="00A66DEE"/>
    <w:rsid w:val="00A7198A"/>
    <w:rsid w:val="00A71B10"/>
    <w:rsid w:val="00A83989"/>
    <w:rsid w:val="00A874EA"/>
    <w:rsid w:val="00A93CF6"/>
    <w:rsid w:val="00AA7542"/>
    <w:rsid w:val="00AB2D30"/>
    <w:rsid w:val="00AC2C87"/>
    <w:rsid w:val="00AC5B68"/>
    <w:rsid w:val="00AC61C3"/>
    <w:rsid w:val="00AD4D4C"/>
    <w:rsid w:val="00AE0ACF"/>
    <w:rsid w:val="00AE2996"/>
    <w:rsid w:val="00AF3C47"/>
    <w:rsid w:val="00AF5FD5"/>
    <w:rsid w:val="00B13D9A"/>
    <w:rsid w:val="00B14322"/>
    <w:rsid w:val="00B15643"/>
    <w:rsid w:val="00B170CD"/>
    <w:rsid w:val="00B17682"/>
    <w:rsid w:val="00B20F9D"/>
    <w:rsid w:val="00B2171C"/>
    <w:rsid w:val="00B22B95"/>
    <w:rsid w:val="00B24BBF"/>
    <w:rsid w:val="00B3269F"/>
    <w:rsid w:val="00B33AC8"/>
    <w:rsid w:val="00B45255"/>
    <w:rsid w:val="00B51A4B"/>
    <w:rsid w:val="00B701F0"/>
    <w:rsid w:val="00B703AC"/>
    <w:rsid w:val="00B7324F"/>
    <w:rsid w:val="00BA5F03"/>
    <w:rsid w:val="00BB15BC"/>
    <w:rsid w:val="00BC2446"/>
    <w:rsid w:val="00BC5BC0"/>
    <w:rsid w:val="00BD0B52"/>
    <w:rsid w:val="00BD3794"/>
    <w:rsid w:val="00BE2FCF"/>
    <w:rsid w:val="00BE5FE9"/>
    <w:rsid w:val="00BE614F"/>
    <w:rsid w:val="00BF4C7F"/>
    <w:rsid w:val="00BF5C01"/>
    <w:rsid w:val="00C02A6A"/>
    <w:rsid w:val="00C165E3"/>
    <w:rsid w:val="00C168BD"/>
    <w:rsid w:val="00C32D04"/>
    <w:rsid w:val="00C47B78"/>
    <w:rsid w:val="00C60E78"/>
    <w:rsid w:val="00C65C56"/>
    <w:rsid w:val="00C72EE3"/>
    <w:rsid w:val="00C832A9"/>
    <w:rsid w:val="00C964A4"/>
    <w:rsid w:val="00C97868"/>
    <w:rsid w:val="00CA1339"/>
    <w:rsid w:val="00CA3EEB"/>
    <w:rsid w:val="00CA572A"/>
    <w:rsid w:val="00CB27FF"/>
    <w:rsid w:val="00CB4667"/>
    <w:rsid w:val="00CB4796"/>
    <w:rsid w:val="00CB5959"/>
    <w:rsid w:val="00CC1AA9"/>
    <w:rsid w:val="00CC3A13"/>
    <w:rsid w:val="00CC6ADF"/>
    <w:rsid w:val="00CD0885"/>
    <w:rsid w:val="00CD18CD"/>
    <w:rsid w:val="00CD55EB"/>
    <w:rsid w:val="00CD6496"/>
    <w:rsid w:val="00CE4620"/>
    <w:rsid w:val="00CF4A4B"/>
    <w:rsid w:val="00CF6191"/>
    <w:rsid w:val="00D138A9"/>
    <w:rsid w:val="00D163B5"/>
    <w:rsid w:val="00D16E26"/>
    <w:rsid w:val="00D45FE3"/>
    <w:rsid w:val="00D464DF"/>
    <w:rsid w:val="00D4695A"/>
    <w:rsid w:val="00D47CB6"/>
    <w:rsid w:val="00D51AD2"/>
    <w:rsid w:val="00D568DA"/>
    <w:rsid w:val="00D6743B"/>
    <w:rsid w:val="00D67625"/>
    <w:rsid w:val="00D678E6"/>
    <w:rsid w:val="00D94645"/>
    <w:rsid w:val="00D963B9"/>
    <w:rsid w:val="00DA4C9B"/>
    <w:rsid w:val="00DA75F6"/>
    <w:rsid w:val="00DB609F"/>
    <w:rsid w:val="00DC2009"/>
    <w:rsid w:val="00DC233C"/>
    <w:rsid w:val="00DC7632"/>
    <w:rsid w:val="00DD0268"/>
    <w:rsid w:val="00DD664E"/>
    <w:rsid w:val="00DE3A9D"/>
    <w:rsid w:val="00DE4D6C"/>
    <w:rsid w:val="00DF255C"/>
    <w:rsid w:val="00E04343"/>
    <w:rsid w:val="00E11FB2"/>
    <w:rsid w:val="00E1356E"/>
    <w:rsid w:val="00E1466F"/>
    <w:rsid w:val="00E1695A"/>
    <w:rsid w:val="00E20116"/>
    <w:rsid w:val="00E26CB1"/>
    <w:rsid w:val="00E27CDE"/>
    <w:rsid w:val="00E30605"/>
    <w:rsid w:val="00E33024"/>
    <w:rsid w:val="00E45E41"/>
    <w:rsid w:val="00E52E3F"/>
    <w:rsid w:val="00E62BA2"/>
    <w:rsid w:val="00E73EFA"/>
    <w:rsid w:val="00E857AD"/>
    <w:rsid w:val="00E94599"/>
    <w:rsid w:val="00EA22CE"/>
    <w:rsid w:val="00EA2E3F"/>
    <w:rsid w:val="00EB5D4C"/>
    <w:rsid w:val="00EC09FE"/>
    <w:rsid w:val="00EC71AA"/>
    <w:rsid w:val="00EC7A3E"/>
    <w:rsid w:val="00EC7BCA"/>
    <w:rsid w:val="00ED278C"/>
    <w:rsid w:val="00EE2E75"/>
    <w:rsid w:val="00EE404E"/>
    <w:rsid w:val="00EE4D4B"/>
    <w:rsid w:val="00EF4F57"/>
    <w:rsid w:val="00EF6D79"/>
    <w:rsid w:val="00EF7652"/>
    <w:rsid w:val="00F0256F"/>
    <w:rsid w:val="00F02B0F"/>
    <w:rsid w:val="00F12978"/>
    <w:rsid w:val="00F13585"/>
    <w:rsid w:val="00F314F7"/>
    <w:rsid w:val="00F339A3"/>
    <w:rsid w:val="00F34A4A"/>
    <w:rsid w:val="00F518FC"/>
    <w:rsid w:val="00F57FB1"/>
    <w:rsid w:val="00F65D07"/>
    <w:rsid w:val="00F7335D"/>
    <w:rsid w:val="00F744EF"/>
    <w:rsid w:val="00F748A4"/>
    <w:rsid w:val="00F7795E"/>
    <w:rsid w:val="00F90489"/>
    <w:rsid w:val="00F91ACF"/>
    <w:rsid w:val="00FA5D04"/>
    <w:rsid w:val="00FB6796"/>
    <w:rsid w:val="00FB6A5A"/>
    <w:rsid w:val="00FC40A4"/>
    <w:rsid w:val="00FC4A23"/>
    <w:rsid w:val="00FD0735"/>
    <w:rsid w:val="00FE1614"/>
    <w:rsid w:val="00FE7F08"/>
    <w:rsid w:val="00FF0611"/>
    <w:rsid w:val="00FF2202"/>
    <w:rsid w:val="012820AD"/>
    <w:rsid w:val="013E0AEE"/>
    <w:rsid w:val="0142AF80"/>
    <w:rsid w:val="01A2BF80"/>
    <w:rsid w:val="01C251C7"/>
    <w:rsid w:val="023B1E1B"/>
    <w:rsid w:val="02435CC4"/>
    <w:rsid w:val="026AF933"/>
    <w:rsid w:val="02DD2037"/>
    <w:rsid w:val="0315333A"/>
    <w:rsid w:val="033697D6"/>
    <w:rsid w:val="04172754"/>
    <w:rsid w:val="0494AE99"/>
    <w:rsid w:val="04ABE255"/>
    <w:rsid w:val="054954C0"/>
    <w:rsid w:val="0569930E"/>
    <w:rsid w:val="06518ECC"/>
    <w:rsid w:val="0689D29F"/>
    <w:rsid w:val="069275B3"/>
    <w:rsid w:val="069469F3"/>
    <w:rsid w:val="06A814BD"/>
    <w:rsid w:val="06E3CB98"/>
    <w:rsid w:val="06F5CF51"/>
    <w:rsid w:val="07179068"/>
    <w:rsid w:val="07FA7F80"/>
    <w:rsid w:val="08175DE7"/>
    <w:rsid w:val="0831FE6B"/>
    <w:rsid w:val="086C0704"/>
    <w:rsid w:val="088E5010"/>
    <w:rsid w:val="095F2394"/>
    <w:rsid w:val="099ECB96"/>
    <w:rsid w:val="0A0B2ABC"/>
    <w:rsid w:val="0A511A93"/>
    <w:rsid w:val="0AA0B3CA"/>
    <w:rsid w:val="0BBA8906"/>
    <w:rsid w:val="0C125E45"/>
    <w:rsid w:val="0C1C0F4A"/>
    <w:rsid w:val="0C49FE58"/>
    <w:rsid w:val="0C532380"/>
    <w:rsid w:val="0C770CE2"/>
    <w:rsid w:val="0DD005B5"/>
    <w:rsid w:val="0DDC3963"/>
    <w:rsid w:val="0E2CB17E"/>
    <w:rsid w:val="0E37553E"/>
    <w:rsid w:val="0EF82D68"/>
    <w:rsid w:val="100CFD34"/>
    <w:rsid w:val="10388D34"/>
    <w:rsid w:val="10D3F3B5"/>
    <w:rsid w:val="10DF77E1"/>
    <w:rsid w:val="1274FF09"/>
    <w:rsid w:val="129AF5AC"/>
    <w:rsid w:val="12B2B57F"/>
    <w:rsid w:val="12F99016"/>
    <w:rsid w:val="1335646F"/>
    <w:rsid w:val="13CD8CCE"/>
    <w:rsid w:val="13DB53E1"/>
    <w:rsid w:val="145F6A5A"/>
    <w:rsid w:val="14A0C36E"/>
    <w:rsid w:val="15970FD5"/>
    <w:rsid w:val="15A2C169"/>
    <w:rsid w:val="15A3E587"/>
    <w:rsid w:val="173D6FAA"/>
    <w:rsid w:val="177D97FC"/>
    <w:rsid w:val="18ADC0B0"/>
    <w:rsid w:val="18CC1641"/>
    <w:rsid w:val="190EF5BA"/>
    <w:rsid w:val="192FB182"/>
    <w:rsid w:val="19A7FAA1"/>
    <w:rsid w:val="1A0C34C5"/>
    <w:rsid w:val="1B5E968F"/>
    <w:rsid w:val="1B875C09"/>
    <w:rsid w:val="1BC6F415"/>
    <w:rsid w:val="1BC8BEE4"/>
    <w:rsid w:val="1C43DA64"/>
    <w:rsid w:val="1D6AA459"/>
    <w:rsid w:val="1D996713"/>
    <w:rsid w:val="1DE6FBA5"/>
    <w:rsid w:val="1E44A0B2"/>
    <w:rsid w:val="1E52A072"/>
    <w:rsid w:val="1F089E2F"/>
    <w:rsid w:val="1F0D022E"/>
    <w:rsid w:val="201759C7"/>
    <w:rsid w:val="20284205"/>
    <w:rsid w:val="204B5C64"/>
    <w:rsid w:val="2184D161"/>
    <w:rsid w:val="21E6EA93"/>
    <w:rsid w:val="223F728B"/>
    <w:rsid w:val="224C7932"/>
    <w:rsid w:val="227D0AE9"/>
    <w:rsid w:val="228BB679"/>
    <w:rsid w:val="22EA3490"/>
    <w:rsid w:val="23A2FEBF"/>
    <w:rsid w:val="2465C040"/>
    <w:rsid w:val="247C02E2"/>
    <w:rsid w:val="24A6D592"/>
    <w:rsid w:val="24AF77E5"/>
    <w:rsid w:val="24DF6CFF"/>
    <w:rsid w:val="25A04A62"/>
    <w:rsid w:val="26B52FE6"/>
    <w:rsid w:val="26BD5D55"/>
    <w:rsid w:val="27B4F8F7"/>
    <w:rsid w:val="29991C0A"/>
    <w:rsid w:val="29A60AE1"/>
    <w:rsid w:val="2AA047C3"/>
    <w:rsid w:val="2B618D0B"/>
    <w:rsid w:val="2C0056A3"/>
    <w:rsid w:val="2C2AEF48"/>
    <w:rsid w:val="2CA53904"/>
    <w:rsid w:val="2D9803B8"/>
    <w:rsid w:val="2E2B8D29"/>
    <w:rsid w:val="2E2D1824"/>
    <w:rsid w:val="2F0271B7"/>
    <w:rsid w:val="2F46850B"/>
    <w:rsid w:val="2F4CFEC4"/>
    <w:rsid w:val="2F59AFA9"/>
    <w:rsid w:val="2F5A4D11"/>
    <w:rsid w:val="2F5CFD88"/>
    <w:rsid w:val="2F8C4CAA"/>
    <w:rsid w:val="2FB7DF1D"/>
    <w:rsid w:val="2FC9E8AB"/>
    <w:rsid w:val="3039F795"/>
    <w:rsid w:val="3088A858"/>
    <w:rsid w:val="314E8C89"/>
    <w:rsid w:val="31AB950A"/>
    <w:rsid w:val="31B97BF5"/>
    <w:rsid w:val="32419E14"/>
    <w:rsid w:val="32862525"/>
    <w:rsid w:val="32DE7BCB"/>
    <w:rsid w:val="33CD592A"/>
    <w:rsid w:val="33E3F3F1"/>
    <w:rsid w:val="33F3A065"/>
    <w:rsid w:val="350FF132"/>
    <w:rsid w:val="3569AB1F"/>
    <w:rsid w:val="356F3281"/>
    <w:rsid w:val="3624EAC5"/>
    <w:rsid w:val="36273113"/>
    <w:rsid w:val="365F4BF3"/>
    <w:rsid w:val="3706363D"/>
    <w:rsid w:val="375E1558"/>
    <w:rsid w:val="37AB9465"/>
    <w:rsid w:val="380F1BA7"/>
    <w:rsid w:val="38154F11"/>
    <w:rsid w:val="388958E0"/>
    <w:rsid w:val="38D10C61"/>
    <w:rsid w:val="3903C82C"/>
    <w:rsid w:val="39C38E0F"/>
    <w:rsid w:val="3A407AA3"/>
    <w:rsid w:val="3A6DA3BE"/>
    <w:rsid w:val="3A93DF76"/>
    <w:rsid w:val="3BE7FBE2"/>
    <w:rsid w:val="3C847CEA"/>
    <w:rsid w:val="3CFA18D0"/>
    <w:rsid w:val="3CFDC535"/>
    <w:rsid w:val="3D3F3E51"/>
    <w:rsid w:val="3DD24BF6"/>
    <w:rsid w:val="3E9D9C98"/>
    <w:rsid w:val="3F3CDDB9"/>
    <w:rsid w:val="3FC9C6B8"/>
    <w:rsid w:val="3FCC9B36"/>
    <w:rsid w:val="40F09334"/>
    <w:rsid w:val="40F42DAD"/>
    <w:rsid w:val="4176B57D"/>
    <w:rsid w:val="42A6B679"/>
    <w:rsid w:val="42D0D2FF"/>
    <w:rsid w:val="430B9A21"/>
    <w:rsid w:val="438BACDB"/>
    <w:rsid w:val="43F58BCD"/>
    <w:rsid w:val="44386173"/>
    <w:rsid w:val="444CE830"/>
    <w:rsid w:val="44FFE470"/>
    <w:rsid w:val="451E73FC"/>
    <w:rsid w:val="45A2C4AB"/>
    <w:rsid w:val="45D1DDB6"/>
    <w:rsid w:val="45FED9D9"/>
    <w:rsid w:val="462F6BAA"/>
    <w:rsid w:val="4639A906"/>
    <w:rsid w:val="463C4DD5"/>
    <w:rsid w:val="46BCCF48"/>
    <w:rsid w:val="4701B217"/>
    <w:rsid w:val="475B4922"/>
    <w:rsid w:val="478B3176"/>
    <w:rsid w:val="492225B9"/>
    <w:rsid w:val="496F33C8"/>
    <w:rsid w:val="498C2A65"/>
    <w:rsid w:val="4A4A8250"/>
    <w:rsid w:val="4A53400A"/>
    <w:rsid w:val="4A7940F7"/>
    <w:rsid w:val="4A8B51FA"/>
    <w:rsid w:val="4A9E09B7"/>
    <w:rsid w:val="4AB5D087"/>
    <w:rsid w:val="4B141650"/>
    <w:rsid w:val="4B22FADB"/>
    <w:rsid w:val="4B440E79"/>
    <w:rsid w:val="4B44B977"/>
    <w:rsid w:val="4B9D1A77"/>
    <w:rsid w:val="4C166673"/>
    <w:rsid w:val="4C3AD1C4"/>
    <w:rsid w:val="4C54ECCF"/>
    <w:rsid w:val="4C61AA51"/>
    <w:rsid w:val="4C9E6D66"/>
    <w:rsid w:val="4D5A689D"/>
    <w:rsid w:val="4DE10A22"/>
    <w:rsid w:val="4E1C7459"/>
    <w:rsid w:val="4E35A7A2"/>
    <w:rsid w:val="4EB7E7FC"/>
    <w:rsid w:val="4F2CCD71"/>
    <w:rsid w:val="4F6DE88C"/>
    <w:rsid w:val="4F958382"/>
    <w:rsid w:val="4FA90107"/>
    <w:rsid w:val="4FAC7B4D"/>
    <w:rsid w:val="510CFDA3"/>
    <w:rsid w:val="5129AB65"/>
    <w:rsid w:val="51827C76"/>
    <w:rsid w:val="51A4D5EC"/>
    <w:rsid w:val="5315B61E"/>
    <w:rsid w:val="53419AA4"/>
    <w:rsid w:val="53F4C360"/>
    <w:rsid w:val="5423BF8A"/>
    <w:rsid w:val="545A5DB6"/>
    <w:rsid w:val="546E580B"/>
    <w:rsid w:val="5508FDBE"/>
    <w:rsid w:val="55BF9865"/>
    <w:rsid w:val="55E267E5"/>
    <w:rsid w:val="56D7A89E"/>
    <w:rsid w:val="57134C2B"/>
    <w:rsid w:val="579505EC"/>
    <w:rsid w:val="579622DB"/>
    <w:rsid w:val="57C01B3B"/>
    <w:rsid w:val="57DF12DC"/>
    <w:rsid w:val="58078F3C"/>
    <w:rsid w:val="58A43875"/>
    <w:rsid w:val="58F96B6B"/>
    <w:rsid w:val="59045D0C"/>
    <w:rsid w:val="5938FC98"/>
    <w:rsid w:val="5A065D31"/>
    <w:rsid w:val="5A823C87"/>
    <w:rsid w:val="5A9B0E81"/>
    <w:rsid w:val="5B1C7178"/>
    <w:rsid w:val="5B3C1DE9"/>
    <w:rsid w:val="5BDE98FC"/>
    <w:rsid w:val="5C069945"/>
    <w:rsid w:val="5C11AE58"/>
    <w:rsid w:val="5C8301D9"/>
    <w:rsid w:val="5CF8DB22"/>
    <w:rsid w:val="5D6B8709"/>
    <w:rsid w:val="5D6C324D"/>
    <w:rsid w:val="5DC8C0F9"/>
    <w:rsid w:val="5DEF0A84"/>
    <w:rsid w:val="5E150A71"/>
    <w:rsid w:val="5E7B5DAF"/>
    <w:rsid w:val="5E8CD28E"/>
    <w:rsid w:val="5EB6CCB9"/>
    <w:rsid w:val="5ED757D8"/>
    <w:rsid w:val="5F3A8107"/>
    <w:rsid w:val="5F457499"/>
    <w:rsid w:val="5F4CC8FB"/>
    <w:rsid w:val="5F620E85"/>
    <w:rsid w:val="5FA09FAD"/>
    <w:rsid w:val="607A15E3"/>
    <w:rsid w:val="609CA677"/>
    <w:rsid w:val="60CD61F3"/>
    <w:rsid w:val="60FE0130"/>
    <w:rsid w:val="615A1CB3"/>
    <w:rsid w:val="6215082F"/>
    <w:rsid w:val="62B1CA55"/>
    <w:rsid w:val="63092BBB"/>
    <w:rsid w:val="631ECDB9"/>
    <w:rsid w:val="6469C233"/>
    <w:rsid w:val="64833863"/>
    <w:rsid w:val="6494222D"/>
    <w:rsid w:val="64A40F4D"/>
    <w:rsid w:val="64B708C8"/>
    <w:rsid w:val="64BFEF80"/>
    <w:rsid w:val="64C0D52E"/>
    <w:rsid w:val="64C2C46A"/>
    <w:rsid w:val="653F1497"/>
    <w:rsid w:val="66BE0AB5"/>
    <w:rsid w:val="67760990"/>
    <w:rsid w:val="67B50C5E"/>
    <w:rsid w:val="6914C778"/>
    <w:rsid w:val="6983EE83"/>
    <w:rsid w:val="69A54431"/>
    <w:rsid w:val="69D3E40D"/>
    <w:rsid w:val="69EA02FD"/>
    <w:rsid w:val="6A134B8D"/>
    <w:rsid w:val="6A7B4006"/>
    <w:rsid w:val="6A7CA0A4"/>
    <w:rsid w:val="6AA796BE"/>
    <w:rsid w:val="6B00DC15"/>
    <w:rsid w:val="6B310C79"/>
    <w:rsid w:val="6B4BD169"/>
    <w:rsid w:val="6C865BA7"/>
    <w:rsid w:val="6D3AF119"/>
    <w:rsid w:val="6D50B301"/>
    <w:rsid w:val="6DFD1F98"/>
    <w:rsid w:val="6E56D7F7"/>
    <w:rsid w:val="6E6F47DE"/>
    <w:rsid w:val="6E81AAE8"/>
    <w:rsid w:val="6E9ACB39"/>
    <w:rsid w:val="6EE94028"/>
    <w:rsid w:val="6F14C047"/>
    <w:rsid w:val="6F3949EA"/>
    <w:rsid w:val="6FAA7A97"/>
    <w:rsid w:val="6FB09442"/>
    <w:rsid w:val="6FE9F925"/>
    <w:rsid w:val="701661CD"/>
    <w:rsid w:val="701B8B6C"/>
    <w:rsid w:val="70AA4800"/>
    <w:rsid w:val="70C4FB26"/>
    <w:rsid w:val="71271993"/>
    <w:rsid w:val="7155277B"/>
    <w:rsid w:val="7160F645"/>
    <w:rsid w:val="71B708ED"/>
    <w:rsid w:val="72087FB9"/>
    <w:rsid w:val="721C7F56"/>
    <w:rsid w:val="727DA943"/>
    <w:rsid w:val="72C2DDC0"/>
    <w:rsid w:val="73377FCD"/>
    <w:rsid w:val="73A48567"/>
    <w:rsid w:val="73B77D72"/>
    <w:rsid w:val="74398349"/>
    <w:rsid w:val="744768D2"/>
    <w:rsid w:val="7447858E"/>
    <w:rsid w:val="755409C1"/>
    <w:rsid w:val="756C678F"/>
    <w:rsid w:val="75920BE4"/>
    <w:rsid w:val="75B91452"/>
    <w:rsid w:val="7655D9AA"/>
    <w:rsid w:val="76A5D6B0"/>
    <w:rsid w:val="76EF9964"/>
    <w:rsid w:val="777C9AD8"/>
    <w:rsid w:val="783863B1"/>
    <w:rsid w:val="78CB9B42"/>
    <w:rsid w:val="78CC6DDC"/>
    <w:rsid w:val="792E1862"/>
    <w:rsid w:val="79643B55"/>
    <w:rsid w:val="797452E5"/>
    <w:rsid w:val="79F92C8C"/>
    <w:rsid w:val="7A0A3DDB"/>
    <w:rsid w:val="7ACE7EC9"/>
    <w:rsid w:val="7B5A3EF4"/>
    <w:rsid w:val="7BDAE642"/>
    <w:rsid w:val="7BFBC8E7"/>
    <w:rsid w:val="7C17B080"/>
    <w:rsid w:val="7C4C957D"/>
    <w:rsid w:val="7C58A401"/>
    <w:rsid w:val="7CCE5A3A"/>
    <w:rsid w:val="7DE20696"/>
    <w:rsid w:val="7DE21323"/>
    <w:rsid w:val="7E3AFAC2"/>
    <w:rsid w:val="7FD85A63"/>
    <w:rsid w:val="7FE47AC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4D375A6"/>
  <w15:chartTrackingRefBased/>
  <w15:docId w15:val="{67C0BCF0-7B8D-4C03-A74D-E4695F54B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23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23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23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23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23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23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23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23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23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3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23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23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23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23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23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23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23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23E1"/>
    <w:rPr>
      <w:rFonts w:eastAsiaTheme="majorEastAsia" w:cstheme="majorBidi"/>
      <w:color w:val="272727" w:themeColor="text1" w:themeTint="D8"/>
    </w:rPr>
  </w:style>
  <w:style w:type="paragraph" w:styleId="Title">
    <w:name w:val="Title"/>
    <w:basedOn w:val="Normal"/>
    <w:next w:val="Normal"/>
    <w:link w:val="TitleChar"/>
    <w:uiPriority w:val="10"/>
    <w:qFormat/>
    <w:rsid w:val="002023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23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23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23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23E1"/>
    <w:pPr>
      <w:spacing w:before="160"/>
      <w:jc w:val="center"/>
    </w:pPr>
    <w:rPr>
      <w:i/>
      <w:iCs/>
      <w:color w:val="404040" w:themeColor="text1" w:themeTint="BF"/>
    </w:rPr>
  </w:style>
  <w:style w:type="character" w:customStyle="1" w:styleId="QuoteChar">
    <w:name w:val="Quote Char"/>
    <w:basedOn w:val="DefaultParagraphFont"/>
    <w:link w:val="Quote"/>
    <w:uiPriority w:val="29"/>
    <w:rsid w:val="002023E1"/>
    <w:rPr>
      <w:i/>
      <w:iCs/>
      <w:color w:val="404040" w:themeColor="text1" w:themeTint="BF"/>
    </w:rPr>
  </w:style>
  <w:style w:type="paragraph" w:styleId="ListParagraph">
    <w:name w:val="List Paragraph"/>
    <w:basedOn w:val="Normal"/>
    <w:uiPriority w:val="34"/>
    <w:qFormat/>
    <w:rsid w:val="002023E1"/>
    <w:pPr>
      <w:ind w:left="720"/>
      <w:contextualSpacing/>
    </w:pPr>
  </w:style>
  <w:style w:type="character" w:styleId="IntenseEmphasis">
    <w:name w:val="Intense Emphasis"/>
    <w:basedOn w:val="DefaultParagraphFont"/>
    <w:uiPriority w:val="21"/>
    <w:qFormat/>
    <w:rsid w:val="002023E1"/>
    <w:rPr>
      <w:i/>
      <w:iCs/>
      <w:color w:val="0F4761" w:themeColor="accent1" w:themeShade="BF"/>
    </w:rPr>
  </w:style>
  <w:style w:type="paragraph" w:styleId="IntenseQuote">
    <w:name w:val="Intense Quote"/>
    <w:basedOn w:val="Normal"/>
    <w:next w:val="Normal"/>
    <w:link w:val="IntenseQuoteChar"/>
    <w:uiPriority w:val="30"/>
    <w:qFormat/>
    <w:rsid w:val="002023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23E1"/>
    <w:rPr>
      <w:i/>
      <w:iCs/>
      <w:color w:val="0F4761" w:themeColor="accent1" w:themeShade="BF"/>
    </w:rPr>
  </w:style>
  <w:style w:type="character" w:styleId="IntenseReference">
    <w:name w:val="Intense Reference"/>
    <w:basedOn w:val="DefaultParagraphFont"/>
    <w:uiPriority w:val="32"/>
    <w:qFormat/>
    <w:rsid w:val="002023E1"/>
    <w:rPr>
      <w:b/>
      <w:bCs/>
      <w:smallCaps/>
      <w:color w:val="0F4761" w:themeColor="accent1" w:themeShade="BF"/>
      <w:spacing w:val="5"/>
    </w:rPr>
  </w:style>
  <w:style w:type="paragraph" w:customStyle="1" w:styleId="p1">
    <w:name w:val="p1"/>
    <w:basedOn w:val="Normal"/>
    <w:rsid w:val="004350F1"/>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4350F1"/>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4350F1"/>
  </w:style>
  <w:style w:type="character" w:styleId="Hyperlink">
    <w:name w:val="Hyperlink"/>
    <w:basedOn w:val="DefaultParagraphFont"/>
    <w:uiPriority w:val="99"/>
    <w:unhideWhenUsed/>
    <w:rsid w:val="0024585E"/>
    <w:rPr>
      <w:color w:val="467886"/>
      <w:u w:val="single"/>
    </w:rPr>
  </w:style>
  <w:style w:type="paragraph" w:customStyle="1" w:styleId="p2">
    <w:name w:val="p2"/>
    <w:basedOn w:val="Normal"/>
    <w:rsid w:val="00F314F7"/>
    <w:pPr>
      <w:spacing w:after="0" w:line="240" w:lineRule="auto"/>
    </w:pPr>
    <w:rPr>
      <w:rFonts w:ascii=".AppleSystemUIFont" w:hAnsi=".AppleSystemUIFont" w:cs="Times New Roman"/>
      <w:kern w:val="0"/>
      <w:sz w:val="26"/>
      <w:szCs w:val="26"/>
      <w14:ligatures w14:val="non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semiHidden/>
    <w:unhideWhenUsed/>
    <w:rsid w:val="00336D5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36D59"/>
  </w:style>
  <w:style w:type="paragraph" w:styleId="Footer">
    <w:name w:val="footer"/>
    <w:basedOn w:val="Normal"/>
    <w:link w:val="FooterChar"/>
    <w:uiPriority w:val="99"/>
    <w:unhideWhenUsed/>
    <w:rsid w:val="001D16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672"/>
  </w:style>
  <w:style w:type="table" w:styleId="TableGrid">
    <w:name w:val="Table Grid"/>
    <w:basedOn w:val="TableNormal"/>
    <w:uiPriority w:val="59"/>
    <w:rsid w:val="001D167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ied.org/effective-evaluation-for-sustainable-development-goals" TargetMode="External"/><Relationship Id="rId13" Type="http://schemas.openxmlformats.org/officeDocument/2006/relationships/hyperlink" Target="https://www.gov.uk/government/publications/nhs-health-check-programme-review/annex-b-a-summary-of-analyses-and-evidence-on-the-current-nhs-health-check-programme?utm_source=chatgpt.com" TargetMode="External"/><Relationship Id="rId18" Type="http://schemas.openxmlformats.org/officeDocument/2006/relationships/hyperlink" Target="https://sdgs.un.org/goals"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birmingham.gov.uk/info/20054/local_plan_documents/2048/east_birmingham_inclusive_growth_strategy" TargetMode="External"/><Relationship Id="rId12" Type="http://schemas.openxmlformats.org/officeDocument/2006/relationships/hyperlink" Target="https://sdgs.un.org/sites/default/files/2024-04/240412_2024HLPF_EGM_Concept_Note_%20SDG%201%2015%20April_0.pdf." TargetMode="External"/><Relationship Id="rId17" Type="http://schemas.openxmlformats.org/officeDocument/2006/relationships/hyperlink" Target="https://www.gov.uk/government/topical-events/uk-voluntary-national-review-of-progress-towards-the-sustainable-development-goals" TargetMode="External"/><Relationship Id="rId2" Type="http://schemas.openxmlformats.org/officeDocument/2006/relationships/settings" Target="settings.xml"/><Relationship Id="rId16" Type="http://schemas.openxmlformats.org/officeDocument/2006/relationships/hyperlink" Target="https://Www.gov.uk" TargetMode="External"/><Relationship Id="rId20" Type="http://schemas.openxmlformats.org/officeDocument/2006/relationships/hyperlink" Target="https://www.who.int/news-room/fact-sheets/detail/universal-health-coverage-(uhc" TargetMode="External"/><Relationship Id="rId1" Type="http://schemas.openxmlformats.org/officeDocument/2006/relationships/styles" Target="styles.xml"/><Relationship Id="rId6" Type="http://schemas.openxmlformats.org/officeDocument/2006/relationships/hyperlink" Target="https://www.birmingham.gov.uk" TargetMode="External"/><Relationship Id="rId11" Type="http://schemas.openxmlformats.org/officeDocument/2006/relationships/hyperlink" Target="https://www.gov.uk/government/publications/implementing-the-sustainable-development-goals/implementing-the-sustainable-development-goals--2"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ippr-org.files.svdcdn.com/production/Downloads/sustainable-healthcare-may-2022.pdf" TargetMode="External"/><Relationship Id="rId23" Type="http://schemas.openxmlformats.org/officeDocument/2006/relationships/fontTable" Target="fontTable.xml"/><Relationship Id="rId10" Type="http://schemas.openxmlformats.org/officeDocument/2006/relationships/hyperlink" Target="https://www.gov.uk/government/statistics/universal-credit-statistics-29-april-2013-to-9-october-2025/universal-credit-statistics-29-april-2013-to-9-october-2025" TargetMode="External"/><Relationship Id="rId19" Type="http://schemas.openxmlformats.org/officeDocument/2006/relationships/hyperlink" Target="https://www.who.int/europe/about-us/our-work/sustainable-development-goals" TargetMode="External"/><Relationship Id="rId4" Type="http://schemas.openxmlformats.org/officeDocument/2006/relationships/footnotes" Target="footnotes.xml"/><Relationship Id="rId9" Type="http://schemas.openxmlformats.org/officeDocument/2006/relationships/hyperlink" Target="https://www.iied.org/effective-evaluation-for-sustainable-development-goals" TargetMode="External"/><Relationship Id="rId14" Type="http://schemas.openxmlformats.org/officeDocument/2006/relationships/hyperlink" Target="https://globalgoals.org/goals/3-good-health-and-well-being/"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3931</Words>
  <Characters>22411</Characters>
  <Application>Microsoft Office Word</Application>
  <DocSecurity>4</DocSecurity>
  <Lines>186</Lines>
  <Paragraphs>52</Paragraphs>
  <ScaleCrop>false</ScaleCrop>
  <Company/>
  <LinksUpToDate>false</LinksUpToDate>
  <CharactersWithSpaces>26290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Carina Gomes (2222912)</dc:creator>
  <cp:keywords/>
  <dc:description/>
  <cp:lastModifiedBy>Carina Gomes (2222912)</cp:lastModifiedBy>
  <cp:revision>296</cp:revision>
  <dcterms:created xsi:type="dcterms:W3CDTF">2025-11-11T03:18:00Z</dcterms:created>
  <dcterms:modified xsi:type="dcterms:W3CDTF">2025-11-16T01:24:00Z</dcterms:modified>
</cp:coreProperties>
</file>