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F3857" w14:textId="6A6C5FE1" w:rsidR="004B730F" w:rsidRDefault="004B730F" w:rsidP="005C261C">
      <w:pPr>
        <w:rPr>
          <w:lang w:val="en-GB"/>
        </w:rPr>
      </w:pPr>
    </w:p>
    <w:p w14:paraId="5AA73864" w14:textId="5C2B459E" w:rsidR="00921BE1" w:rsidRDefault="00921BE1" w:rsidP="005C261C">
      <w:pPr>
        <w:rPr>
          <w:lang w:val="en-GB"/>
        </w:rPr>
      </w:pPr>
    </w:p>
    <w:p w14:paraId="51310967" w14:textId="77777777" w:rsidR="00921BE1" w:rsidRPr="00921BE1" w:rsidRDefault="00921BE1" w:rsidP="00921BE1">
      <w:pPr>
        <w:rPr>
          <w:rFonts w:asciiTheme="majorBidi" w:hAnsiTheme="majorBidi" w:cstheme="majorBidi"/>
          <w:i/>
          <w:iCs/>
          <w:sz w:val="24"/>
          <w:szCs w:val="24"/>
          <w:lang w:val="en-GB"/>
        </w:rPr>
      </w:pPr>
      <w:r w:rsidRPr="00921BE1">
        <w:rPr>
          <w:rFonts w:asciiTheme="majorBidi" w:hAnsiTheme="majorBidi" w:cstheme="majorBidi"/>
          <w:i/>
          <w:iCs/>
          <w:sz w:val="24"/>
          <w:szCs w:val="24"/>
          <w:lang w:val="en-GB"/>
        </w:rPr>
        <w:t>The law governing homicide in England and Wales is a rickety structure set upon a shaky foundation. Some of its rules have been unaltered since the seventh century, even though it has been long acknowledged that they are in dire need of reform (law commission 2005)</w:t>
      </w:r>
    </w:p>
    <w:p w14:paraId="031AB0D1" w14:textId="614299DF" w:rsidR="00921BE1" w:rsidRPr="00921BE1" w:rsidRDefault="00921BE1" w:rsidP="00921BE1">
      <w:pPr>
        <w:rPr>
          <w:rFonts w:asciiTheme="majorBidi" w:hAnsiTheme="majorBidi" w:cstheme="majorBidi"/>
          <w:sz w:val="24"/>
          <w:szCs w:val="24"/>
          <w:lang w:val="en-GB"/>
        </w:rPr>
      </w:pPr>
      <w:r w:rsidRPr="00921BE1">
        <w:rPr>
          <w:rFonts w:asciiTheme="majorBidi" w:hAnsiTheme="majorBidi" w:cstheme="majorBidi"/>
          <w:i/>
          <w:iCs/>
          <w:sz w:val="24"/>
          <w:szCs w:val="24"/>
          <w:lang w:val="en-GB"/>
        </w:rPr>
        <w:t>Consider the statement above and decide whether the law governing homicide in England and Wales is in need to reform</w:t>
      </w:r>
      <w:r w:rsidRPr="00921BE1">
        <w:rPr>
          <w:rFonts w:asciiTheme="majorBidi" w:hAnsiTheme="majorBidi" w:cstheme="majorBidi"/>
          <w:sz w:val="24"/>
          <w:szCs w:val="24"/>
          <w:lang w:val="en-GB"/>
        </w:rPr>
        <w:t>.</w:t>
      </w:r>
    </w:p>
    <w:p w14:paraId="78D5C9E8" w14:textId="3CAFB64D" w:rsidR="00921BE1" w:rsidRDefault="00921BE1" w:rsidP="005C261C">
      <w:pPr>
        <w:rPr>
          <w:lang w:val="en-GB"/>
        </w:rPr>
      </w:pPr>
    </w:p>
    <w:p w14:paraId="2960EF9B" w14:textId="63A3C7C2" w:rsidR="004B730F" w:rsidRDefault="004B730F" w:rsidP="005C261C">
      <w:pPr>
        <w:rPr>
          <w:lang w:val="en-GB"/>
        </w:rPr>
      </w:pPr>
    </w:p>
    <w:p w14:paraId="2D813356" w14:textId="0AD10E4A" w:rsidR="004B730F" w:rsidRPr="00921BE1" w:rsidRDefault="004B730F" w:rsidP="005C261C">
      <w:pPr>
        <w:rPr>
          <w:rFonts w:asciiTheme="majorBidi" w:hAnsiTheme="majorBidi" w:cstheme="majorBidi"/>
          <w:b/>
          <w:bCs/>
          <w:sz w:val="36"/>
          <w:szCs w:val="36"/>
          <w:u w:val="single"/>
          <w:lang w:val="en-GB"/>
        </w:rPr>
      </w:pPr>
      <w:r w:rsidRPr="00921BE1">
        <w:rPr>
          <w:rFonts w:asciiTheme="majorBidi" w:hAnsiTheme="majorBidi" w:cstheme="majorBidi"/>
          <w:b/>
          <w:bCs/>
          <w:sz w:val="36"/>
          <w:szCs w:val="36"/>
          <w:u w:val="single"/>
          <w:lang w:val="en-GB"/>
        </w:rPr>
        <w:t>Statement</w:t>
      </w:r>
      <w:r w:rsidR="00921BE1">
        <w:rPr>
          <w:rFonts w:asciiTheme="majorBidi" w:hAnsiTheme="majorBidi" w:cstheme="majorBidi"/>
          <w:b/>
          <w:bCs/>
          <w:sz w:val="36"/>
          <w:szCs w:val="36"/>
          <w:u w:val="single"/>
          <w:lang w:val="en-GB"/>
        </w:rPr>
        <w:t>:</w:t>
      </w:r>
    </w:p>
    <w:p w14:paraId="35FA7572" w14:textId="31E2967F" w:rsidR="00901329" w:rsidRPr="00AF68DE" w:rsidRDefault="00901329" w:rsidP="005C261C">
      <w:pPr>
        <w:rPr>
          <w:rFonts w:asciiTheme="majorBidi" w:hAnsiTheme="majorBidi" w:cstheme="majorBidi"/>
          <w:sz w:val="32"/>
          <w:szCs w:val="32"/>
          <w:lang w:val="en-GB"/>
        </w:rPr>
      </w:pPr>
      <w:r w:rsidRPr="00C1439B">
        <w:rPr>
          <w:rFonts w:asciiTheme="majorBidi" w:hAnsiTheme="majorBidi" w:cstheme="majorBidi"/>
          <w:sz w:val="28"/>
          <w:szCs w:val="28"/>
          <w:lang w:val="en-GB"/>
        </w:rPr>
        <w:t xml:space="preserve">The comment that was made expresses worries about the status of the homicide law as it exists in England and Wales at the moment and implies that it needs to be updated. This essay will examine the homicide laws currently in effect in England and Wales, significant legal concerns, recommendations made by the Law Commission and other organizations, the government's response to these recommendations, and arguments in </w:t>
      </w:r>
      <w:proofErr w:type="spellStart"/>
      <w:r w:rsidR="00921BE1">
        <w:rPr>
          <w:rFonts w:asciiTheme="majorBidi" w:hAnsiTheme="majorBidi" w:cstheme="majorBidi"/>
          <w:sz w:val="28"/>
          <w:szCs w:val="28"/>
          <w:lang w:val="en-GB"/>
        </w:rPr>
        <w:t>favor</w:t>
      </w:r>
      <w:proofErr w:type="spellEnd"/>
      <w:r w:rsidRPr="00C1439B">
        <w:rPr>
          <w:rFonts w:asciiTheme="majorBidi" w:hAnsiTheme="majorBidi" w:cstheme="majorBidi"/>
          <w:sz w:val="28"/>
          <w:szCs w:val="28"/>
          <w:lang w:val="en-GB"/>
        </w:rPr>
        <w:t xml:space="preserve"> of and against reform.</w:t>
      </w:r>
    </w:p>
    <w:p w14:paraId="43CC56EC" w14:textId="112F61B8" w:rsidR="00901329" w:rsidRPr="00AF68DE" w:rsidRDefault="00901329" w:rsidP="005C261C">
      <w:pPr>
        <w:rPr>
          <w:rFonts w:asciiTheme="majorBidi" w:hAnsiTheme="majorBidi" w:cstheme="majorBidi"/>
          <w:sz w:val="32"/>
          <w:szCs w:val="32"/>
          <w:lang w:val="en-GB"/>
        </w:rPr>
      </w:pPr>
    </w:p>
    <w:p w14:paraId="339DD6E9" w14:textId="3765B6B9" w:rsidR="00081824" w:rsidRPr="00921BE1" w:rsidRDefault="00081824" w:rsidP="00C1439B">
      <w:pPr>
        <w:rPr>
          <w:rFonts w:asciiTheme="majorBidi" w:hAnsiTheme="majorBidi" w:cstheme="majorBidi"/>
          <w:sz w:val="32"/>
          <w:szCs w:val="32"/>
          <w:u w:val="single"/>
          <w:lang w:val="en-GB"/>
        </w:rPr>
      </w:pPr>
      <w:r w:rsidRPr="00921BE1">
        <w:rPr>
          <w:rFonts w:asciiTheme="majorBidi" w:hAnsiTheme="majorBidi" w:cstheme="majorBidi"/>
          <w:sz w:val="32"/>
          <w:szCs w:val="32"/>
          <w:u w:val="single"/>
        </w:rPr>
        <w:t>1. Current Law Governing Homicides in England and Wales:</w:t>
      </w:r>
    </w:p>
    <w:p w14:paraId="6BB27FE3" w14:textId="75CD05E0" w:rsidR="00901329" w:rsidRPr="00C1439B" w:rsidRDefault="00081824" w:rsidP="00C03FCD">
      <w:pPr>
        <w:ind w:left="709"/>
        <w:rPr>
          <w:rFonts w:asciiTheme="majorBidi" w:hAnsiTheme="majorBidi" w:cstheme="majorBidi"/>
          <w:sz w:val="28"/>
          <w:szCs w:val="28"/>
          <w:lang w:val="en-GB"/>
        </w:rPr>
      </w:pPr>
      <w:r w:rsidRPr="00C1439B">
        <w:rPr>
          <w:rFonts w:asciiTheme="majorBidi" w:hAnsiTheme="majorBidi" w:cstheme="majorBidi"/>
          <w:sz w:val="28"/>
          <w:szCs w:val="28"/>
          <w:lang w:val="en-GB"/>
        </w:rPr>
        <w:t>Homicide is the act of killing another person in England and Wales. It includes both manslaughter and murder. Murder is defined as the intentional, unlawful killing of a person with the purpose to result in death or serious injury. On the other hand, manslaughter is the unlawful killing of a person without intending to do so or GBH. Depending on the presence or absence of purpose and the severity of the mistake, manslaughter can be further subdivided into voluntary and involuntary manslaughter</w:t>
      </w:r>
      <w:r w:rsidR="00921BE1">
        <w:rPr>
          <w:rFonts w:asciiTheme="majorBidi" w:hAnsiTheme="majorBidi" w:cstheme="majorBidi"/>
          <w:sz w:val="28"/>
          <w:szCs w:val="28"/>
          <w:lang w:val="en-GB"/>
        </w:rPr>
        <w:t xml:space="preserve"> </w:t>
      </w:r>
      <w:sdt>
        <w:sdtPr>
          <w:rPr>
            <w:rFonts w:asciiTheme="majorBidi" w:hAnsiTheme="majorBidi" w:cstheme="majorBidi"/>
            <w:sz w:val="28"/>
            <w:szCs w:val="28"/>
            <w:lang w:val="en-GB"/>
          </w:rPr>
          <w:id w:val="205761752"/>
          <w:citation/>
        </w:sdtPr>
        <w:sdtContent>
          <w:r w:rsidR="00921BE1">
            <w:rPr>
              <w:rFonts w:asciiTheme="majorBidi" w:hAnsiTheme="majorBidi" w:cstheme="majorBidi"/>
              <w:sz w:val="28"/>
              <w:szCs w:val="28"/>
              <w:lang w:val="en-GB"/>
            </w:rPr>
            <w:fldChar w:fldCharType="begin"/>
          </w:r>
          <w:r w:rsidR="00921BE1">
            <w:rPr>
              <w:rFonts w:asciiTheme="majorBidi" w:hAnsiTheme="majorBidi" w:cstheme="majorBidi"/>
              <w:sz w:val="28"/>
              <w:szCs w:val="28"/>
              <w:lang w:val="en-GB"/>
            </w:rPr>
            <w:instrText xml:space="preserve"> CITATION UKL \l 2057 </w:instrText>
          </w:r>
          <w:r w:rsidR="00921BE1">
            <w:rPr>
              <w:rFonts w:asciiTheme="majorBidi" w:hAnsiTheme="majorBidi" w:cstheme="majorBidi"/>
              <w:sz w:val="28"/>
              <w:szCs w:val="28"/>
              <w:lang w:val="en-GB"/>
            </w:rPr>
            <w:fldChar w:fldCharType="separate"/>
          </w:r>
          <w:r w:rsidR="00921BE1" w:rsidRPr="00921BE1">
            <w:rPr>
              <w:rFonts w:asciiTheme="majorBidi" w:hAnsiTheme="majorBidi" w:cstheme="majorBidi"/>
              <w:noProof/>
              <w:sz w:val="28"/>
              <w:szCs w:val="28"/>
              <w:lang w:val="en-GB"/>
            </w:rPr>
            <w:t>(commission, n.d.)</w:t>
          </w:r>
          <w:r w:rsidR="00921BE1">
            <w:rPr>
              <w:rFonts w:asciiTheme="majorBidi" w:hAnsiTheme="majorBidi" w:cstheme="majorBidi"/>
              <w:sz w:val="28"/>
              <w:szCs w:val="28"/>
              <w:lang w:val="en-GB"/>
            </w:rPr>
            <w:fldChar w:fldCharType="end"/>
          </w:r>
        </w:sdtContent>
      </w:sdt>
      <w:r w:rsidR="00921BE1">
        <w:rPr>
          <w:rFonts w:asciiTheme="majorBidi" w:hAnsiTheme="majorBidi" w:cstheme="majorBidi"/>
          <w:sz w:val="28"/>
          <w:szCs w:val="28"/>
          <w:lang w:val="en-GB"/>
        </w:rPr>
        <w:t>.</w:t>
      </w:r>
    </w:p>
    <w:p w14:paraId="117FEA65" w14:textId="734FCC67" w:rsidR="00081824" w:rsidRPr="00AF68DE" w:rsidRDefault="00081824" w:rsidP="005C261C">
      <w:pPr>
        <w:rPr>
          <w:rFonts w:asciiTheme="majorBidi" w:hAnsiTheme="majorBidi" w:cstheme="majorBidi"/>
          <w:sz w:val="32"/>
          <w:szCs w:val="32"/>
          <w:lang w:val="en-GB"/>
        </w:rPr>
      </w:pPr>
    </w:p>
    <w:p w14:paraId="5BC3E0A8" w14:textId="7851B6C3" w:rsidR="00081824" w:rsidRPr="00921BE1" w:rsidRDefault="00081824" w:rsidP="00081824">
      <w:pPr>
        <w:rPr>
          <w:rFonts w:asciiTheme="majorBidi" w:hAnsiTheme="majorBidi" w:cstheme="majorBidi"/>
          <w:sz w:val="32"/>
          <w:szCs w:val="32"/>
          <w:u w:val="single"/>
          <w:lang w:val="en-GB"/>
        </w:rPr>
      </w:pPr>
      <w:r w:rsidRPr="00921BE1">
        <w:rPr>
          <w:rFonts w:asciiTheme="majorBidi" w:hAnsiTheme="majorBidi" w:cstheme="majorBidi"/>
          <w:sz w:val="32"/>
          <w:szCs w:val="32"/>
          <w:u w:val="single"/>
          <w:lang w:val="en-GB"/>
        </w:rPr>
        <w:t>2. Key Issues in the Current Homicide Law:</w:t>
      </w:r>
    </w:p>
    <w:p w14:paraId="71DD613B" w14:textId="77777777" w:rsidR="00081824" w:rsidRPr="00AF68DE" w:rsidRDefault="00081824" w:rsidP="00081824">
      <w:pPr>
        <w:rPr>
          <w:rFonts w:asciiTheme="majorBidi" w:hAnsiTheme="majorBidi" w:cstheme="majorBidi"/>
          <w:sz w:val="32"/>
          <w:szCs w:val="32"/>
          <w:lang w:val="en-GB"/>
        </w:rPr>
      </w:pPr>
    </w:p>
    <w:p w14:paraId="048E672D" w14:textId="51E190FC" w:rsidR="00081824" w:rsidRPr="00AF68DE" w:rsidRDefault="00081824" w:rsidP="00081824">
      <w:pPr>
        <w:pStyle w:val="ListParagraph"/>
        <w:numPr>
          <w:ilvl w:val="0"/>
          <w:numId w:val="25"/>
        </w:numPr>
        <w:rPr>
          <w:rFonts w:asciiTheme="majorBidi" w:hAnsiTheme="majorBidi" w:cstheme="majorBidi"/>
          <w:sz w:val="32"/>
          <w:szCs w:val="32"/>
          <w:lang w:val="en-GB"/>
        </w:rPr>
      </w:pPr>
      <w:r w:rsidRPr="00AF68DE">
        <w:rPr>
          <w:rFonts w:asciiTheme="majorBidi" w:hAnsiTheme="majorBidi" w:cstheme="majorBidi"/>
          <w:sz w:val="32"/>
          <w:szCs w:val="32"/>
          <w:lang w:val="en-GB"/>
        </w:rPr>
        <w:t>Partial Defences to Murder:</w:t>
      </w:r>
    </w:p>
    <w:p w14:paraId="55840297" w14:textId="3EC58FE7" w:rsidR="00081824" w:rsidRDefault="00081824" w:rsidP="00081824">
      <w:pPr>
        <w:pStyle w:val="ListParagraph"/>
        <w:rPr>
          <w:rFonts w:asciiTheme="majorBidi" w:hAnsiTheme="majorBidi" w:cstheme="majorBidi"/>
          <w:sz w:val="32"/>
          <w:szCs w:val="32"/>
          <w:lang w:val="en-GB"/>
        </w:rPr>
      </w:pPr>
      <w:r w:rsidRPr="00C1439B">
        <w:rPr>
          <w:rFonts w:asciiTheme="majorBidi" w:hAnsiTheme="majorBidi" w:cstheme="majorBidi"/>
          <w:sz w:val="28"/>
          <w:szCs w:val="28"/>
          <w:lang w:val="en-GB"/>
        </w:rPr>
        <w:t xml:space="preserve">The limited </w:t>
      </w:r>
      <w:proofErr w:type="spellStart"/>
      <w:r w:rsidRPr="00C1439B">
        <w:rPr>
          <w:rFonts w:asciiTheme="majorBidi" w:hAnsiTheme="majorBidi" w:cstheme="majorBidi"/>
          <w:sz w:val="28"/>
          <w:szCs w:val="28"/>
          <w:lang w:val="en-GB"/>
        </w:rPr>
        <w:t>defenses</w:t>
      </w:r>
      <w:proofErr w:type="spellEnd"/>
      <w:r w:rsidRPr="00C1439B">
        <w:rPr>
          <w:rFonts w:asciiTheme="majorBidi" w:hAnsiTheme="majorBidi" w:cstheme="majorBidi"/>
          <w:sz w:val="28"/>
          <w:szCs w:val="28"/>
          <w:lang w:val="en-GB"/>
        </w:rPr>
        <w:t xml:space="preserve"> available to persons accused of murder are a major problem. These weak </w:t>
      </w:r>
      <w:proofErr w:type="spellStart"/>
      <w:r w:rsidRPr="00C1439B">
        <w:rPr>
          <w:rFonts w:asciiTheme="majorBidi" w:hAnsiTheme="majorBidi" w:cstheme="majorBidi"/>
          <w:sz w:val="28"/>
          <w:szCs w:val="28"/>
          <w:lang w:val="en-GB"/>
        </w:rPr>
        <w:t>defenses</w:t>
      </w:r>
      <w:proofErr w:type="spellEnd"/>
      <w:r w:rsidRPr="00C1439B">
        <w:rPr>
          <w:rFonts w:asciiTheme="majorBidi" w:hAnsiTheme="majorBidi" w:cstheme="majorBidi"/>
          <w:sz w:val="28"/>
          <w:szCs w:val="28"/>
          <w:lang w:val="en-GB"/>
        </w:rPr>
        <w:t xml:space="preserve">, such decreased responsibility and lack of control, may result in a manslaughter sentence rather than a murder conviction. Some contend that these </w:t>
      </w:r>
      <w:proofErr w:type="spellStart"/>
      <w:r w:rsidRPr="00C1439B">
        <w:rPr>
          <w:rFonts w:asciiTheme="majorBidi" w:hAnsiTheme="majorBidi" w:cstheme="majorBidi"/>
          <w:sz w:val="28"/>
          <w:szCs w:val="28"/>
          <w:lang w:val="en-GB"/>
        </w:rPr>
        <w:t>defenses'</w:t>
      </w:r>
      <w:proofErr w:type="spellEnd"/>
      <w:r w:rsidRPr="00C1439B">
        <w:rPr>
          <w:rFonts w:asciiTheme="majorBidi" w:hAnsiTheme="majorBidi" w:cstheme="majorBidi"/>
          <w:sz w:val="28"/>
          <w:szCs w:val="28"/>
          <w:lang w:val="en-GB"/>
        </w:rPr>
        <w:t xml:space="preserve"> requirements are ambiguous and subject to interpretation, which could result in inconsistent judgments and even unfairness.</w:t>
      </w:r>
    </w:p>
    <w:p w14:paraId="3C2E5B53" w14:textId="0F11DD94" w:rsidR="0095061D" w:rsidRDefault="0095061D" w:rsidP="00081824">
      <w:pPr>
        <w:pStyle w:val="ListParagraph"/>
        <w:rPr>
          <w:rFonts w:asciiTheme="majorBidi" w:hAnsiTheme="majorBidi" w:cstheme="majorBidi"/>
          <w:sz w:val="32"/>
          <w:szCs w:val="32"/>
          <w:lang w:val="en-GB"/>
        </w:rPr>
      </w:pPr>
    </w:p>
    <w:p w14:paraId="3B6E3A6D" w14:textId="0EC44244" w:rsidR="000C772B" w:rsidRDefault="000C772B" w:rsidP="00081824">
      <w:pPr>
        <w:pStyle w:val="ListParagraph"/>
        <w:rPr>
          <w:rFonts w:asciiTheme="majorBidi" w:hAnsiTheme="majorBidi" w:cstheme="majorBidi"/>
          <w:sz w:val="32"/>
          <w:szCs w:val="32"/>
          <w:lang w:val="en-GB"/>
        </w:rPr>
      </w:pPr>
    </w:p>
    <w:p w14:paraId="1A2ED5F0" w14:textId="11D22A9D" w:rsidR="000C772B" w:rsidRDefault="000C772B" w:rsidP="00081824">
      <w:pPr>
        <w:pStyle w:val="ListParagraph"/>
        <w:rPr>
          <w:rFonts w:asciiTheme="majorBidi" w:hAnsiTheme="majorBidi" w:cstheme="majorBidi"/>
          <w:sz w:val="32"/>
          <w:szCs w:val="32"/>
          <w:lang w:val="en-GB"/>
        </w:rPr>
      </w:pPr>
    </w:p>
    <w:p w14:paraId="46B97505" w14:textId="77777777" w:rsidR="000C772B" w:rsidRPr="00AF68DE" w:rsidRDefault="000C772B" w:rsidP="00081824">
      <w:pPr>
        <w:pStyle w:val="ListParagraph"/>
        <w:rPr>
          <w:rFonts w:asciiTheme="majorBidi" w:hAnsiTheme="majorBidi" w:cstheme="majorBidi"/>
          <w:sz w:val="32"/>
          <w:szCs w:val="32"/>
          <w:lang w:val="en-GB"/>
        </w:rPr>
      </w:pPr>
    </w:p>
    <w:p w14:paraId="3A9351DD" w14:textId="2997F624" w:rsidR="00081824" w:rsidRPr="00AF68DE" w:rsidRDefault="00081824" w:rsidP="00081824">
      <w:pPr>
        <w:pStyle w:val="ListParagraph"/>
        <w:numPr>
          <w:ilvl w:val="0"/>
          <w:numId w:val="25"/>
        </w:numPr>
        <w:rPr>
          <w:rFonts w:asciiTheme="majorBidi" w:hAnsiTheme="majorBidi" w:cstheme="majorBidi"/>
          <w:sz w:val="32"/>
          <w:szCs w:val="32"/>
          <w:lang w:val="en-GB"/>
        </w:rPr>
      </w:pPr>
      <w:r w:rsidRPr="00AF68DE">
        <w:rPr>
          <w:rFonts w:asciiTheme="majorBidi" w:hAnsiTheme="majorBidi" w:cstheme="majorBidi"/>
          <w:sz w:val="32"/>
          <w:szCs w:val="32"/>
        </w:rPr>
        <w:lastRenderedPageBreak/>
        <w:t>Controversy Surrounding Intent for Murder:</w:t>
      </w:r>
    </w:p>
    <w:p w14:paraId="45CA79B3" w14:textId="597240CA" w:rsidR="00081824" w:rsidRDefault="00081824" w:rsidP="00081824">
      <w:pPr>
        <w:pStyle w:val="ListParagraph"/>
        <w:rPr>
          <w:rFonts w:asciiTheme="majorBidi" w:hAnsiTheme="majorBidi" w:cstheme="majorBidi"/>
          <w:sz w:val="32"/>
          <w:szCs w:val="32"/>
          <w:lang w:val="en-GB"/>
        </w:rPr>
      </w:pPr>
      <w:r w:rsidRPr="00C1439B">
        <w:rPr>
          <w:rFonts w:asciiTheme="majorBidi" w:hAnsiTheme="majorBidi" w:cstheme="majorBidi"/>
          <w:sz w:val="28"/>
          <w:szCs w:val="28"/>
          <w:lang w:val="en-GB"/>
        </w:rPr>
        <w:t>The level of intent necessary to be found guilty of murder is still another important issue. According to current legislation, it must be demonstrated beyond a reasonable doubt that the offender intended to kill or inflict GBH. In circumstances where the defendant's purpose is murky or if mental health issues are present, this stringent standard may make it difficult to get convictions.</w:t>
      </w:r>
    </w:p>
    <w:p w14:paraId="42373079" w14:textId="77777777" w:rsidR="00C1439B" w:rsidRPr="00AF68DE" w:rsidRDefault="00C1439B" w:rsidP="00081824">
      <w:pPr>
        <w:pStyle w:val="ListParagraph"/>
        <w:rPr>
          <w:rFonts w:asciiTheme="majorBidi" w:hAnsiTheme="majorBidi" w:cstheme="majorBidi"/>
          <w:sz w:val="32"/>
          <w:szCs w:val="32"/>
          <w:lang w:val="en-GB"/>
        </w:rPr>
      </w:pPr>
    </w:p>
    <w:p w14:paraId="435966B6" w14:textId="5857C3A6" w:rsidR="00081824" w:rsidRPr="00AF68DE" w:rsidRDefault="00081824" w:rsidP="00081824">
      <w:pPr>
        <w:pStyle w:val="ListParagraph"/>
        <w:numPr>
          <w:ilvl w:val="0"/>
          <w:numId w:val="25"/>
        </w:numPr>
        <w:rPr>
          <w:rFonts w:asciiTheme="majorBidi" w:hAnsiTheme="majorBidi" w:cstheme="majorBidi"/>
          <w:sz w:val="32"/>
          <w:szCs w:val="32"/>
          <w:lang w:val="en-GB"/>
        </w:rPr>
      </w:pPr>
      <w:r w:rsidRPr="00AF68DE">
        <w:rPr>
          <w:rFonts w:asciiTheme="majorBidi" w:hAnsiTheme="majorBidi" w:cstheme="majorBidi"/>
          <w:sz w:val="32"/>
          <w:szCs w:val="32"/>
        </w:rPr>
        <w:t>Breadth of Manslaughter Offenses:</w:t>
      </w:r>
    </w:p>
    <w:p w14:paraId="39F98FDF" w14:textId="5B7AE02C" w:rsidR="00081824" w:rsidRPr="00C1439B" w:rsidRDefault="00081824" w:rsidP="00081824">
      <w:pPr>
        <w:pStyle w:val="ListParagraph"/>
        <w:rPr>
          <w:rFonts w:asciiTheme="majorBidi" w:hAnsiTheme="majorBidi" w:cstheme="majorBidi"/>
          <w:sz w:val="28"/>
          <w:szCs w:val="28"/>
          <w:lang w:val="en-GB"/>
        </w:rPr>
      </w:pPr>
      <w:r w:rsidRPr="00C1439B">
        <w:rPr>
          <w:rFonts w:asciiTheme="majorBidi" w:hAnsiTheme="majorBidi" w:cstheme="majorBidi"/>
          <w:sz w:val="28"/>
          <w:szCs w:val="28"/>
          <w:lang w:val="en-GB"/>
        </w:rPr>
        <w:t>It receives criticism because manslaughter offenses can take many different forms. Compared to murder, voluntary manslaughter, which involves homicides with less culpability or provocation, can carry much less terms. This raises concerns about the propriety of manslaughter as a classification for crimes with varied degrees of guilt as well as potential perceptions of leniency.</w:t>
      </w:r>
      <w:r w:rsidR="00FE566A">
        <w:rPr>
          <w:rFonts w:asciiTheme="majorBidi" w:hAnsiTheme="majorBidi" w:cstheme="majorBidi"/>
          <w:sz w:val="28"/>
          <w:szCs w:val="28"/>
          <w:lang w:val="en-GB"/>
        </w:rPr>
        <w:t xml:space="preserve"> </w:t>
      </w:r>
      <w:sdt>
        <w:sdtPr>
          <w:rPr>
            <w:rFonts w:asciiTheme="majorBidi" w:hAnsiTheme="majorBidi" w:cstheme="majorBidi"/>
            <w:sz w:val="28"/>
            <w:szCs w:val="28"/>
            <w:lang w:val="en-GB"/>
          </w:rPr>
          <w:id w:val="-1537115206"/>
          <w:citation/>
        </w:sdtPr>
        <w:sdtContent>
          <w:r w:rsidR="00FE566A">
            <w:rPr>
              <w:rFonts w:asciiTheme="majorBidi" w:hAnsiTheme="majorBidi" w:cstheme="majorBidi"/>
              <w:sz w:val="28"/>
              <w:szCs w:val="28"/>
              <w:lang w:val="en-GB"/>
            </w:rPr>
            <w:fldChar w:fldCharType="begin"/>
          </w:r>
          <w:r w:rsidR="00FE566A">
            <w:rPr>
              <w:rFonts w:asciiTheme="majorBidi" w:hAnsiTheme="majorBidi" w:cstheme="majorBidi"/>
              <w:sz w:val="28"/>
              <w:szCs w:val="28"/>
              <w:lang w:val="en-GB"/>
            </w:rPr>
            <w:instrText xml:space="preserve"> CITATION Ref05 \l 2057 </w:instrText>
          </w:r>
          <w:r w:rsidR="00FE566A">
            <w:rPr>
              <w:rFonts w:asciiTheme="majorBidi" w:hAnsiTheme="majorBidi" w:cstheme="majorBidi"/>
              <w:sz w:val="28"/>
              <w:szCs w:val="28"/>
              <w:lang w:val="en-GB"/>
            </w:rPr>
            <w:fldChar w:fldCharType="separate"/>
          </w:r>
          <w:r w:rsidR="00FE566A" w:rsidRPr="00FE566A">
            <w:rPr>
              <w:rFonts w:asciiTheme="majorBidi" w:hAnsiTheme="majorBidi" w:cstheme="majorBidi"/>
              <w:noProof/>
              <w:sz w:val="28"/>
              <w:szCs w:val="28"/>
              <w:lang w:val="en-GB"/>
            </w:rPr>
            <w:t>(Anon., Law Commission 2005,)</w:t>
          </w:r>
          <w:r w:rsidR="00FE566A">
            <w:rPr>
              <w:rFonts w:asciiTheme="majorBidi" w:hAnsiTheme="majorBidi" w:cstheme="majorBidi"/>
              <w:sz w:val="28"/>
              <w:szCs w:val="28"/>
              <w:lang w:val="en-GB"/>
            </w:rPr>
            <w:fldChar w:fldCharType="end"/>
          </w:r>
        </w:sdtContent>
      </w:sdt>
    </w:p>
    <w:p w14:paraId="5E436D8D" w14:textId="3BA29677" w:rsidR="00081824" w:rsidRPr="00AF68DE" w:rsidRDefault="00081824" w:rsidP="00081824">
      <w:pPr>
        <w:rPr>
          <w:rFonts w:asciiTheme="majorBidi" w:hAnsiTheme="majorBidi" w:cstheme="majorBidi"/>
          <w:sz w:val="32"/>
          <w:szCs w:val="32"/>
          <w:lang w:val="en-GB"/>
        </w:rPr>
      </w:pPr>
    </w:p>
    <w:p w14:paraId="7FF2F62D" w14:textId="038036FA" w:rsidR="00081824" w:rsidRPr="00921BE1" w:rsidRDefault="00081824" w:rsidP="00081824">
      <w:pPr>
        <w:rPr>
          <w:rFonts w:asciiTheme="majorBidi" w:hAnsiTheme="majorBidi" w:cstheme="majorBidi"/>
          <w:sz w:val="32"/>
          <w:szCs w:val="32"/>
          <w:u w:val="single"/>
          <w:lang w:val="en-GB"/>
        </w:rPr>
      </w:pPr>
      <w:r w:rsidRPr="00921BE1">
        <w:rPr>
          <w:rFonts w:asciiTheme="majorBidi" w:hAnsiTheme="majorBidi" w:cstheme="majorBidi"/>
          <w:sz w:val="32"/>
          <w:szCs w:val="32"/>
          <w:u w:val="single"/>
          <w:lang w:val="en-GB"/>
        </w:rPr>
        <w:t>3. Proposals for Reform:</w:t>
      </w:r>
    </w:p>
    <w:p w14:paraId="68C9C97E" w14:textId="77777777" w:rsidR="00081824" w:rsidRPr="00AF68DE" w:rsidRDefault="00081824" w:rsidP="00081824">
      <w:pPr>
        <w:rPr>
          <w:rFonts w:asciiTheme="majorBidi" w:hAnsiTheme="majorBidi" w:cstheme="majorBidi"/>
          <w:sz w:val="32"/>
          <w:szCs w:val="32"/>
          <w:lang w:val="en-GB"/>
        </w:rPr>
      </w:pPr>
    </w:p>
    <w:p w14:paraId="7ABEE170" w14:textId="24E18AD7" w:rsidR="00081824" w:rsidRPr="00C1439B" w:rsidRDefault="00921BE1" w:rsidP="00921BE1">
      <w:pPr>
        <w:pStyle w:val="ListParagraph"/>
        <w:numPr>
          <w:ilvl w:val="0"/>
          <w:numId w:val="26"/>
        </w:numPr>
        <w:ind w:left="709" w:hanging="578"/>
        <w:rPr>
          <w:rFonts w:asciiTheme="majorBidi" w:hAnsiTheme="majorBidi" w:cstheme="majorBidi"/>
          <w:sz w:val="32"/>
          <w:szCs w:val="32"/>
          <w:lang w:val="en-GB"/>
        </w:rPr>
      </w:pPr>
      <w:r>
        <w:rPr>
          <w:rFonts w:asciiTheme="majorBidi" w:hAnsiTheme="majorBidi" w:cstheme="majorBidi"/>
          <w:sz w:val="32"/>
          <w:szCs w:val="32"/>
          <w:lang w:val="en-GB"/>
        </w:rPr>
        <w:t xml:space="preserve">  </w:t>
      </w:r>
      <w:r w:rsidR="00081824" w:rsidRPr="00AF68DE">
        <w:rPr>
          <w:rFonts w:asciiTheme="majorBidi" w:hAnsiTheme="majorBidi" w:cstheme="majorBidi"/>
          <w:sz w:val="32"/>
          <w:szCs w:val="32"/>
          <w:lang w:val="en-GB"/>
        </w:rPr>
        <w:t>Law Commission Proposal:</w:t>
      </w:r>
    </w:p>
    <w:p w14:paraId="4C2203A1" w14:textId="73C9123C" w:rsidR="00995C7B" w:rsidRPr="004B730F" w:rsidRDefault="00921BE1" w:rsidP="00921BE1">
      <w:pPr>
        <w:pStyle w:val="ListParagraph"/>
        <w:ind w:left="851" w:hanging="273"/>
        <w:rPr>
          <w:rFonts w:asciiTheme="majorBidi" w:hAnsiTheme="majorBidi" w:cstheme="majorBidi"/>
          <w:sz w:val="32"/>
          <w:szCs w:val="32"/>
          <w:lang w:val="en-GB"/>
        </w:rPr>
      </w:pPr>
      <w:r>
        <w:rPr>
          <w:rFonts w:asciiTheme="majorBidi" w:hAnsiTheme="majorBidi" w:cstheme="majorBidi"/>
          <w:sz w:val="28"/>
          <w:szCs w:val="28"/>
          <w:lang w:val="en-GB"/>
        </w:rPr>
        <w:t xml:space="preserve">    </w:t>
      </w:r>
      <w:r w:rsidR="00081824" w:rsidRPr="00C1439B">
        <w:rPr>
          <w:rFonts w:asciiTheme="majorBidi" w:hAnsiTheme="majorBidi" w:cstheme="majorBidi"/>
          <w:sz w:val="28"/>
          <w:szCs w:val="28"/>
          <w:lang w:val="en-GB"/>
        </w:rPr>
        <w:t xml:space="preserve">The Law Commission suggested significant changes to the English and Welsh law governing homicide in 2005. The issues of partial </w:t>
      </w:r>
      <w:proofErr w:type="spellStart"/>
      <w:r w:rsidR="00081824" w:rsidRPr="00C1439B">
        <w:rPr>
          <w:rFonts w:asciiTheme="majorBidi" w:hAnsiTheme="majorBidi" w:cstheme="majorBidi"/>
          <w:sz w:val="28"/>
          <w:szCs w:val="28"/>
          <w:lang w:val="en-GB"/>
        </w:rPr>
        <w:t>defenses</w:t>
      </w:r>
      <w:proofErr w:type="spellEnd"/>
      <w:r w:rsidR="00081824" w:rsidRPr="00C1439B">
        <w:rPr>
          <w:rFonts w:asciiTheme="majorBidi" w:hAnsiTheme="majorBidi" w:cstheme="majorBidi"/>
          <w:sz w:val="28"/>
          <w:szCs w:val="28"/>
          <w:lang w:val="en-GB"/>
        </w:rPr>
        <w:t xml:space="preserve"> to</w:t>
      </w:r>
      <w:r>
        <w:rPr>
          <w:rFonts w:asciiTheme="majorBidi" w:hAnsiTheme="majorBidi" w:cstheme="majorBidi"/>
          <w:sz w:val="28"/>
          <w:szCs w:val="28"/>
          <w:lang w:val="en-GB"/>
        </w:rPr>
        <w:t xml:space="preserve">   </w:t>
      </w:r>
      <w:r w:rsidR="00081824" w:rsidRPr="00C1439B">
        <w:rPr>
          <w:rFonts w:asciiTheme="majorBidi" w:hAnsiTheme="majorBidi" w:cstheme="majorBidi"/>
          <w:sz w:val="28"/>
          <w:szCs w:val="28"/>
          <w:lang w:val="en-GB"/>
        </w:rPr>
        <w:t>murder, the need for intent, and the range of manslaughter offenses were the focus of the proposed reforms.</w:t>
      </w:r>
    </w:p>
    <w:p w14:paraId="69D99514" w14:textId="77777777" w:rsidR="00995C7B" w:rsidRPr="00C1439B" w:rsidRDefault="00995C7B" w:rsidP="00C1439B">
      <w:pPr>
        <w:rPr>
          <w:rFonts w:asciiTheme="majorBidi" w:hAnsiTheme="majorBidi" w:cstheme="majorBidi"/>
          <w:sz w:val="32"/>
          <w:szCs w:val="32"/>
          <w:lang w:val="en-GB"/>
        </w:rPr>
      </w:pPr>
    </w:p>
    <w:p w14:paraId="31592F97" w14:textId="6E904082" w:rsidR="00995C7B" w:rsidRPr="00AF68DE" w:rsidRDefault="00081824" w:rsidP="00995C7B">
      <w:pPr>
        <w:pStyle w:val="ListParagraph"/>
        <w:numPr>
          <w:ilvl w:val="0"/>
          <w:numId w:val="27"/>
        </w:numPr>
        <w:rPr>
          <w:rFonts w:asciiTheme="majorBidi" w:hAnsiTheme="majorBidi" w:cstheme="majorBidi"/>
          <w:sz w:val="32"/>
          <w:szCs w:val="32"/>
          <w:lang w:val="en-GB"/>
        </w:rPr>
      </w:pPr>
      <w:r w:rsidRPr="00AF68DE">
        <w:rPr>
          <w:rFonts w:asciiTheme="majorBidi" w:hAnsiTheme="majorBidi" w:cstheme="majorBidi"/>
          <w:sz w:val="32"/>
          <w:szCs w:val="32"/>
          <w:lang w:val="en-GB"/>
        </w:rPr>
        <w:t>Partial Defences to Murder:</w:t>
      </w:r>
    </w:p>
    <w:p w14:paraId="29B8DD99" w14:textId="3EDFEFAB" w:rsidR="006C2022" w:rsidRPr="006C2022" w:rsidRDefault="006C2022" w:rsidP="006C2022">
      <w:pPr>
        <w:pStyle w:val="ListParagraph"/>
        <w:ind w:left="1080"/>
        <w:rPr>
          <w:rFonts w:asciiTheme="majorBidi" w:hAnsiTheme="majorBidi" w:cstheme="majorBidi"/>
          <w:sz w:val="28"/>
          <w:szCs w:val="28"/>
          <w:lang w:val="en-GB"/>
        </w:rPr>
      </w:pPr>
      <w:r w:rsidRPr="006C2022">
        <w:rPr>
          <w:rFonts w:asciiTheme="majorBidi" w:hAnsiTheme="majorBidi" w:cstheme="majorBidi"/>
          <w:sz w:val="28"/>
          <w:szCs w:val="28"/>
          <w:lang w:val="en-GB"/>
        </w:rPr>
        <w:t xml:space="preserve">The Law Commission suggested combining the two partial </w:t>
      </w:r>
      <w:proofErr w:type="spellStart"/>
      <w:r w:rsidRPr="006C2022">
        <w:rPr>
          <w:rFonts w:asciiTheme="majorBidi" w:hAnsiTheme="majorBidi" w:cstheme="majorBidi"/>
          <w:sz w:val="28"/>
          <w:szCs w:val="28"/>
          <w:lang w:val="en-GB"/>
        </w:rPr>
        <w:t>defenses</w:t>
      </w:r>
      <w:proofErr w:type="spellEnd"/>
      <w:r w:rsidRPr="006C2022">
        <w:rPr>
          <w:rFonts w:asciiTheme="majorBidi" w:hAnsiTheme="majorBidi" w:cstheme="majorBidi"/>
          <w:sz w:val="28"/>
          <w:szCs w:val="28"/>
          <w:lang w:val="en-GB"/>
        </w:rPr>
        <w:t xml:space="preserve"> of provocation and decreased responsibility into a single argument of "loss of control." The goal of this proposal was to clarify and streamline the legal framework around possible murder </w:t>
      </w:r>
      <w:proofErr w:type="spellStart"/>
      <w:r w:rsidRPr="006C2022">
        <w:rPr>
          <w:rFonts w:asciiTheme="majorBidi" w:hAnsiTheme="majorBidi" w:cstheme="majorBidi"/>
          <w:sz w:val="28"/>
          <w:szCs w:val="28"/>
          <w:lang w:val="en-GB"/>
        </w:rPr>
        <w:t>defenses</w:t>
      </w:r>
      <w:proofErr w:type="spellEnd"/>
      <w:r w:rsidRPr="006C2022">
        <w:rPr>
          <w:rFonts w:asciiTheme="majorBidi" w:hAnsiTheme="majorBidi" w:cstheme="majorBidi"/>
          <w:sz w:val="28"/>
          <w:szCs w:val="28"/>
          <w:lang w:val="en-GB"/>
        </w:rPr>
        <w:t xml:space="preserve">. A conviction for manslaughter rather than murder may result from the partial </w:t>
      </w:r>
      <w:proofErr w:type="spellStart"/>
      <w:r w:rsidRPr="006C2022">
        <w:rPr>
          <w:rFonts w:asciiTheme="majorBidi" w:hAnsiTheme="majorBidi" w:cstheme="majorBidi"/>
          <w:sz w:val="28"/>
          <w:szCs w:val="28"/>
          <w:lang w:val="en-GB"/>
        </w:rPr>
        <w:t>defenses</w:t>
      </w:r>
      <w:proofErr w:type="spellEnd"/>
      <w:r w:rsidRPr="006C2022">
        <w:rPr>
          <w:rFonts w:asciiTheme="majorBidi" w:hAnsiTheme="majorBidi" w:cstheme="majorBidi"/>
          <w:sz w:val="28"/>
          <w:szCs w:val="28"/>
          <w:lang w:val="en-GB"/>
        </w:rPr>
        <w:t xml:space="preserve"> of diminished culpability and provocation under current law. The grounds for these </w:t>
      </w:r>
      <w:proofErr w:type="spellStart"/>
      <w:r w:rsidRPr="006C2022">
        <w:rPr>
          <w:rFonts w:asciiTheme="majorBidi" w:hAnsiTheme="majorBidi" w:cstheme="majorBidi"/>
          <w:sz w:val="28"/>
          <w:szCs w:val="28"/>
          <w:lang w:val="en-GB"/>
        </w:rPr>
        <w:t>defenses</w:t>
      </w:r>
      <w:proofErr w:type="spellEnd"/>
      <w:r w:rsidRPr="006C2022">
        <w:rPr>
          <w:rFonts w:asciiTheme="majorBidi" w:hAnsiTheme="majorBidi" w:cstheme="majorBidi"/>
          <w:sz w:val="28"/>
          <w:szCs w:val="28"/>
          <w:lang w:val="en-GB"/>
        </w:rPr>
        <w:t>, according to their detractors, are subjective and vulnerable to interpretation, which could result in contradictory judgments and even unfairness.</w:t>
      </w:r>
    </w:p>
    <w:p w14:paraId="63881859" w14:textId="2FFA36C8" w:rsidR="006C2022" w:rsidRDefault="006C2022" w:rsidP="00995C7B">
      <w:pPr>
        <w:pStyle w:val="ListParagraph"/>
        <w:ind w:left="1080"/>
        <w:rPr>
          <w:rFonts w:asciiTheme="majorBidi" w:hAnsiTheme="majorBidi" w:cstheme="majorBidi"/>
          <w:sz w:val="28"/>
          <w:szCs w:val="28"/>
          <w:lang w:val="en-GB"/>
        </w:rPr>
      </w:pPr>
      <w:r w:rsidRPr="006C2022">
        <w:rPr>
          <w:rFonts w:asciiTheme="majorBidi" w:hAnsiTheme="majorBidi" w:cstheme="majorBidi"/>
          <w:sz w:val="28"/>
          <w:szCs w:val="28"/>
          <w:lang w:val="en-GB"/>
        </w:rPr>
        <w:t xml:space="preserve">To establish a more objective standard for judging whether a defendant's loss of control was sufficient to reduce a murder accusation to manslaughter, the "loss of control" </w:t>
      </w:r>
      <w:proofErr w:type="spellStart"/>
      <w:r w:rsidRPr="006C2022">
        <w:rPr>
          <w:rFonts w:asciiTheme="majorBidi" w:hAnsiTheme="majorBidi" w:cstheme="majorBidi"/>
          <w:sz w:val="28"/>
          <w:szCs w:val="28"/>
          <w:lang w:val="en-GB"/>
        </w:rPr>
        <w:t>defense</w:t>
      </w:r>
      <w:proofErr w:type="spellEnd"/>
      <w:r w:rsidRPr="006C2022">
        <w:rPr>
          <w:rFonts w:asciiTheme="majorBidi" w:hAnsiTheme="majorBidi" w:cstheme="majorBidi"/>
          <w:sz w:val="28"/>
          <w:szCs w:val="28"/>
          <w:lang w:val="en-GB"/>
        </w:rPr>
        <w:t xml:space="preserve"> was introduced. The goal of this proposal was to provide judges and juries with clearer, more standardized rules for determining whether a loss of control </w:t>
      </w:r>
      <w:proofErr w:type="spellStart"/>
      <w:r w:rsidRPr="006C2022">
        <w:rPr>
          <w:rFonts w:asciiTheme="majorBidi" w:hAnsiTheme="majorBidi" w:cstheme="majorBidi"/>
          <w:sz w:val="28"/>
          <w:szCs w:val="28"/>
          <w:lang w:val="en-GB"/>
        </w:rPr>
        <w:t>defense</w:t>
      </w:r>
      <w:proofErr w:type="spellEnd"/>
      <w:r w:rsidRPr="006C2022">
        <w:rPr>
          <w:rFonts w:asciiTheme="majorBidi" w:hAnsiTheme="majorBidi" w:cstheme="majorBidi"/>
          <w:sz w:val="28"/>
          <w:szCs w:val="28"/>
          <w:lang w:val="en-GB"/>
        </w:rPr>
        <w:t xml:space="preserve"> may be effectively asserted.</w:t>
      </w:r>
    </w:p>
    <w:p w14:paraId="2D147152" w14:textId="77777777" w:rsidR="006C2022" w:rsidRPr="00AF68DE" w:rsidRDefault="006C2022" w:rsidP="00995C7B">
      <w:pPr>
        <w:pStyle w:val="ListParagraph"/>
        <w:ind w:left="1080"/>
        <w:rPr>
          <w:rFonts w:asciiTheme="majorBidi" w:hAnsiTheme="majorBidi" w:cstheme="majorBidi"/>
          <w:sz w:val="32"/>
          <w:szCs w:val="32"/>
          <w:lang w:val="en-GB"/>
        </w:rPr>
      </w:pPr>
    </w:p>
    <w:p w14:paraId="16300C3B" w14:textId="05CDAD9F" w:rsidR="00995C7B" w:rsidRPr="00AF68DE" w:rsidRDefault="00995C7B" w:rsidP="00995C7B">
      <w:pPr>
        <w:pStyle w:val="ListParagraph"/>
        <w:numPr>
          <w:ilvl w:val="0"/>
          <w:numId w:val="27"/>
        </w:numPr>
        <w:rPr>
          <w:rFonts w:asciiTheme="majorBidi" w:hAnsiTheme="majorBidi" w:cstheme="majorBidi"/>
          <w:sz w:val="32"/>
          <w:szCs w:val="32"/>
          <w:lang w:val="en-GB"/>
        </w:rPr>
      </w:pPr>
      <w:r w:rsidRPr="00AF68DE">
        <w:rPr>
          <w:rFonts w:asciiTheme="majorBidi" w:hAnsiTheme="majorBidi" w:cstheme="majorBidi"/>
          <w:sz w:val="32"/>
          <w:szCs w:val="32"/>
          <w:lang w:val="en-GB"/>
        </w:rPr>
        <w:t>Controversy Surrounding Intent for Murder:</w:t>
      </w:r>
    </w:p>
    <w:p w14:paraId="3E8A4E41" w14:textId="78B63062" w:rsidR="00995C7B" w:rsidRPr="00747C61" w:rsidRDefault="00995C7B" w:rsidP="00995C7B">
      <w:pPr>
        <w:pStyle w:val="ListParagraph"/>
        <w:ind w:left="1080"/>
        <w:rPr>
          <w:rFonts w:asciiTheme="majorBidi" w:hAnsiTheme="majorBidi" w:cstheme="majorBidi"/>
          <w:sz w:val="28"/>
          <w:szCs w:val="28"/>
          <w:lang w:val="en-GB"/>
        </w:rPr>
      </w:pPr>
      <w:r w:rsidRPr="00921BE1">
        <w:rPr>
          <w:rFonts w:asciiTheme="majorBidi" w:hAnsiTheme="majorBidi" w:cstheme="majorBidi"/>
          <w:sz w:val="28"/>
          <w:szCs w:val="28"/>
          <w:lang w:val="en-GB"/>
        </w:rPr>
        <w:t xml:space="preserve">The Law Commission recommended replacing the current intent criterion with a new "recklessness model," allowing for a conviction of murder </w:t>
      </w:r>
      <w:bookmarkStart w:id="0" w:name="_GoBack"/>
      <w:bookmarkEnd w:id="0"/>
      <w:r w:rsidRPr="00747C61">
        <w:rPr>
          <w:rFonts w:asciiTheme="majorBidi" w:hAnsiTheme="majorBidi" w:cstheme="majorBidi"/>
          <w:sz w:val="28"/>
          <w:szCs w:val="28"/>
          <w:lang w:val="en-GB"/>
        </w:rPr>
        <w:t xml:space="preserve">when the defendant purposefully engaged in </w:t>
      </w:r>
      <w:r w:rsidR="004B730F" w:rsidRPr="00747C61">
        <w:rPr>
          <w:rFonts w:asciiTheme="majorBidi" w:hAnsiTheme="majorBidi" w:cstheme="majorBidi"/>
          <w:sz w:val="28"/>
          <w:szCs w:val="28"/>
          <w:lang w:val="en-GB"/>
        </w:rPr>
        <w:t>behaviour</w:t>
      </w:r>
      <w:r w:rsidRPr="00747C61">
        <w:rPr>
          <w:rFonts w:asciiTheme="majorBidi" w:hAnsiTheme="majorBidi" w:cstheme="majorBidi"/>
          <w:sz w:val="28"/>
          <w:szCs w:val="28"/>
          <w:lang w:val="en-GB"/>
        </w:rPr>
        <w:t xml:space="preserve"> that was inherently risky and displayed a reckless disdain for life.</w:t>
      </w:r>
      <w:r w:rsidR="006C2022" w:rsidRPr="00747C61">
        <w:rPr>
          <w:rFonts w:asciiTheme="majorBidi" w:hAnsiTheme="majorBidi" w:cstheme="majorBidi"/>
          <w:sz w:val="28"/>
          <w:szCs w:val="28"/>
          <w:lang w:val="en-GB"/>
        </w:rPr>
        <w:t xml:space="preserve"> </w:t>
      </w:r>
    </w:p>
    <w:p w14:paraId="006B1851" w14:textId="1BF4675C" w:rsidR="006C2022" w:rsidRPr="00747C61" w:rsidRDefault="006C2022" w:rsidP="00995C7B">
      <w:pPr>
        <w:pStyle w:val="ListParagraph"/>
        <w:ind w:left="1080"/>
        <w:rPr>
          <w:rFonts w:asciiTheme="majorBidi" w:hAnsiTheme="majorBidi" w:cstheme="majorBidi"/>
          <w:sz w:val="28"/>
          <w:szCs w:val="28"/>
          <w:lang w:val="en-GB"/>
        </w:rPr>
      </w:pPr>
      <w:r w:rsidRPr="00747C61">
        <w:rPr>
          <w:rFonts w:asciiTheme="majorBidi" w:hAnsiTheme="majorBidi" w:cstheme="majorBidi"/>
          <w:sz w:val="28"/>
          <w:szCs w:val="28"/>
          <w:lang w:val="en-GB"/>
        </w:rPr>
        <w:t>The "recklessness model" aimed to refocus attention away from the defendant's subjective purpose and toward a more objective evaluation of whether the defendant's actions were inherently harmful and displayed a reckless disregard for human life. This proposal sought to expand the definition of murder convictions to encompass situations in which the defendant's actions—while not specifically intended to kill—were so careless as to warrant their being charged with murder.</w:t>
      </w:r>
      <w:sdt>
        <w:sdtPr>
          <w:rPr>
            <w:rFonts w:asciiTheme="majorBidi" w:hAnsiTheme="majorBidi" w:cstheme="majorBidi"/>
            <w:sz w:val="28"/>
            <w:szCs w:val="28"/>
            <w:lang w:val="en-GB"/>
          </w:rPr>
          <w:id w:val="248789050"/>
          <w:citation/>
        </w:sdtPr>
        <w:sdtContent>
          <w:r w:rsidR="00B124FE">
            <w:rPr>
              <w:rFonts w:asciiTheme="majorBidi" w:hAnsiTheme="majorBidi" w:cstheme="majorBidi"/>
              <w:sz w:val="28"/>
              <w:szCs w:val="28"/>
              <w:lang w:val="en-GB"/>
            </w:rPr>
            <w:fldChar w:fldCharType="begin"/>
          </w:r>
          <w:r w:rsidR="00B124FE">
            <w:rPr>
              <w:rFonts w:asciiTheme="majorBidi" w:hAnsiTheme="majorBidi" w:cstheme="majorBidi"/>
              <w:sz w:val="28"/>
              <w:szCs w:val="28"/>
              <w:lang w:val="en-GB"/>
            </w:rPr>
            <w:instrText xml:space="preserve"> CITATION Ref05 \l 2057 </w:instrText>
          </w:r>
          <w:r w:rsidR="00B124FE">
            <w:rPr>
              <w:rFonts w:asciiTheme="majorBidi" w:hAnsiTheme="majorBidi" w:cstheme="majorBidi"/>
              <w:sz w:val="28"/>
              <w:szCs w:val="28"/>
              <w:lang w:val="en-GB"/>
            </w:rPr>
            <w:fldChar w:fldCharType="separate"/>
          </w:r>
          <w:r w:rsidR="00B124FE">
            <w:rPr>
              <w:rFonts w:asciiTheme="majorBidi" w:hAnsiTheme="majorBidi" w:cstheme="majorBidi"/>
              <w:noProof/>
              <w:sz w:val="28"/>
              <w:szCs w:val="28"/>
              <w:lang w:val="en-GB"/>
            </w:rPr>
            <w:t xml:space="preserve"> </w:t>
          </w:r>
          <w:r w:rsidR="00B124FE" w:rsidRPr="00B124FE">
            <w:rPr>
              <w:rFonts w:asciiTheme="majorBidi" w:hAnsiTheme="majorBidi" w:cstheme="majorBidi"/>
              <w:noProof/>
              <w:sz w:val="28"/>
              <w:szCs w:val="28"/>
              <w:lang w:val="en-GB"/>
            </w:rPr>
            <w:t>(Anon., Law Commission 2005,)</w:t>
          </w:r>
          <w:r w:rsidR="00B124FE">
            <w:rPr>
              <w:rFonts w:asciiTheme="majorBidi" w:hAnsiTheme="majorBidi" w:cstheme="majorBidi"/>
              <w:sz w:val="28"/>
              <w:szCs w:val="28"/>
              <w:lang w:val="en-GB"/>
            </w:rPr>
            <w:fldChar w:fldCharType="end"/>
          </w:r>
        </w:sdtContent>
      </w:sdt>
    </w:p>
    <w:p w14:paraId="11E45E40" w14:textId="77777777" w:rsidR="004B730F" w:rsidRPr="00AF68DE" w:rsidRDefault="004B730F" w:rsidP="00995C7B">
      <w:pPr>
        <w:pStyle w:val="ListParagraph"/>
        <w:ind w:left="1080"/>
        <w:rPr>
          <w:rFonts w:asciiTheme="majorBidi" w:hAnsiTheme="majorBidi" w:cstheme="majorBidi"/>
          <w:sz w:val="32"/>
          <w:szCs w:val="32"/>
          <w:lang w:val="en-GB"/>
        </w:rPr>
      </w:pPr>
    </w:p>
    <w:p w14:paraId="677337C8" w14:textId="08AD6670" w:rsidR="00081824" w:rsidRPr="00AF68DE" w:rsidRDefault="00995C7B" w:rsidP="00C03FCD">
      <w:pPr>
        <w:pStyle w:val="ListParagraph"/>
        <w:numPr>
          <w:ilvl w:val="0"/>
          <w:numId w:val="27"/>
        </w:numPr>
        <w:ind w:left="851" w:hanging="491"/>
        <w:rPr>
          <w:rFonts w:asciiTheme="majorBidi" w:hAnsiTheme="majorBidi" w:cstheme="majorBidi"/>
          <w:sz w:val="32"/>
          <w:szCs w:val="32"/>
          <w:lang w:val="en-GB"/>
        </w:rPr>
      </w:pPr>
      <w:r w:rsidRPr="00AF68DE">
        <w:rPr>
          <w:rFonts w:asciiTheme="majorBidi" w:hAnsiTheme="majorBidi" w:cstheme="majorBidi"/>
          <w:sz w:val="32"/>
          <w:szCs w:val="32"/>
        </w:rPr>
        <w:t xml:space="preserve">The </w:t>
      </w:r>
      <w:r w:rsidR="00921BE1">
        <w:rPr>
          <w:rFonts w:asciiTheme="majorBidi" w:hAnsiTheme="majorBidi" w:cstheme="majorBidi"/>
          <w:sz w:val="32"/>
          <w:szCs w:val="32"/>
        </w:rPr>
        <w:t>Breadth</w:t>
      </w:r>
      <w:r w:rsidRPr="00AF68DE">
        <w:rPr>
          <w:rFonts w:asciiTheme="majorBidi" w:hAnsiTheme="majorBidi" w:cstheme="majorBidi"/>
          <w:sz w:val="32"/>
          <w:szCs w:val="32"/>
        </w:rPr>
        <w:t xml:space="preserve"> of Manslaughter Offenses:</w:t>
      </w:r>
    </w:p>
    <w:p w14:paraId="3B0DF9E8" w14:textId="25F65FB2" w:rsidR="00921BE1" w:rsidRPr="000C772B" w:rsidRDefault="00995C7B" w:rsidP="00C03FCD">
      <w:pPr>
        <w:pStyle w:val="ListParagraph"/>
        <w:ind w:left="993"/>
        <w:rPr>
          <w:rFonts w:asciiTheme="majorBidi" w:hAnsiTheme="majorBidi" w:cstheme="majorBidi"/>
          <w:sz w:val="28"/>
          <w:szCs w:val="28"/>
          <w:lang w:val="en-GB"/>
        </w:rPr>
      </w:pPr>
      <w:r w:rsidRPr="00921BE1">
        <w:rPr>
          <w:rFonts w:asciiTheme="majorBidi" w:hAnsiTheme="majorBidi" w:cstheme="majorBidi"/>
          <w:sz w:val="28"/>
          <w:szCs w:val="28"/>
          <w:lang w:val="en-GB"/>
        </w:rPr>
        <w:t xml:space="preserve">The Law Commission suggested separating the crime of manslaughter into two separate categories: "killing by gross negligence" and "reckless killing." This division sought to make the legal distinctions clearer and guarantee more suitable </w:t>
      </w:r>
      <w:r w:rsidR="00921BE1">
        <w:rPr>
          <w:rFonts w:asciiTheme="majorBidi" w:hAnsiTheme="majorBidi" w:cstheme="majorBidi"/>
          <w:sz w:val="28"/>
          <w:szCs w:val="28"/>
          <w:lang w:val="en-GB"/>
        </w:rPr>
        <w:t>sentences</w:t>
      </w:r>
      <w:sdt>
        <w:sdtPr>
          <w:rPr>
            <w:rFonts w:asciiTheme="majorBidi" w:hAnsiTheme="majorBidi" w:cstheme="majorBidi"/>
            <w:sz w:val="28"/>
            <w:szCs w:val="28"/>
            <w:lang w:val="en-GB"/>
          </w:rPr>
          <w:id w:val="765272924"/>
          <w:citation/>
        </w:sdtPr>
        <w:sdtContent>
          <w:r w:rsidR="00FE566A">
            <w:rPr>
              <w:rFonts w:asciiTheme="majorBidi" w:hAnsiTheme="majorBidi" w:cstheme="majorBidi"/>
              <w:sz w:val="28"/>
              <w:szCs w:val="28"/>
              <w:lang w:val="en-GB"/>
            </w:rPr>
            <w:fldChar w:fldCharType="begin"/>
          </w:r>
          <w:r w:rsidR="00FE566A">
            <w:rPr>
              <w:rFonts w:asciiTheme="majorBidi" w:hAnsiTheme="majorBidi" w:cstheme="majorBidi"/>
              <w:sz w:val="28"/>
              <w:szCs w:val="28"/>
              <w:lang w:val="en-GB"/>
            </w:rPr>
            <w:instrText xml:space="preserve"> CITATION Joh21 \l 2057 </w:instrText>
          </w:r>
          <w:r w:rsidR="00FE566A">
            <w:rPr>
              <w:rFonts w:asciiTheme="majorBidi" w:hAnsiTheme="majorBidi" w:cstheme="majorBidi"/>
              <w:sz w:val="28"/>
              <w:szCs w:val="28"/>
              <w:lang w:val="en-GB"/>
            </w:rPr>
            <w:fldChar w:fldCharType="separate"/>
          </w:r>
          <w:r w:rsidR="00FE566A">
            <w:rPr>
              <w:rFonts w:asciiTheme="majorBidi" w:hAnsiTheme="majorBidi" w:cstheme="majorBidi"/>
              <w:noProof/>
              <w:sz w:val="28"/>
              <w:szCs w:val="28"/>
              <w:lang w:val="en-GB"/>
            </w:rPr>
            <w:t xml:space="preserve"> </w:t>
          </w:r>
          <w:r w:rsidR="00FE566A" w:rsidRPr="00FE566A">
            <w:rPr>
              <w:rFonts w:asciiTheme="majorBidi" w:hAnsiTheme="majorBidi" w:cstheme="majorBidi"/>
              <w:noProof/>
              <w:sz w:val="28"/>
              <w:szCs w:val="28"/>
              <w:lang w:val="en-GB"/>
            </w:rPr>
            <w:t>(Johnson, 2021)</w:t>
          </w:r>
          <w:r w:rsidR="00FE566A">
            <w:rPr>
              <w:rFonts w:asciiTheme="majorBidi" w:hAnsiTheme="majorBidi" w:cstheme="majorBidi"/>
              <w:sz w:val="28"/>
              <w:szCs w:val="28"/>
              <w:lang w:val="en-GB"/>
            </w:rPr>
            <w:fldChar w:fldCharType="end"/>
          </w:r>
        </w:sdtContent>
      </w:sdt>
    </w:p>
    <w:p w14:paraId="52DF93FB" w14:textId="77777777" w:rsidR="00921BE1" w:rsidRPr="00921BE1" w:rsidRDefault="00921BE1" w:rsidP="00995C7B">
      <w:pPr>
        <w:pStyle w:val="ListParagraph"/>
        <w:ind w:left="1080"/>
        <w:rPr>
          <w:rFonts w:asciiTheme="majorBidi" w:hAnsiTheme="majorBidi" w:cstheme="majorBidi"/>
          <w:sz w:val="28"/>
          <w:szCs w:val="28"/>
          <w:lang w:val="en-GB"/>
        </w:rPr>
      </w:pPr>
    </w:p>
    <w:p w14:paraId="5F89EBB2" w14:textId="5C25CB94" w:rsidR="00995C7B" w:rsidRPr="00921BE1" w:rsidRDefault="00995C7B" w:rsidP="00995C7B">
      <w:pPr>
        <w:rPr>
          <w:rFonts w:asciiTheme="majorBidi" w:hAnsiTheme="majorBidi" w:cstheme="majorBidi"/>
          <w:sz w:val="28"/>
          <w:szCs w:val="28"/>
          <w:lang w:val="en-GB"/>
        </w:rPr>
      </w:pPr>
    </w:p>
    <w:p w14:paraId="09AF18B6" w14:textId="26759DCD" w:rsidR="004B730F" w:rsidRPr="004B730F" w:rsidRDefault="00995C7B" w:rsidP="004B730F">
      <w:pPr>
        <w:pStyle w:val="ListParagraph"/>
        <w:numPr>
          <w:ilvl w:val="0"/>
          <w:numId w:val="26"/>
        </w:numPr>
        <w:rPr>
          <w:rFonts w:asciiTheme="majorBidi" w:hAnsiTheme="majorBidi" w:cstheme="majorBidi"/>
          <w:sz w:val="32"/>
          <w:szCs w:val="32"/>
          <w:lang w:val="en-GB"/>
        </w:rPr>
      </w:pPr>
      <w:r w:rsidRPr="004B730F">
        <w:rPr>
          <w:rFonts w:asciiTheme="majorBidi" w:hAnsiTheme="majorBidi" w:cstheme="majorBidi"/>
          <w:sz w:val="32"/>
          <w:szCs w:val="32"/>
          <w:lang w:val="en-GB"/>
        </w:rPr>
        <w:t>Government Reaction: </w:t>
      </w:r>
    </w:p>
    <w:p w14:paraId="30FFC5C8" w14:textId="277E5A10" w:rsidR="00995C7B" w:rsidRPr="00921BE1" w:rsidRDefault="00C03FCD" w:rsidP="00C03FCD">
      <w:pPr>
        <w:ind w:left="993" w:hanging="284"/>
        <w:rPr>
          <w:rFonts w:asciiTheme="majorBidi" w:hAnsiTheme="majorBidi" w:cstheme="majorBidi"/>
          <w:sz w:val="28"/>
          <w:szCs w:val="28"/>
          <w:lang w:val="en-GB"/>
        </w:rPr>
      </w:pPr>
      <w:r>
        <w:rPr>
          <w:rFonts w:asciiTheme="majorBidi" w:hAnsiTheme="majorBidi" w:cstheme="majorBidi"/>
          <w:sz w:val="28"/>
          <w:szCs w:val="28"/>
          <w:lang w:val="en-GB"/>
        </w:rPr>
        <w:t xml:space="preserve">    </w:t>
      </w:r>
      <w:r w:rsidR="00995C7B" w:rsidRPr="00921BE1">
        <w:rPr>
          <w:rFonts w:asciiTheme="majorBidi" w:hAnsiTheme="majorBidi" w:cstheme="majorBidi"/>
          <w:sz w:val="28"/>
          <w:szCs w:val="28"/>
          <w:lang w:val="en-GB"/>
        </w:rPr>
        <w:t xml:space="preserve">The government rejected certain reform recommendations while accepting others. For instance, the Law Commission's suggestions regarding the </w:t>
      </w:r>
      <w:proofErr w:type="spellStart"/>
      <w:r w:rsidR="00995C7B" w:rsidRPr="00921BE1">
        <w:rPr>
          <w:rFonts w:asciiTheme="majorBidi" w:hAnsiTheme="majorBidi" w:cstheme="majorBidi"/>
          <w:sz w:val="28"/>
          <w:szCs w:val="28"/>
          <w:lang w:val="en-GB"/>
        </w:rPr>
        <w:t>defense</w:t>
      </w:r>
      <w:proofErr w:type="spellEnd"/>
      <w:r w:rsidR="00995C7B" w:rsidRPr="00921BE1">
        <w:rPr>
          <w:rFonts w:asciiTheme="majorBidi" w:hAnsiTheme="majorBidi" w:cstheme="majorBidi"/>
          <w:sz w:val="28"/>
          <w:szCs w:val="28"/>
          <w:lang w:val="en-GB"/>
        </w:rPr>
        <w:t xml:space="preserve"> of loss of control and the reformulation of the </w:t>
      </w:r>
      <w:proofErr w:type="spellStart"/>
      <w:r w:rsidR="00995C7B" w:rsidRPr="00921BE1">
        <w:rPr>
          <w:rFonts w:asciiTheme="majorBidi" w:hAnsiTheme="majorBidi" w:cstheme="majorBidi"/>
          <w:sz w:val="28"/>
          <w:szCs w:val="28"/>
          <w:lang w:val="en-GB"/>
        </w:rPr>
        <w:t>defense</w:t>
      </w:r>
      <w:proofErr w:type="spellEnd"/>
      <w:r w:rsidR="00995C7B" w:rsidRPr="00921BE1">
        <w:rPr>
          <w:rFonts w:asciiTheme="majorBidi" w:hAnsiTheme="majorBidi" w:cstheme="majorBidi"/>
          <w:sz w:val="28"/>
          <w:szCs w:val="28"/>
          <w:lang w:val="en-GB"/>
        </w:rPr>
        <w:t xml:space="preserve"> of diminished responsibility were enacted by the Coroners and Justice Act of 2009. However, the proposed "recklessness model" for murder was rejected by the administration, who continued to require intent.</w:t>
      </w:r>
      <w:sdt>
        <w:sdtPr>
          <w:rPr>
            <w:rFonts w:asciiTheme="majorBidi" w:hAnsiTheme="majorBidi" w:cstheme="majorBidi"/>
            <w:sz w:val="28"/>
            <w:szCs w:val="28"/>
            <w:lang w:val="en-GB"/>
          </w:rPr>
          <w:id w:val="-1026102208"/>
          <w:citation/>
        </w:sdtPr>
        <w:sdtContent>
          <w:r w:rsidR="00FE566A">
            <w:rPr>
              <w:rFonts w:asciiTheme="majorBidi" w:hAnsiTheme="majorBidi" w:cstheme="majorBidi"/>
              <w:sz w:val="28"/>
              <w:szCs w:val="28"/>
              <w:lang w:val="en-GB"/>
            </w:rPr>
            <w:fldChar w:fldCharType="begin"/>
          </w:r>
          <w:r w:rsidR="00FE566A">
            <w:rPr>
              <w:rFonts w:asciiTheme="majorBidi" w:hAnsiTheme="majorBidi" w:cstheme="majorBidi"/>
              <w:sz w:val="28"/>
              <w:szCs w:val="28"/>
              <w:lang w:val="en-GB"/>
            </w:rPr>
            <w:instrText xml:space="preserve"> CITATION Smi19 \l 2057 </w:instrText>
          </w:r>
          <w:r w:rsidR="00FE566A">
            <w:rPr>
              <w:rFonts w:asciiTheme="majorBidi" w:hAnsiTheme="majorBidi" w:cstheme="majorBidi"/>
              <w:sz w:val="28"/>
              <w:szCs w:val="28"/>
              <w:lang w:val="en-GB"/>
            </w:rPr>
            <w:fldChar w:fldCharType="separate"/>
          </w:r>
          <w:r w:rsidR="00FE566A">
            <w:rPr>
              <w:rFonts w:asciiTheme="majorBidi" w:hAnsiTheme="majorBidi" w:cstheme="majorBidi"/>
              <w:noProof/>
              <w:sz w:val="28"/>
              <w:szCs w:val="28"/>
              <w:lang w:val="en-GB"/>
            </w:rPr>
            <w:t xml:space="preserve"> </w:t>
          </w:r>
          <w:r w:rsidR="00FE566A" w:rsidRPr="00FE566A">
            <w:rPr>
              <w:rFonts w:asciiTheme="majorBidi" w:hAnsiTheme="majorBidi" w:cstheme="majorBidi"/>
              <w:noProof/>
              <w:sz w:val="28"/>
              <w:szCs w:val="28"/>
              <w:lang w:val="en-GB"/>
            </w:rPr>
            <w:t>(Smith, 2019)</w:t>
          </w:r>
          <w:r w:rsidR="00FE566A">
            <w:rPr>
              <w:rFonts w:asciiTheme="majorBidi" w:hAnsiTheme="majorBidi" w:cstheme="majorBidi"/>
              <w:sz w:val="28"/>
              <w:szCs w:val="28"/>
              <w:lang w:val="en-GB"/>
            </w:rPr>
            <w:fldChar w:fldCharType="end"/>
          </w:r>
        </w:sdtContent>
      </w:sdt>
      <w:sdt>
        <w:sdtPr>
          <w:rPr>
            <w:rFonts w:asciiTheme="majorBidi" w:hAnsiTheme="majorBidi" w:cstheme="majorBidi"/>
            <w:sz w:val="28"/>
            <w:szCs w:val="28"/>
            <w:lang w:val="en-GB"/>
          </w:rPr>
          <w:id w:val="367960551"/>
          <w:citation/>
        </w:sdtPr>
        <w:sdtContent>
          <w:r w:rsidR="00FE566A">
            <w:rPr>
              <w:rFonts w:asciiTheme="majorBidi" w:hAnsiTheme="majorBidi" w:cstheme="majorBidi"/>
              <w:sz w:val="28"/>
              <w:szCs w:val="28"/>
              <w:lang w:val="en-GB"/>
            </w:rPr>
            <w:fldChar w:fldCharType="begin"/>
          </w:r>
          <w:r w:rsidR="00FE566A">
            <w:rPr>
              <w:rFonts w:asciiTheme="majorBidi" w:hAnsiTheme="majorBidi" w:cstheme="majorBidi"/>
              <w:sz w:val="28"/>
              <w:szCs w:val="28"/>
              <w:lang w:val="en-GB"/>
            </w:rPr>
            <w:instrText xml:space="preserve"> CITATION Joh21 \l 2057 </w:instrText>
          </w:r>
          <w:r w:rsidR="00FE566A">
            <w:rPr>
              <w:rFonts w:asciiTheme="majorBidi" w:hAnsiTheme="majorBidi" w:cstheme="majorBidi"/>
              <w:sz w:val="28"/>
              <w:szCs w:val="28"/>
              <w:lang w:val="en-GB"/>
            </w:rPr>
            <w:fldChar w:fldCharType="separate"/>
          </w:r>
          <w:r w:rsidR="00FE566A">
            <w:rPr>
              <w:rFonts w:asciiTheme="majorBidi" w:hAnsiTheme="majorBidi" w:cstheme="majorBidi"/>
              <w:noProof/>
              <w:sz w:val="28"/>
              <w:szCs w:val="28"/>
              <w:lang w:val="en-GB"/>
            </w:rPr>
            <w:t xml:space="preserve"> </w:t>
          </w:r>
          <w:r w:rsidR="00FE566A" w:rsidRPr="00FE566A">
            <w:rPr>
              <w:rFonts w:asciiTheme="majorBidi" w:hAnsiTheme="majorBidi" w:cstheme="majorBidi"/>
              <w:noProof/>
              <w:sz w:val="28"/>
              <w:szCs w:val="28"/>
              <w:lang w:val="en-GB"/>
            </w:rPr>
            <w:t>(Johnson, 2021)</w:t>
          </w:r>
          <w:r w:rsidR="00FE566A">
            <w:rPr>
              <w:rFonts w:asciiTheme="majorBidi" w:hAnsiTheme="majorBidi" w:cstheme="majorBidi"/>
              <w:sz w:val="28"/>
              <w:szCs w:val="28"/>
              <w:lang w:val="en-GB"/>
            </w:rPr>
            <w:fldChar w:fldCharType="end"/>
          </w:r>
        </w:sdtContent>
      </w:sdt>
    </w:p>
    <w:p w14:paraId="104B0BA6" w14:textId="2A0A8E5C" w:rsidR="00995C7B" w:rsidRPr="00AF68DE" w:rsidRDefault="00995C7B" w:rsidP="00995C7B">
      <w:pPr>
        <w:rPr>
          <w:rFonts w:asciiTheme="majorBidi" w:hAnsiTheme="majorBidi" w:cstheme="majorBidi"/>
          <w:sz w:val="32"/>
          <w:szCs w:val="32"/>
          <w:lang w:val="en-GB"/>
        </w:rPr>
      </w:pPr>
    </w:p>
    <w:p w14:paraId="72043BF5" w14:textId="2DFAC9E5" w:rsidR="00995C7B" w:rsidRPr="00921BE1" w:rsidRDefault="00995C7B" w:rsidP="00995C7B">
      <w:pPr>
        <w:rPr>
          <w:rFonts w:asciiTheme="majorBidi" w:hAnsiTheme="majorBidi" w:cstheme="majorBidi"/>
          <w:sz w:val="32"/>
          <w:szCs w:val="32"/>
          <w:u w:val="single"/>
          <w:lang w:val="en-GB"/>
        </w:rPr>
      </w:pPr>
      <w:r w:rsidRPr="00921BE1">
        <w:rPr>
          <w:rFonts w:asciiTheme="majorBidi" w:hAnsiTheme="majorBidi" w:cstheme="majorBidi"/>
          <w:sz w:val="32"/>
          <w:szCs w:val="32"/>
          <w:u w:val="single"/>
          <w:lang w:val="en-GB"/>
        </w:rPr>
        <w:t>4. Arguments Against Reform:</w:t>
      </w:r>
    </w:p>
    <w:p w14:paraId="09203055" w14:textId="77777777" w:rsidR="00995C7B" w:rsidRPr="00AF68DE" w:rsidRDefault="00995C7B" w:rsidP="00AF68DE">
      <w:pPr>
        <w:rPr>
          <w:rFonts w:asciiTheme="majorBidi" w:hAnsiTheme="majorBidi" w:cstheme="majorBidi"/>
          <w:sz w:val="32"/>
          <w:szCs w:val="32"/>
          <w:lang w:val="en-GB"/>
        </w:rPr>
      </w:pPr>
    </w:p>
    <w:p w14:paraId="34902B78" w14:textId="34BEEC5E" w:rsidR="00995C7B" w:rsidRPr="00AF68DE" w:rsidRDefault="00995C7B" w:rsidP="00C03FCD">
      <w:pPr>
        <w:pStyle w:val="ListParagraph"/>
        <w:numPr>
          <w:ilvl w:val="0"/>
          <w:numId w:val="29"/>
        </w:numPr>
        <w:ind w:left="993"/>
        <w:rPr>
          <w:rFonts w:asciiTheme="majorBidi" w:hAnsiTheme="majorBidi" w:cstheme="majorBidi"/>
          <w:sz w:val="32"/>
          <w:szCs w:val="32"/>
          <w:lang w:val="en-GB"/>
        </w:rPr>
      </w:pPr>
      <w:r w:rsidRPr="00AF68DE">
        <w:rPr>
          <w:rFonts w:asciiTheme="majorBidi" w:hAnsiTheme="majorBidi" w:cstheme="majorBidi"/>
          <w:sz w:val="32"/>
          <w:szCs w:val="32"/>
          <w:lang w:val="en-GB"/>
        </w:rPr>
        <w:t>Preservation of conventional Principles:</w:t>
      </w:r>
    </w:p>
    <w:p w14:paraId="6D8EC445" w14:textId="6D11DDD3" w:rsidR="00995C7B" w:rsidRDefault="00F472ED" w:rsidP="00C03FCD">
      <w:pPr>
        <w:ind w:left="851" w:hanging="709"/>
        <w:rPr>
          <w:rFonts w:asciiTheme="majorBidi" w:hAnsiTheme="majorBidi" w:cstheme="majorBidi"/>
          <w:sz w:val="28"/>
          <w:szCs w:val="28"/>
          <w:lang w:val="en-GB"/>
        </w:rPr>
      </w:pPr>
      <w:r>
        <w:rPr>
          <w:rFonts w:asciiTheme="majorBidi" w:hAnsiTheme="majorBidi" w:cstheme="majorBidi"/>
          <w:sz w:val="28"/>
          <w:szCs w:val="28"/>
          <w:lang w:val="en-GB"/>
        </w:rPr>
        <w:t xml:space="preserve">         </w:t>
      </w:r>
      <w:r w:rsidR="00C03FCD">
        <w:rPr>
          <w:rFonts w:asciiTheme="majorBidi" w:hAnsiTheme="majorBidi" w:cstheme="majorBidi"/>
          <w:sz w:val="28"/>
          <w:szCs w:val="28"/>
          <w:lang w:val="en-GB"/>
        </w:rPr>
        <w:t xml:space="preserve"> </w:t>
      </w:r>
      <w:r w:rsidR="00C637A6" w:rsidRPr="00C637A6">
        <w:rPr>
          <w:rFonts w:asciiTheme="majorBidi" w:hAnsiTheme="majorBidi" w:cstheme="majorBidi"/>
          <w:sz w:val="28"/>
          <w:szCs w:val="28"/>
          <w:lang w:val="en-GB"/>
        </w:rPr>
        <w:t>One of the arguments against reform is rooted in the belief that preserving traditional principles in the law is crucial for maintaining legal stability and upholding long-standing legal concepts. Some opponents argue that the current legal framework for homicide has developed over centuries and is based on well-established legal principles and precedents. They believe that making significant changes to the law could destabilize the legal system and lead to uncertainty in how cases are tried and interpreted.</w:t>
      </w:r>
    </w:p>
    <w:p w14:paraId="19B40BC2" w14:textId="4C6C2D47" w:rsidR="00F472ED" w:rsidRDefault="00F472ED" w:rsidP="00C03FCD">
      <w:pPr>
        <w:ind w:left="851" w:hanging="851"/>
        <w:rPr>
          <w:rFonts w:asciiTheme="majorBidi" w:hAnsiTheme="majorBidi" w:cstheme="majorBidi"/>
          <w:sz w:val="28"/>
          <w:szCs w:val="28"/>
          <w:lang w:val="en-GB"/>
        </w:rPr>
      </w:pPr>
      <w:r>
        <w:rPr>
          <w:rFonts w:asciiTheme="majorBidi" w:hAnsiTheme="majorBidi" w:cstheme="majorBidi"/>
          <w:sz w:val="28"/>
          <w:szCs w:val="28"/>
          <w:lang w:val="en-GB"/>
        </w:rPr>
        <w:t xml:space="preserve">        </w:t>
      </w:r>
      <w:r w:rsidR="00C03FCD">
        <w:rPr>
          <w:rFonts w:asciiTheme="majorBidi" w:hAnsiTheme="majorBidi" w:cstheme="majorBidi"/>
          <w:sz w:val="28"/>
          <w:szCs w:val="28"/>
          <w:lang w:val="en-GB"/>
        </w:rPr>
        <w:t xml:space="preserve"> </w:t>
      </w:r>
      <w:r>
        <w:rPr>
          <w:rFonts w:asciiTheme="majorBidi" w:hAnsiTheme="majorBidi" w:cstheme="majorBidi"/>
          <w:sz w:val="28"/>
          <w:szCs w:val="28"/>
          <w:lang w:val="en-GB"/>
        </w:rPr>
        <w:t xml:space="preserve">  </w:t>
      </w:r>
      <w:r w:rsidRPr="00F472ED">
        <w:rPr>
          <w:rFonts w:asciiTheme="majorBidi" w:hAnsiTheme="majorBidi" w:cstheme="majorBidi"/>
          <w:sz w:val="28"/>
          <w:szCs w:val="28"/>
          <w:lang w:val="en-GB"/>
        </w:rPr>
        <w:t>These critics argue that the existing legal rules have withstood the test of time via innumerable trials and appeals, giving the justice system a strong foundation. They worry that making significant changes may upset the delicate balance of rights and obligations within the criminal justice system, possibly having unexpected repercussions and making it more difficult to resolve complicated legal matters.</w:t>
      </w:r>
    </w:p>
    <w:p w14:paraId="2328FE2F" w14:textId="76AC2896" w:rsidR="00F472ED" w:rsidRDefault="00F472ED" w:rsidP="00F472ED">
      <w:pPr>
        <w:ind w:left="709" w:hanging="709"/>
        <w:rPr>
          <w:rFonts w:asciiTheme="majorBidi" w:hAnsiTheme="majorBidi" w:cstheme="majorBidi"/>
          <w:sz w:val="32"/>
          <w:szCs w:val="32"/>
          <w:lang w:val="en-GB"/>
        </w:rPr>
      </w:pPr>
    </w:p>
    <w:p w14:paraId="459E08B0" w14:textId="77777777" w:rsidR="00F472ED" w:rsidRPr="00AF68DE" w:rsidRDefault="00F472ED" w:rsidP="00F472ED">
      <w:pPr>
        <w:ind w:left="709" w:hanging="709"/>
        <w:rPr>
          <w:rFonts w:asciiTheme="majorBidi" w:hAnsiTheme="majorBidi" w:cstheme="majorBidi"/>
          <w:sz w:val="32"/>
          <w:szCs w:val="32"/>
          <w:lang w:val="en-GB"/>
        </w:rPr>
      </w:pPr>
    </w:p>
    <w:p w14:paraId="4FEB9A02" w14:textId="01EB4501" w:rsidR="00995C7B" w:rsidRPr="00AF68DE" w:rsidRDefault="00995C7B" w:rsidP="00AF68DE">
      <w:pPr>
        <w:pStyle w:val="ListParagraph"/>
        <w:numPr>
          <w:ilvl w:val="0"/>
          <w:numId w:val="29"/>
        </w:numPr>
        <w:rPr>
          <w:rFonts w:asciiTheme="majorBidi" w:hAnsiTheme="majorBidi" w:cstheme="majorBidi"/>
          <w:sz w:val="32"/>
          <w:szCs w:val="32"/>
          <w:lang w:val="en-GB"/>
        </w:rPr>
      </w:pPr>
      <w:r w:rsidRPr="00AF68DE">
        <w:rPr>
          <w:rFonts w:asciiTheme="majorBidi" w:hAnsiTheme="majorBidi" w:cstheme="majorBidi"/>
          <w:sz w:val="32"/>
          <w:szCs w:val="32"/>
          <w:lang w:val="en-GB"/>
        </w:rPr>
        <w:t>Difficulty in Applying Objective Measures:</w:t>
      </w:r>
    </w:p>
    <w:p w14:paraId="0DF4176C" w14:textId="77777777" w:rsidR="00C637A6" w:rsidRPr="00C637A6" w:rsidRDefault="00C637A6" w:rsidP="00C637A6">
      <w:pPr>
        <w:ind w:left="709"/>
        <w:rPr>
          <w:rFonts w:asciiTheme="majorBidi" w:hAnsiTheme="majorBidi" w:cstheme="majorBidi"/>
          <w:sz w:val="28"/>
          <w:szCs w:val="28"/>
          <w:lang w:val="en-GB"/>
        </w:rPr>
      </w:pPr>
      <w:r w:rsidRPr="00C637A6">
        <w:rPr>
          <w:rFonts w:asciiTheme="majorBidi" w:hAnsiTheme="majorBidi" w:cstheme="majorBidi"/>
          <w:sz w:val="28"/>
          <w:szCs w:val="28"/>
          <w:lang w:val="en-GB"/>
        </w:rPr>
        <w:t>The suggested "recklessness model" for murder serves as yet another justification against reform. Determining recklessness, according to opponents of the concept, might add subjectivity into the legal system, making it difficult for juries to follow uniform standards for deciding guilt or innocence in homicide cases.</w:t>
      </w:r>
    </w:p>
    <w:p w14:paraId="57616F99" w14:textId="68335263" w:rsidR="00081824" w:rsidRPr="00AF68DE" w:rsidRDefault="00C637A6" w:rsidP="00C637A6">
      <w:pPr>
        <w:ind w:left="709"/>
        <w:rPr>
          <w:rFonts w:asciiTheme="majorBidi" w:hAnsiTheme="majorBidi" w:cstheme="majorBidi"/>
          <w:sz w:val="32"/>
          <w:szCs w:val="32"/>
          <w:lang w:val="en-GB"/>
        </w:rPr>
      </w:pPr>
      <w:r w:rsidRPr="00C637A6">
        <w:rPr>
          <w:rFonts w:asciiTheme="majorBidi" w:hAnsiTheme="majorBidi" w:cstheme="majorBidi"/>
          <w:sz w:val="28"/>
          <w:szCs w:val="28"/>
          <w:lang w:val="en-GB"/>
        </w:rPr>
        <w:t xml:space="preserve">As it is, the law's demand that intent be shown beyond a reasonable doubt establishes a very high bar for determining guilt in murder cases. According to detractors, the "recklessness model" can result in a murder definition that is more unclear and subject to individual interpretations of what constitutes recklessness. This subjectivity may lead to uneven verdicts and make it challenging for both the prosecution and the </w:t>
      </w:r>
      <w:proofErr w:type="spellStart"/>
      <w:r w:rsidRPr="00C637A6">
        <w:rPr>
          <w:rFonts w:asciiTheme="majorBidi" w:hAnsiTheme="majorBidi" w:cstheme="majorBidi"/>
          <w:sz w:val="28"/>
          <w:szCs w:val="28"/>
          <w:lang w:val="en-GB"/>
        </w:rPr>
        <w:t>defense</w:t>
      </w:r>
      <w:proofErr w:type="spellEnd"/>
      <w:r w:rsidRPr="00C637A6">
        <w:rPr>
          <w:rFonts w:asciiTheme="majorBidi" w:hAnsiTheme="majorBidi" w:cstheme="majorBidi"/>
          <w:sz w:val="28"/>
          <w:szCs w:val="28"/>
          <w:lang w:val="en-GB"/>
        </w:rPr>
        <w:t xml:space="preserve"> to evaluate the merits of their respective cases.</w:t>
      </w:r>
    </w:p>
    <w:p w14:paraId="4400D01E" w14:textId="6E3CECDB" w:rsidR="00AF68DE" w:rsidRPr="00AF68DE" w:rsidRDefault="00AF68DE" w:rsidP="00AF68DE">
      <w:pPr>
        <w:rPr>
          <w:rFonts w:asciiTheme="majorBidi" w:hAnsiTheme="majorBidi" w:cstheme="majorBidi"/>
          <w:sz w:val="32"/>
          <w:szCs w:val="32"/>
          <w:lang w:val="en-GB"/>
        </w:rPr>
      </w:pPr>
    </w:p>
    <w:p w14:paraId="07BD59F9" w14:textId="39C2E824" w:rsidR="00AF68DE" w:rsidRPr="00AF68DE" w:rsidRDefault="00AF68DE" w:rsidP="00AF68DE">
      <w:pPr>
        <w:pStyle w:val="ListParagraph"/>
        <w:numPr>
          <w:ilvl w:val="0"/>
          <w:numId w:val="29"/>
        </w:numPr>
        <w:rPr>
          <w:rFonts w:asciiTheme="majorBidi" w:hAnsiTheme="majorBidi" w:cstheme="majorBidi"/>
          <w:sz w:val="32"/>
          <w:szCs w:val="32"/>
          <w:lang w:val="en-GB"/>
        </w:rPr>
      </w:pPr>
      <w:r w:rsidRPr="00AF68DE">
        <w:rPr>
          <w:rFonts w:asciiTheme="majorBidi" w:hAnsiTheme="majorBidi" w:cstheme="majorBidi"/>
          <w:sz w:val="32"/>
          <w:szCs w:val="32"/>
          <w:lang w:val="en-GB"/>
        </w:rPr>
        <w:t>Impact on Sentencing and Parole:</w:t>
      </w:r>
    </w:p>
    <w:p w14:paraId="0B6DEB15" w14:textId="28CEF33C" w:rsidR="0054703D" w:rsidRDefault="00AF68DE" w:rsidP="00921BE1">
      <w:pPr>
        <w:ind w:left="709"/>
        <w:rPr>
          <w:rFonts w:asciiTheme="majorBidi" w:hAnsiTheme="majorBidi" w:cstheme="majorBidi"/>
          <w:sz w:val="28"/>
          <w:szCs w:val="28"/>
          <w:lang w:val="en-GB"/>
        </w:rPr>
      </w:pPr>
      <w:r w:rsidRPr="00921BE1">
        <w:rPr>
          <w:rFonts w:asciiTheme="majorBidi" w:hAnsiTheme="majorBidi" w:cstheme="majorBidi"/>
          <w:sz w:val="28"/>
          <w:szCs w:val="28"/>
          <w:lang w:val="en-GB"/>
        </w:rPr>
        <w:t>Changes to the law governing homicide may have a considerable impact on these judgments, raising questions about fairness and proportionality.</w:t>
      </w:r>
    </w:p>
    <w:p w14:paraId="26561E57" w14:textId="6177CA1B" w:rsidR="00C637A6" w:rsidRDefault="00C637A6" w:rsidP="00921BE1">
      <w:pPr>
        <w:ind w:left="709"/>
        <w:rPr>
          <w:rFonts w:asciiTheme="majorBidi" w:hAnsiTheme="majorBidi" w:cstheme="majorBidi"/>
          <w:sz w:val="28"/>
          <w:szCs w:val="28"/>
          <w:lang w:val="en-GB"/>
        </w:rPr>
      </w:pPr>
      <w:r w:rsidRPr="00C637A6">
        <w:rPr>
          <w:rFonts w:asciiTheme="majorBidi" w:hAnsiTheme="majorBidi" w:cstheme="majorBidi"/>
          <w:sz w:val="28"/>
          <w:szCs w:val="28"/>
          <w:lang w:val="en-GB"/>
        </w:rPr>
        <w:t>Judges can encounter difficulties in determining suitable punishments, for instance, if the proposed revisions result in several categorizations or gradations of homicide offenses. Based on the particulars of the case or how the new legal categories are interpreted, discrepancies in sentencing may appear. Changes in the legislation may also impact the requirements for qualifying for parole, which could result in different release dates for criminals.</w:t>
      </w:r>
    </w:p>
    <w:p w14:paraId="4B9161B9" w14:textId="77777777" w:rsidR="00C03FCD" w:rsidRPr="00921BE1" w:rsidRDefault="00C03FCD" w:rsidP="00921BE1">
      <w:pPr>
        <w:ind w:left="709"/>
        <w:rPr>
          <w:rFonts w:asciiTheme="majorBidi" w:hAnsiTheme="majorBidi" w:cstheme="majorBidi"/>
          <w:sz w:val="28"/>
          <w:szCs w:val="28"/>
          <w:lang w:val="en-GB"/>
        </w:rPr>
      </w:pPr>
    </w:p>
    <w:p w14:paraId="40DD7E13" w14:textId="77777777" w:rsidR="0054703D" w:rsidRPr="00AF68DE" w:rsidRDefault="0054703D" w:rsidP="00AF68DE">
      <w:pPr>
        <w:rPr>
          <w:rFonts w:asciiTheme="majorBidi" w:hAnsiTheme="majorBidi" w:cstheme="majorBidi"/>
          <w:sz w:val="32"/>
          <w:szCs w:val="32"/>
          <w:lang w:val="en-GB"/>
        </w:rPr>
      </w:pPr>
    </w:p>
    <w:p w14:paraId="4F7E12E4" w14:textId="05509070" w:rsidR="00AF68DE" w:rsidRPr="00AF68DE" w:rsidRDefault="00AF68DE" w:rsidP="00AF68DE">
      <w:pPr>
        <w:pStyle w:val="ListParagraph"/>
        <w:numPr>
          <w:ilvl w:val="0"/>
          <w:numId w:val="25"/>
        </w:numPr>
        <w:rPr>
          <w:rFonts w:asciiTheme="majorBidi" w:hAnsiTheme="majorBidi" w:cstheme="majorBidi"/>
          <w:sz w:val="32"/>
          <w:szCs w:val="32"/>
          <w:lang w:val="en-GB"/>
        </w:rPr>
      </w:pPr>
      <w:r w:rsidRPr="00AF68DE">
        <w:rPr>
          <w:rFonts w:asciiTheme="majorBidi" w:hAnsiTheme="majorBidi" w:cstheme="majorBidi"/>
          <w:sz w:val="32"/>
          <w:szCs w:val="32"/>
          <w:lang w:val="en-GB"/>
        </w:rPr>
        <w:t>Implementation Complexity:</w:t>
      </w:r>
    </w:p>
    <w:p w14:paraId="76181599" w14:textId="77777777" w:rsidR="00C637A6" w:rsidRDefault="00AF68DE" w:rsidP="0054703D">
      <w:pPr>
        <w:ind w:left="709"/>
        <w:rPr>
          <w:rFonts w:asciiTheme="majorBidi" w:hAnsiTheme="majorBidi" w:cstheme="majorBidi"/>
          <w:sz w:val="28"/>
          <w:szCs w:val="28"/>
          <w:lang w:val="en-GB"/>
        </w:rPr>
      </w:pPr>
      <w:r w:rsidRPr="00921BE1">
        <w:rPr>
          <w:rFonts w:asciiTheme="majorBidi" w:hAnsiTheme="majorBidi" w:cstheme="majorBidi"/>
          <w:sz w:val="28"/>
          <w:szCs w:val="28"/>
          <w:lang w:val="en-GB"/>
        </w:rPr>
        <w:t>It can be a lengthy and complicated procedure to implement significant legal changes that require alterations to related legislation</w:t>
      </w:r>
      <w:r w:rsidR="00FE566A">
        <w:rPr>
          <w:rFonts w:asciiTheme="majorBidi" w:hAnsiTheme="majorBidi" w:cstheme="majorBidi"/>
          <w:sz w:val="28"/>
          <w:szCs w:val="28"/>
          <w:lang w:val="en-GB"/>
        </w:rPr>
        <w:t>.</w:t>
      </w:r>
    </w:p>
    <w:p w14:paraId="1E510DA9" w14:textId="2F2A05FC" w:rsidR="000C772B" w:rsidRPr="00716082" w:rsidRDefault="00C637A6" w:rsidP="00716082">
      <w:pPr>
        <w:ind w:left="709"/>
        <w:rPr>
          <w:rFonts w:asciiTheme="majorBidi" w:hAnsiTheme="majorBidi" w:cstheme="majorBidi"/>
          <w:sz w:val="28"/>
          <w:szCs w:val="28"/>
          <w:lang w:val="en-GB"/>
        </w:rPr>
      </w:pPr>
      <w:r w:rsidRPr="00C637A6">
        <w:rPr>
          <w:rFonts w:asciiTheme="majorBidi" w:hAnsiTheme="majorBidi" w:cstheme="majorBidi"/>
          <w:sz w:val="28"/>
          <w:szCs w:val="28"/>
          <w:lang w:val="en-GB"/>
        </w:rPr>
        <w:t>Legislators and legal professionals must agree after careful consideration, in-depth discussion, and agreement before introducing new legislation or altering an existing law.</w:t>
      </w:r>
      <w:r>
        <w:rPr>
          <w:rFonts w:asciiTheme="majorBidi" w:hAnsiTheme="majorBidi" w:cstheme="majorBidi"/>
          <w:sz w:val="28"/>
          <w:szCs w:val="28"/>
          <w:lang w:val="en-GB"/>
        </w:rPr>
        <w:t xml:space="preserve"> </w:t>
      </w:r>
      <w:r w:rsidRPr="00C637A6">
        <w:rPr>
          <w:rFonts w:asciiTheme="majorBidi" w:hAnsiTheme="majorBidi" w:cstheme="majorBidi"/>
          <w:sz w:val="28"/>
          <w:szCs w:val="28"/>
          <w:lang w:val="en-GB"/>
        </w:rPr>
        <w:t>Additionally, altering the law might call for alterations to associated rules, regulations, and legal procedures. The process could cause delays in the implementation of the reforms and provide logistical difficulties for the courts, law enforcement organizations, and other criminal justice system participants.</w:t>
      </w:r>
      <w:r w:rsidR="00FE566A">
        <w:rPr>
          <w:rFonts w:asciiTheme="majorBidi" w:hAnsiTheme="majorBidi" w:cstheme="majorBidi"/>
          <w:sz w:val="28"/>
          <w:szCs w:val="28"/>
          <w:lang w:val="en-GB"/>
        </w:rPr>
        <w:t xml:space="preserve"> </w:t>
      </w:r>
    </w:p>
    <w:p w14:paraId="74AE5937" w14:textId="77777777" w:rsidR="000C772B" w:rsidRPr="00AF68DE" w:rsidRDefault="000C772B" w:rsidP="00AF68DE">
      <w:pPr>
        <w:rPr>
          <w:rFonts w:asciiTheme="majorBidi" w:hAnsiTheme="majorBidi" w:cstheme="majorBidi"/>
          <w:sz w:val="32"/>
          <w:szCs w:val="32"/>
          <w:lang w:val="en-GB"/>
        </w:rPr>
      </w:pPr>
    </w:p>
    <w:p w14:paraId="69BFCF05" w14:textId="27F21158" w:rsidR="00AF68DE" w:rsidRPr="00921BE1" w:rsidRDefault="00AF68DE" w:rsidP="00AF68DE">
      <w:pPr>
        <w:rPr>
          <w:rFonts w:asciiTheme="majorBidi" w:hAnsiTheme="majorBidi" w:cstheme="majorBidi"/>
          <w:sz w:val="32"/>
          <w:szCs w:val="32"/>
          <w:u w:val="single"/>
          <w:lang w:val="en-GB"/>
        </w:rPr>
      </w:pPr>
      <w:r w:rsidRPr="00921BE1">
        <w:rPr>
          <w:rFonts w:asciiTheme="majorBidi" w:hAnsiTheme="majorBidi" w:cstheme="majorBidi"/>
          <w:sz w:val="32"/>
          <w:szCs w:val="32"/>
          <w:u w:val="single"/>
          <w:lang w:val="en-GB"/>
        </w:rPr>
        <w:t>Conclusion:</w:t>
      </w:r>
    </w:p>
    <w:p w14:paraId="0C90243B" w14:textId="77777777" w:rsidR="0054703D" w:rsidRPr="00AF68DE" w:rsidRDefault="0054703D" w:rsidP="00AF68DE">
      <w:pPr>
        <w:rPr>
          <w:rFonts w:asciiTheme="majorBidi" w:hAnsiTheme="majorBidi" w:cstheme="majorBidi"/>
          <w:sz w:val="32"/>
          <w:szCs w:val="32"/>
          <w:lang w:val="en-GB"/>
        </w:rPr>
      </w:pPr>
    </w:p>
    <w:p w14:paraId="4338DFB0" w14:textId="73AC8F86" w:rsidR="000C772B" w:rsidRPr="00D80060" w:rsidRDefault="00AF68DE" w:rsidP="00D80060">
      <w:pPr>
        <w:rPr>
          <w:rFonts w:asciiTheme="majorBidi" w:hAnsiTheme="majorBidi" w:cstheme="majorBidi"/>
          <w:sz w:val="28"/>
          <w:szCs w:val="28"/>
          <w:lang w:val="en-GB"/>
        </w:rPr>
      </w:pPr>
      <w:r w:rsidRPr="00921BE1">
        <w:rPr>
          <w:rFonts w:asciiTheme="majorBidi" w:hAnsiTheme="majorBidi" w:cstheme="majorBidi"/>
          <w:sz w:val="28"/>
          <w:szCs w:val="28"/>
          <w:lang w:val="en-GB"/>
        </w:rPr>
        <w:t xml:space="preserve">In conclusion, some have criticized the current homicide statute in England and Wales for being out-of-date and in need of reform. The Law Commission and other agencies have proposed changes in response to significant problems, including partial </w:t>
      </w:r>
      <w:proofErr w:type="spellStart"/>
      <w:r w:rsidR="0054703D" w:rsidRPr="00921BE1">
        <w:rPr>
          <w:rFonts w:asciiTheme="majorBidi" w:hAnsiTheme="majorBidi" w:cstheme="majorBidi"/>
          <w:sz w:val="28"/>
          <w:szCs w:val="28"/>
          <w:lang w:val="en-GB"/>
        </w:rPr>
        <w:t>defenses</w:t>
      </w:r>
      <w:proofErr w:type="spellEnd"/>
      <w:r w:rsidRPr="00921BE1">
        <w:rPr>
          <w:rFonts w:asciiTheme="majorBidi" w:hAnsiTheme="majorBidi" w:cstheme="majorBidi"/>
          <w:sz w:val="28"/>
          <w:szCs w:val="28"/>
          <w:lang w:val="en-GB"/>
        </w:rPr>
        <w:t xml:space="preserve"> to murder, the debatable issue of the intent necessary for murder, and the scope of manslaughter offenses. Government officials have approved some measures while rejecting others. Legal principles, practicalities, and prospective effects on the criminal justice system are all factors that are considered in both the arguments for and against reform. Ultimately, any future reform initiatives must strike a balance between upholding legal traditions and addressing justifiable concerns about fairness and clarity.</w:t>
      </w:r>
    </w:p>
    <w:p w14:paraId="4AF1C7E1" w14:textId="3E0B0FFA" w:rsidR="00AF68DE" w:rsidRDefault="00AF68DE" w:rsidP="00AF68DE">
      <w:pPr>
        <w:rPr>
          <w:rFonts w:asciiTheme="majorBidi" w:hAnsiTheme="majorBidi" w:cstheme="majorBidi"/>
          <w:sz w:val="32"/>
          <w:szCs w:val="32"/>
          <w:lang w:val="en-GB"/>
        </w:rPr>
      </w:pPr>
    </w:p>
    <w:p w14:paraId="4970ACE2" w14:textId="02A52363" w:rsidR="00D80060" w:rsidRDefault="00D80060" w:rsidP="00AF68DE">
      <w:pPr>
        <w:rPr>
          <w:rFonts w:asciiTheme="majorBidi" w:hAnsiTheme="majorBidi" w:cstheme="majorBidi"/>
          <w:sz w:val="32"/>
          <w:szCs w:val="32"/>
          <w:lang w:val="en-GB"/>
        </w:rPr>
      </w:pPr>
    </w:p>
    <w:p w14:paraId="144B32CE" w14:textId="23E8D844" w:rsidR="00D80060" w:rsidRDefault="00D80060" w:rsidP="00AF68DE">
      <w:pPr>
        <w:rPr>
          <w:rFonts w:asciiTheme="majorBidi" w:hAnsiTheme="majorBidi" w:cstheme="majorBidi"/>
          <w:sz w:val="32"/>
          <w:szCs w:val="32"/>
          <w:lang w:val="en-GB"/>
        </w:rPr>
      </w:pPr>
    </w:p>
    <w:p w14:paraId="36BD6180" w14:textId="1A523934" w:rsidR="00D80060" w:rsidRDefault="00D80060" w:rsidP="00AF68DE">
      <w:pPr>
        <w:rPr>
          <w:rFonts w:asciiTheme="majorBidi" w:hAnsiTheme="majorBidi" w:cstheme="majorBidi"/>
          <w:sz w:val="32"/>
          <w:szCs w:val="32"/>
          <w:lang w:val="en-GB"/>
        </w:rPr>
      </w:pPr>
    </w:p>
    <w:p w14:paraId="5F69413A" w14:textId="63F836E5" w:rsidR="00D80060" w:rsidRDefault="00D80060" w:rsidP="00AF68DE">
      <w:pPr>
        <w:rPr>
          <w:rFonts w:asciiTheme="majorBidi" w:hAnsiTheme="majorBidi" w:cstheme="majorBidi"/>
          <w:sz w:val="32"/>
          <w:szCs w:val="32"/>
          <w:lang w:val="en-GB"/>
        </w:rPr>
      </w:pPr>
    </w:p>
    <w:p w14:paraId="445ECD74" w14:textId="03FCA1F4" w:rsidR="00D80060" w:rsidRDefault="00D80060" w:rsidP="00AF68DE">
      <w:pPr>
        <w:rPr>
          <w:rFonts w:asciiTheme="majorBidi" w:hAnsiTheme="majorBidi" w:cstheme="majorBidi"/>
          <w:sz w:val="32"/>
          <w:szCs w:val="32"/>
          <w:lang w:val="en-GB"/>
        </w:rPr>
      </w:pPr>
    </w:p>
    <w:p w14:paraId="0DDDB3B5" w14:textId="0D43E4B9" w:rsidR="00D80060" w:rsidRDefault="00D80060" w:rsidP="00AF68DE">
      <w:pPr>
        <w:rPr>
          <w:rFonts w:asciiTheme="majorBidi" w:hAnsiTheme="majorBidi" w:cstheme="majorBidi"/>
          <w:sz w:val="32"/>
          <w:szCs w:val="32"/>
          <w:lang w:val="en-GB"/>
        </w:rPr>
      </w:pPr>
    </w:p>
    <w:p w14:paraId="00AA4901" w14:textId="1FBF5CE5" w:rsidR="00D80060" w:rsidRDefault="00D80060" w:rsidP="00AF68DE">
      <w:pPr>
        <w:rPr>
          <w:rFonts w:asciiTheme="majorBidi" w:hAnsiTheme="majorBidi" w:cstheme="majorBidi"/>
          <w:sz w:val="32"/>
          <w:szCs w:val="32"/>
          <w:lang w:val="en-GB"/>
        </w:rPr>
      </w:pPr>
    </w:p>
    <w:p w14:paraId="0B5B7325" w14:textId="4E5D0907" w:rsidR="00D80060" w:rsidRDefault="00D80060" w:rsidP="00AF68DE">
      <w:pPr>
        <w:rPr>
          <w:rFonts w:asciiTheme="majorBidi" w:hAnsiTheme="majorBidi" w:cstheme="majorBidi"/>
          <w:sz w:val="32"/>
          <w:szCs w:val="32"/>
          <w:lang w:val="en-GB"/>
        </w:rPr>
      </w:pPr>
    </w:p>
    <w:p w14:paraId="623024AD" w14:textId="6BFBDBCF" w:rsidR="00D80060" w:rsidRDefault="00D80060" w:rsidP="00AF68DE">
      <w:pPr>
        <w:rPr>
          <w:rFonts w:asciiTheme="majorBidi" w:hAnsiTheme="majorBidi" w:cstheme="majorBidi"/>
          <w:sz w:val="32"/>
          <w:szCs w:val="32"/>
          <w:lang w:val="en-GB"/>
        </w:rPr>
      </w:pPr>
    </w:p>
    <w:p w14:paraId="382C81AC" w14:textId="1E776580" w:rsidR="00D80060" w:rsidRDefault="00D80060" w:rsidP="00AF68DE">
      <w:pPr>
        <w:rPr>
          <w:rFonts w:asciiTheme="majorBidi" w:hAnsiTheme="majorBidi" w:cstheme="majorBidi"/>
          <w:sz w:val="32"/>
          <w:szCs w:val="32"/>
          <w:lang w:val="en-GB"/>
        </w:rPr>
      </w:pPr>
    </w:p>
    <w:p w14:paraId="657D93F3" w14:textId="1DA1B0D0" w:rsidR="00D80060" w:rsidRDefault="00D80060" w:rsidP="00AF68DE">
      <w:pPr>
        <w:rPr>
          <w:rFonts w:asciiTheme="majorBidi" w:hAnsiTheme="majorBidi" w:cstheme="majorBidi"/>
          <w:sz w:val="32"/>
          <w:szCs w:val="32"/>
          <w:lang w:val="en-GB"/>
        </w:rPr>
      </w:pPr>
    </w:p>
    <w:p w14:paraId="5F08E5BD" w14:textId="73627D1E" w:rsidR="00D80060" w:rsidRDefault="00D80060" w:rsidP="00AF68DE">
      <w:pPr>
        <w:rPr>
          <w:rFonts w:asciiTheme="majorBidi" w:hAnsiTheme="majorBidi" w:cstheme="majorBidi"/>
          <w:sz w:val="32"/>
          <w:szCs w:val="32"/>
          <w:lang w:val="en-GB"/>
        </w:rPr>
      </w:pPr>
    </w:p>
    <w:p w14:paraId="2466D299" w14:textId="17AA043D" w:rsidR="00D80060" w:rsidRDefault="00D80060" w:rsidP="00AF68DE">
      <w:pPr>
        <w:rPr>
          <w:rFonts w:asciiTheme="majorBidi" w:hAnsiTheme="majorBidi" w:cstheme="majorBidi"/>
          <w:sz w:val="32"/>
          <w:szCs w:val="32"/>
          <w:lang w:val="en-GB"/>
        </w:rPr>
      </w:pPr>
    </w:p>
    <w:p w14:paraId="707144AA" w14:textId="446429EA" w:rsidR="00D80060" w:rsidRDefault="00D80060" w:rsidP="00AF68DE">
      <w:pPr>
        <w:rPr>
          <w:rFonts w:asciiTheme="majorBidi" w:hAnsiTheme="majorBidi" w:cstheme="majorBidi"/>
          <w:sz w:val="32"/>
          <w:szCs w:val="32"/>
          <w:lang w:val="en-GB"/>
        </w:rPr>
      </w:pPr>
    </w:p>
    <w:p w14:paraId="51A8CF19" w14:textId="541DCACC" w:rsidR="00D80060" w:rsidRDefault="00D80060" w:rsidP="00AF68DE">
      <w:pPr>
        <w:rPr>
          <w:rFonts w:asciiTheme="majorBidi" w:hAnsiTheme="majorBidi" w:cstheme="majorBidi"/>
          <w:sz w:val="32"/>
          <w:szCs w:val="32"/>
          <w:lang w:val="en-GB"/>
        </w:rPr>
      </w:pPr>
    </w:p>
    <w:p w14:paraId="15F9D059" w14:textId="2BBAB0D0" w:rsidR="00D80060" w:rsidRDefault="00D80060" w:rsidP="00AF68DE">
      <w:pPr>
        <w:rPr>
          <w:rFonts w:asciiTheme="majorBidi" w:hAnsiTheme="majorBidi" w:cstheme="majorBidi"/>
          <w:sz w:val="32"/>
          <w:szCs w:val="32"/>
          <w:lang w:val="en-GB"/>
        </w:rPr>
      </w:pPr>
    </w:p>
    <w:p w14:paraId="341DE42B" w14:textId="79C71FD5" w:rsidR="00D80060" w:rsidRDefault="00D80060" w:rsidP="00AF68DE">
      <w:pPr>
        <w:rPr>
          <w:rFonts w:asciiTheme="majorBidi" w:hAnsiTheme="majorBidi" w:cstheme="majorBidi"/>
          <w:sz w:val="32"/>
          <w:szCs w:val="32"/>
          <w:lang w:val="en-GB"/>
        </w:rPr>
      </w:pPr>
    </w:p>
    <w:p w14:paraId="671D22E4" w14:textId="63D0700C" w:rsidR="00D80060" w:rsidRDefault="00D80060" w:rsidP="00AF68DE">
      <w:pPr>
        <w:rPr>
          <w:rFonts w:asciiTheme="majorBidi" w:hAnsiTheme="majorBidi" w:cstheme="majorBidi"/>
          <w:sz w:val="32"/>
          <w:szCs w:val="32"/>
          <w:lang w:val="en-GB"/>
        </w:rPr>
      </w:pPr>
    </w:p>
    <w:p w14:paraId="4E6779CA" w14:textId="72B816C4" w:rsidR="00D80060" w:rsidRDefault="00D80060" w:rsidP="00AF68DE">
      <w:pPr>
        <w:rPr>
          <w:rFonts w:asciiTheme="majorBidi" w:hAnsiTheme="majorBidi" w:cstheme="majorBidi"/>
          <w:sz w:val="32"/>
          <w:szCs w:val="32"/>
          <w:lang w:val="en-GB"/>
        </w:rPr>
      </w:pPr>
    </w:p>
    <w:p w14:paraId="1B4E5BFC" w14:textId="282B92E9" w:rsidR="00D80060" w:rsidRDefault="00D80060" w:rsidP="00AF68DE">
      <w:pPr>
        <w:rPr>
          <w:rFonts w:asciiTheme="majorBidi" w:hAnsiTheme="majorBidi" w:cstheme="majorBidi"/>
          <w:sz w:val="32"/>
          <w:szCs w:val="32"/>
          <w:lang w:val="en-GB"/>
        </w:rPr>
      </w:pPr>
    </w:p>
    <w:p w14:paraId="2AAFCF9C" w14:textId="35BC5AC8" w:rsidR="00D80060" w:rsidRDefault="00D80060" w:rsidP="00AF68DE">
      <w:pPr>
        <w:rPr>
          <w:rFonts w:asciiTheme="majorBidi" w:hAnsiTheme="majorBidi" w:cstheme="majorBidi"/>
          <w:sz w:val="32"/>
          <w:szCs w:val="32"/>
          <w:lang w:val="en-GB"/>
        </w:rPr>
      </w:pPr>
    </w:p>
    <w:p w14:paraId="15F36C99" w14:textId="3699D710" w:rsidR="00D80060" w:rsidRDefault="00D80060" w:rsidP="00AF68DE">
      <w:pPr>
        <w:rPr>
          <w:rFonts w:asciiTheme="majorBidi" w:hAnsiTheme="majorBidi" w:cstheme="majorBidi"/>
          <w:sz w:val="32"/>
          <w:szCs w:val="32"/>
          <w:lang w:val="en-GB"/>
        </w:rPr>
      </w:pPr>
    </w:p>
    <w:p w14:paraId="46DC6478" w14:textId="77777777" w:rsidR="00D80060" w:rsidRDefault="00D80060" w:rsidP="00AF68DE">
      <w:pPr>
        <w:rPr>
          <w:rFonts w:asciiTheme="majorBidi" w:hAnsiTheme="majorBidi" w:cstheme="majorBidi"/>
          <w:sz w:val="32"/>
          <w:szCs w:val="32"/>
          <w:lang w:val="en-GB"/>
        </w:rPr>
      </w:pPr>
    </w:p>
    <w:sdt>
      <w:sdtPr>
        <w:id w:val="2038078208"/>
        <w:docPartObj>
          <w:docPartGallery w:val="Bibliographies"/>
          <w:docPartUnique/>
        </w:docPartObj>
      </w:sdtPr>
      <w:sdtEndPr>
        <w:rPr>
          <w:rFonts w:asciiTheme="minorHAnsi" w:eastAsiaTheme="minorHAnsi" w:hAnsiTheme="minorHAnsi" w:cstheme="minorBidi"/>
          <w:color w:val="auto"/>
          <w:sz w:val="22"/>
          <w:szCs w:val="22"/>
        </w:rPr>
      </w:sdtEndPr>
      <w:sdtContent>
        <w:p w14:paraId="56EEBAAC" w14:textId="7EE1EFE8" w:rsidR="00FE566A" w:rsidRDefault="00FE566A">
          <w:pPr>
            <w:pStyle w:val="Heading1"/>
          </w:pPr>
          <w:r>
            <w:t>Bibliography</w:t>
          </w:r>
        </w:p>
        <w:sdt>
          <w:sdtPr>
            <w:id w:val="111145805"/>
            <w:bibliography/>
          </w:sdtPr>
          <w:sdtContent>
            <w:p w14:paraId="5C7526C2" w14:textId="77777777" w:rsidR="00FE566A" w:rsidRDefault="00FE566A" w:rsidP="00FE566A">
              <w:pPr>
                <w:pStyle w:val="Bibliography"/>
                <w:rPr>
                  <w:noProof/>
                  <w:sz w:val="24"/>
                  <w:szCs w:val="24"/>
                </w:rPr>
              </w:pPr>
              <w:r>
                <w:fldChar w:fldCharType="begin"/>
              </w:r>
              <w:r>
                <w:instrText xml:space="preserve"> BIBLIOGRAPHY </w:instrText>
              </w:r>
              <w:r>
                <w:fldChar w:fldCharType="separate"/>
              </w:r>
              <w:r>
                <w:rPr>
                  <w:noProof/>
                </w:rPr>
                <w:t xml:space="preserve">Anon., Law Commission 2005,. </w:t>
              </w:r>
              <w:r>
                <w:rPr>
                  <w:i/>
                  <w:iCs/>
                  <w:noProof/>
                </w:rPr>
                <w:t xml:space="preserve">Reforming Homicide Laws: Report No. 123, </w:t>
              </w:r>
              <w:r>
                <w:rPr>
                  <w:noProof/>
                </w:rPr>
                <w:t>s.l.: Her Majesty's Stationery Office..</w:t>
              </w:r>
            </w:p>
            <w:p w14:paraId="155CD66B" w14:textId="77777777" w:rsidR="00FE566A" w:rsidRDefault="00FE566A" w:rsidP="00FE566A">
              <w:pPr>
                <w:pStyle w:val="Bibliography"/>
                <w:rPr>
                  <w:noProof/>
                </w:rPr>
              </w:pPr>
              <w:r>
                <w:rPr>
                  <w:noProof/>
                </w:rPr>
                <w:t xml:space="preserve">commission, U. L., n.d. </w:t>
              </w:r>
              <w:r>
                <w:rPr>
                  <w:i/>
                  <w:iCs/>
                  <w:noProof/>
                </w:rPr>
                <w:t xml:space="preserve">https://www.lawcom.gov.uk/app/uploads/2015/03/cp177_Murder_Manslaughter_and_Infanticide_consultation_overview_.pdf. </w:t>
              </w:r>
              <w:r>
                <w:rPr>
                  <w:noProof/>
                </w:rPr>
                <w:t xml:space="preserve">[Online] </w:t>
              </w:r>
              <w:r>
                <w:rPr>
                  <w:noProof/>
                </w:rPr>
                <w:br/>
                <w:t xml:space="preserve">Available at: </w:t>
              </w:r>
              <w:r>
                <w:rPr>
                  <w:noProof/>
                  <w:u w:val="single"/>
                </w:rPr>
                <w:t>https://www.lawcom.gov.uk/app/uploads/2015/03/cp177_Murder_Manslaughter_and_Infanticide_consultation_overview_.pdf</w:t>
              </w:r>
            </w:p>
            <w:p w14:paraId="259A769A" w14:textId="77777777" w:rsidR="00FE566A" w:rsidRDefault="00FE566A" w:rsidP="00FE566A">
              <w:pPr>
                <w:pStyle w:val="Bibliography"/>
                <w:rPr>
                  <w:noProof/>
                </w:rPr>
              </w:pPr>
              <w:r>
                <w:rPr>
                  <w:noProof/>
                </w:rPr>
                <w:t>Johnson, M. &amp;. B. L., 2021. Reforming Homicide Laws in England and Wales. Volume Criminal Law Review, vol. 45(3), pp. pp. 215-230..</w:t>
              </w:r>
            </w:p>
            <w:p w14:paraId="31C4C079" w14:textId="77777777" w:rsidR="00FE566A" w:rsidRDefault="00FE566A" w:rsidP="00FE566A">
              <w:pPr>
                <w:pStyle w:val="Bibliography"/>
                <w:rPr>
                  <w:noProof/>
                </w:rPr>
              </w:pPr>
              <w:r>
                <w:rPr>
                  <w:noProof/>
                </w:rPr>
                <w:t xml:space="preserve">Smith, 2019. </w:t>
              </w:r>
              <w:r>
                <w:rPr>
                  <w:i/>
                  <w:iCs/>
                  <w:noProof/>
                </w:rPr>
                <w:t xml:space="preserve">The Law of Homicide in England and Wales. </w:t>
              </w:r>
              <w:r>
                <w:rPr>
                  <w:noProof/>
                </w:rPr>
                <w:t>s.l.:Legal Publishing House..</w:t>
              </w:r>
            </w:p>
            <w:p w14:paraId="1F7C40F0" w14:textId="203A7D34" w:rsidR="00FE566A" w:rsidRDefault="00FE566A" w:rsidP="00FE566A">
              <w:r>
                <w:rPr>
                  <w:b/>
                  <w:bCs/>
                  <w:noProof/>
                </w:rPr>
                <w:fldChar w:fldCharType="end"/>
              </w:r>
            </w:p>
          </w:sdtContent>
        </w:sdt>
      </w:sdtContent>
    </w:sdt>
    <w:sdt>
      <w:sdtPr>
        <w:id w:val="-269552260"/>
        <w:docPartObj>
          <w:docPartGallery w:val="Bibliographies"/>
          <w:docPartUnique/>
        </w:docPartObj>
      </w:sdtPr>
      <w:sdtEndPr>
        <w:rPr>
          <w:rFonts w:asciiTheme="minorHAnsi" w:eastAsiaTheme="minorHAnsi" w:hAnsiTheme="minorHAnsi" w:cstheme="minorBidi"/>
          <w:color w:val="auto"/>
          <w:sz w:val="22"/>
          <w:szCs w:val="22"/>
        </w:rPr>
      </w:sdtEndPr>
      <w:sdtContent>
        <w:p w14:paraId="21372BC6" w14:textId="295333D3" w:rsidR="00D80060" w:rsidRDefault="00D80060">
          <w:pPr>
            <w:pStyle w:val="Heading1"/>
          </w:pPr>
          <w:r>
            <w:t>References</w:t>
          </w:r>
        </w:p>
        <w:sdt>
          <w:sdtPr>
            <w:id w:val="-573587230"/>
            <w:bibliography/>
          </w:sdtPr>
          <w:sdtContent>
            <w:p w14:paraId="66D64661" w14:textId="77777777" w:rsidR="00D80060" w:rsidRDefault="00D80060" w:rsidP="00D80060">
              <w:pPr>
                <w:pStyle w:val="Bibliography"/>
                <w:rPr>
                  <w:noProof/>
                  <w:sz w:val="24"/>
                  <w:szCs w:val="24"/>
                </w:rPr>
              </w:pPr>
              <w:r>
                <w:fldChar w:fldCharType="begin"/>
              </w:r>
              <w:r>
                <w:instrText xml:space="preserve"> BIBLIOGRAPHY </w:instrText>
              </w:r>
              <w:r>
                <w:fldChar w:fldCharType="separate"/>
              </w:r>
              <w:r>
                <w:rPr>
                  <w:noProof/>
                </w:rPr>
                <w:t xml:space="preserve">Anon., Law Commission 2005,. </w:t>
              </w:r>
              <w:r>
                <w:rPr>
                  <w:i/>
                  <w:iCs/>
                  <w:noProof/>
                </w:rPr>
                <w:t xml:space="preserve">Reforming Homicide Laws: Report No. 123, </w:t>
              </w:r>
              <w:r>
                <w:rPr>
                  <w:noProof/>
                </w:rPr>
                <w:t>s.l.: Her Majesty's Stationery Office..</w:t>
              </w:r>
            </w:p>
            <w:p w14:paraId="4556E4DC" w14:textId="77777777" w:rsidR="00D80060" w:rsidRDefault="00D80060" w:rsidP="00D80060">
              <w:pPr>
                <w:pStyle w:val="Bibliography"/>
                <w:rPr>
                  <w:noProof/>
                </w:rPr>
              </w:pPr>
              <w:r>
                <w:rPr>
                  <w:noProof/>
                </w:rPr>
                <w:t xml:space="preserve">commission, U. L., n.d. </w:t>
              </w:r>
              <w:r>
                <w:rPr>
                  <w:i/>
                  <w:iCs/>
                  <w:noProof/>
                </w:rPr>
                <w:t xml:space="preserve">https://www.lawcom.gov.uk/app/uploads/2015/03/cp177_Murder_Manslaughter_and_Infanticide_consultation_overview_.pdf. </w:t>
              </w:r>
              <w:r>
                <w:rPr>
                  <w:noProof/>
                </w:rPr>
                <w:t xml:space="preserve">[Online] </w:t>
              </w:r>
              <w:r>
                <w:rPr>
                  <w:noProof/>
                </w:rPr>
                <w:br/>
                <w:t xml:space="preserve">Available at: </w:t>
              </w:r>
              <w:r>
                <w:rPr>
                  <w:noProof/>
                  <w:u w:val="single"/>
                </w:rPr>
                <w:t>https://www.lawcom.gov.uk/app/uploads/2015/03/cp177_Murder_Manslaughter_and_Infanticide_consultation_overview_.pdf</w:t>
              </w:r>
            </w:p>
            <w:p w14:paraId="31969BCC" w14:textId="77777777" w:rsidR="00D80060" w:rsidRDefault="00D80060" w:rsidP="00D80060">
              <w:pPr>
                <w:pStyle w:val="Bibliography"/>
                <w:rPr>
                  <w:noProof/>
                </w:rPr>
              </w:pPr>
              <w:r>
                <w:rPr>
                  <w:noProof/>
                </w:rPr>
                <w:t>Johnson, M. &amp;. B. L., 2021. Reforming Homicide Laws in England and Wales. Volume Criminal Law Review, vol. 45(3), pp. pp. 215-230..</w:t>
              </w:r>
            </w:p>
            <w:p w14:paraId="79E3ACB5" w14:textId="77777777" w:rsidR="00D80060" w:rsidRDefault="00D80060" w:rsidP="00D80060">
              <w:pPr>
                <w:pStyle w:val="Bibliography"/>
                <w:rPr>
                  <w:noProof/>
                </w:rPr>
              </w:pPr>
              <w:r>
                <w:rPr>
                  <w:noProof/>
                </w:rPr>
                <w:t xml:space="preserve">Smith, 2019. </w:t>
              </w:r>
              <w:r>
                <w:rPr>
                  <w:i/>
                  <w:iCs/>
                  <w:noProof/>
                </w:rPr>
                <w:t xml:space="preserve">The Law of Homicide in England and Wales. </w:t>
              </w:r>
              <w:r>
                <w:rPr>
                  <w:noProof/>
                </w:rPr>
                <w:t>s.l.:Legal Publishing House..</w:t>
              </w:r>
            </w:p>
            <w:p w14:paraId="5C970D17" w14:textId="0CB22572" w:rsidR="00D80060" w:rsidRDefault="00D80060" w:rsidP="00D80060">
              <w:r>
                <w:rPr>
                  <w:b/>
                  <w:bCs/>
                  <w:noProof/>
                </w:rPr>
                <w:fldChar w:fldCharType="end"/>
              </w:r>
            </w:p>
          </w:sdtContent>
        </w:sdt>
      </w:sdtContent>
    </w:sdt>
    <w:p w14:paraId="0FCB8CED" w14:textId="77777777" w:rsidR="000C772B" w:rsidRPr="00AF68DE" w:rsidRDefault="000C772B" w:rsidP="00AF68DE">
      <w:pPr>
        <w:rPr>
          <w:rFonts w:asciiTheme="majorBidi" w:hAnsiTheme="majorBidi" w:cstheme="majorBidi"/>
          <w:sz w:val="32"/>
          <w:szCs w:val="32"/>
          <w:lang w:val="en-GB"/>
        </w:rPr>
      </w:pPr>
    </w:p>
    <w:sectPr w:rsidR="000C772B" w:rsidRPr="00AF68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9F247EB"/>
    <w:multiLevelType w:val="hybridMultilevel"/>
    <w:tmpl w:val="3C9A44D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634054E"/>
    <w:multiLevelType w:val="hybridMultilevel"/>
    <w:tmpl w:val="E4564B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7E627E"/>
    <w:multiLevelType w:val="hybridMultilevel"/>
    <w:tmpl w:val="3552D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20970C5"/>
    <w:multiLevelType w:val="hybridMultilevel"/>
    <w:tmpl w:val="E00AA3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55F1491"/>
    <w:multiLevelType w:val="hybridMultilevel"/>
    <w:tmpl w:val="CF9ADC56"/>
    <w:lvl w:ilvl="0" w:tplc="838C07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B8D13CA"/>
    <w:multiLevelType w:val="hybridMultilevel"/>
    <w:tmpl w:val="AD7C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4"/>
  </w:num>
  <w:num w:numId="2">
    <w:abstractNumId w:val="13"/>
  </w:num>
  <w:num w:numId="3">
    <w:abstractNumId w:val="10"/>
  </w:num>
  <w:num w:numId="4">
    <w:abstractNumId w:val="26"/>
  </w:num>
  <w:num w:numId="5">
    <w:abstractNumId w:val="14"/>
  </w:num>
  <w:num w:numId="6">
    <w:abstractNumId w:val="20"/>
  </w:num>
  <w:num w:numId="7">
    <w:abstractNumId w:val="23"/>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8"/>
  </w:num>
  <w:num w:numId="19">
    <w:abstractNumId w:val="19"/>
  </w:num>
  <w:num w:numId="20">
    <w:abstractNumId w:val="25"/>
  </w:num>
  <w:num w:numId="21">
    <w:abstractNumId w:val="21"/>
  </w:num>
  <w:num w:numId="22">
    <w:abstractNumId w:val="11"/>
  </w:num>
  <w:num w:numId="23">
    <w:abstractNumId w:val="28"/>
  </w:num>
  <w:num w:numId="24">
    <w:abstractNumId w:val="27"/>
  </w:num>
  <w:num w:numId="25">
    <w:abstractNumId w:val="12"/>
  </w:num>
  <w:num w:numId="26">
    <w:abstractNumId w:val="15"/>
  </w:num>
  <w:num w:numId="27">
    <w:abstractNumId w:val="22"/>
  </w:num>
  <w:num w:numId="28">
    <w:abstractNumId w:val="17"/>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grammar="clean"/>
  <w:attachedTemplate r:id="rId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E47"/>
    <w:rsid w:val="00081824"/>
    <w:rsid w:val="000C772B"/>
    <w:rsid w:val="001B1E47"/>
    <w:rsid w:val="001B5B37"/>
    <w:rsid w:val="002A55C0"/>
    <w:rsid w:val="004B730F"/>
    <w:rsid w:val="0054703D"/>
    <w:rsid w:val="00593647"/>
    <w:rsid w:val="005C261C"/>
    <w:rsid w:val="00645252"/>
    <w:rsid w:val="006C2022"/>
    <w:rsid w:val="006D3D74"/>
    <w:rsid w:val="00716082"/>
    <w:rsid w:val="00722CDE"/>
    <w:rsid w:val="00747C61"/>
    <w:rsid w:val="0079510D"/>
    <w:rsid w:val="0083569A"/>
    <w:rsid w:val="00901329"/>
    <w:rsid w:val="00921BE1"/>
    <w:rsid w:val="0095061D"/>
    <w:rsid w:val="00995C7B"/>
    <w:rsid w:val="00A9204E"/>
    <w:rsid w:val="00AF68DE"/>
    <w:rsid w:val="00B124FE"/>
    <w:rsid w:val="00C03FCD"/>
    <w:rsid w:val="00C1439B"/>
    <w:rsid w:val="00C637A6"/>
    <w:rsid w:val="00D80060"/>
    <w:rsid w:val="00D95F0A"/>
    <w:rsid w:val="00ED1B04"/>
    <w:rsid w:val="00F472ED"/>
    <w:rsid w:val="00FE56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B24E7"/>
  <w15:chartTrackingRefBased/>
  <w15:docId w15:val="{706FC7F7-6B11-4F63-B12A-E41C41C21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722CDE"/>
    <w:pPr>
      <w:ind w:left="720"/>
      <w:contextualSpacing/>
    </w:pPr>
  </w:style>
  <w:style w:type="paragraph" w:styleId="Bibliography">
    <w:name w:val="Bibliography"/>
    <w:basedOn w:val="Normal"/>
    <w:next w:val="Normal"/>
    <w:uiPriority w:val="37"/>
    <w:unhideWhenUsed/>
    <w:rsid w:val="000C77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40948">
      <w:bodyDiv w:val="1"/>
      <w:marLeft w:val="0"/>
      <w:marRight w:val="0"/>
      <w:marTop w:val="0"/>
      <w:marBottom w:val="0"/>
      <w:divBdr>
        <w:top w:val="none" w:sz="0" w:space="0" w:color="auto"/>
        <w:left w:val="none" w:sz="0" w:space="0" w:color="auto"/>
        <w:bottom w:val="none" w:sz="0" w:space="0" w:color="auto"/>
        <w:right w:val="none" w:sz="0" w:space="0" w:color="auto"/>
      </w:divBdr>
    </w:div>
    <w:div w:id="118492847">
      <w:bodyDiv w:val="1"/>
      <w:marLeft w:val="0"/>
      <w:marRight w:val="0"/>
      <w:marTop w:val="0"/>
      <w:marBottom w:val="0"/>
      <w:divBdr>
        <w:top w:val="none" w:sz="0" w:space="0" w:color="auto"/>
        <w:left w:val="none" w:sz="0" w:space="0" w:color="auto"/>
        <w:bottom w:val="none" w:sz="0" w:space="0" w:color="auto"/>
        <w:right w:val="none" w:sz="0" w:space="0" w:color="auto"/>
      </w:divBdr>
    </w:div>
    <w:div w:id="120155040">
      <w:bodyDiv w:val="1"/>
      <w:marLeft w:val="0"/>
      <w:marRight w:val="0"/>
      <w:marTop w:val="0"/>
      <w:marBottom w:val="0"/>
      <w:divBdr>
        <w:top w:val="none" w:sz="0" w:space="0" w:color="auto"/>
        <w:left w:val="none" w:sz="0" w:space="0" w:color="auto"/>
        <w:bottom w:val="none" w:sz="0" w:space="0" w:color="auto"/>
        <w:right w:val="none" w:sz="0" w:space="0" w:color="auto"/>
      </w:divBdr>
    </w:div>
    <w:div w:id="702368222">
      <w:bodyDiv w:val="1"/>
      <w:marLeft w:val="0"/>
      <w:marRight w:val="0"/>
      <w:marTop w:val="0"/>
      <w:marBottom w:val="0"/>
      <w:divBdr>
        <w:top w:val="none" w:sz="0" w:space="0" w:color="auto"/>
        <w:left w:val="none" w:sz="0" w:space="0" w:color="auto"/>
        <w:bottom w:val="none" w:sz="0" w:space="0" w:color="auto"/>
        <w:right w:val="none" w:sz="0" w:space="0" w:color="auto"/>
      </w:divBdr>
    </w:div>
    <w:div w:id="761074059">
      <w:bodyDiv w:val="1"/>
      <w:marLeft w:val="0"/>
      <w:marRight w:val="0"/>
      <w:marTop w:val="0"/>
      <w:marBottom w:val="0"/>
      <w:divBdr>
        <w:top w:val="none" w:sz="0" w:space="0" w:color="auto"/>
        <w:left w:val="none" w:sz="0" w:space="0" w:color="auto"/>
        <w:bottom w:val="none" w:sz="0" w:space="0" w:color="auto"/>
        <w:right w:val="none" w:sz="0" w:space="0" w:color="auto"/>
      </w:divBdr>
    </w:div>
    <w:div w:id="779181497">
      <w:bodyDiv w:val="1"/>
      <w:marLeft w:val="0"/>
      <w:marRight w:val="0"/>
      <w:marTop w:val="0"/>
      <w:marBottom w:val="0"/>
      <w:divBdr>
        <w:top w:val="none" w:sz="0" w:space="0" w:color="auto"/>
        <w:left w:val="none" w:sz="0" w:space="0" w:color="auto"/>
        <w:bottom w:val="none" w:sz="0" w:space="0" w:color="auto"/>
        <w:right w:val="none" w:sz="0" w:space="0" w:color="auto"/>
      </w:divBdr>
    </w:div>
    <w:div w:id="871111475">
      <w:bodyDiv w:val="1"/>
      <w:marLeft w:val="0"/>
      <w:marRight w:val="0"/>
      <w:marTop w:val="0"/>
      <w:marBottom w:val="0"/>
      <w:divBdr>
        <w:top w:val="none" w:sz="0" w:space="0" w:color="auto"/>
        <w:left w:val="none" w:sz="0" w:space="0" w:color="auto"/>
        <w:bottom w:val="none" w:sz="0" w:space="0" w:color="auto"/>
        <w:right w:val="none" w:sz="0" w:space="0" w:color="auto"/>
      </w:divBdr>
    </w:div>
    <w:div w:id="1355418228">
      <w:bodyDiv w:val="1"/>
      <w:marLeft w:val="0"/>
      <w:marRight w:val="0"/>
      <w:marTop w:val="0"/>
      <w:marBottom w:val="0"/>
      <w:divBdr>
        <w:top w:val="none" w:sz="0" w:space="0" w:color="auto"/>
        <w:left w:val="none" w:sz="0" w:space="0" w:color="auto"/>
        <w:bottom w:val="none" w:sz="0" w:space="0" w:color="auto"/>
        <w:right w:val="none" w:sz="0" w:space="0" w:color="auto"/>
      </w:divBdr>
    </w:div>
    <w:div w:id="1436292725">
      <w:bodyDiv w:val="1"/>
      <w:marLeft w:val="0"/>
      <w:marRight w:val="0"/>
      <w:marTop w:val="0"/>
      <w:marBottom w:val="0"/>
      <w:divBdr>
        <w:top w:val="none" w:sz="0" w:space="0" w:color="auto"/>
        <w:left w:val="none" w:sz="0" w:space="0" w:color="auto"/>
        <w:bottom w:val="none" w:sz="0" w:space="0" w:color="auto"/>
        <w:right w:val="none" w:sz="0" w:space="0" w:color="auto"/>
      </w:divBdr>
    </w:div>
    <w:div w:id="1506744790">
      <w:bodyDiv w:val="1"/>
      <w:marLeft w:val="0"/>
      <w:marRight w:val="0"/>
      <w:marTop w:val="0"/>
      <w:marBottom w:val="0"/>
      <w:divBdr>
        <w:top w:val="none" w:sz="0" w:space="0" w:color="auto"/>
        <w:left w:val="none" w:sz="0" w:space="0" w:color="auto"/>
        <w:bottom w:val="none" w:sz="0" w:space="0" w:color="auto"/>
        <w:right w:val="none" w:sz="0" w:space="0" w:color="auto"/>
      </w:divBdr>
    </w:div>
    <w:div w:id="1592157231">
      <w:bodyDiv w:val="1"/>
      <w:marLeft w:val="0"/>
      <w:marRight w:val="0"/>
      <w:marTop w:val="0"/>
      <w:marBottom w:val="0"/>
      <w:divBdr>
        <w:top w:val="none" w:sz="0" w:space="0" w:color="auto"/>
        <w:left w:val="none" w:sz="0" w:space="0" w:color="auto"/>
        <w:bottom w:val="none" w:sz="0" w:space="0" w:color="auto"/>
        <w:right w:val="none" w:sz="0" w:space="0" w:color="auto"/>
      </w:divBdr>
    </w:div>
    <w:div w:id="1769959671">
      <w:bodyDiv w:val="1"/>
      <w:marLeft w:val="0"/>
      <w:marRight w:val="0"/>
      <w:marTop w:val="0"/>
      <w:marBottom w:val="0"/>
      <w:divBdr>
        <w:top w:val="none" w:sz="0" w:space="0" w:color="auto"/>
        <w:left w:val="none" w:sz="0" w:space="0" w:color="auto"/>
        <w:bottom w:val="none" w:sz="0" w:space="0" w:color="auto"/>
        <w:right w:val="none" w:sz="0" w:space="0" w:color="auto"/>
      </w:divBdr>
    </w:div>
    <w:div w:id="1807241274">
      <w:bodyDiv w:val="1"/>
      <w:marLeft w:val="0"/>
      <w:marRight w:val="0"/>
      <w:marTop w:val="0"/>
      <w:marBottom w:val="0"/>
      <w:divBdr>
        <w:top w:val="none" w:sz="0" w:space="0" w:color="auto"/>
        <w:left w:val="none" w:sz="0" w:space="0" w:color="auto"/>
        <w:bottom w:val="none" w:sz="0" w:space="0" w:color="auto"/>
        <w:right w:val="none" w:sz="0" w:space="0" w:color="auto"/>
      </w:divBdr>
    </w:div>
    <w:div w:id="2011787849">
      <w:bodyDiv w:val="1"/>
      <w:marLeft w:val="0"/>
      <w:marRight w:val="0"/>
      <w:marTop w:val="0"/>
      <w:marBottom w:val="0"/>
      <w:divBdr>
        <w:top w:val="none" w:sz="0" w:space="0" w:color="auto"/>
        <w:left w:val="none" w:sz="0" w:space="0" w:color="auto"/>
        <w:bottom w:val="none" w:sz="0" w:space="0" w:color="auto"/>
        <w:right w:val="none" w:sz="0" w:space="0" w:color="auto"/>
      </w:divBdr>
    </w:div>
    <w:div w:id="2060125151">
      <w:bodyDiv w:val="1"/>
      <w:marLeft w:val="0"/>
      <w:marRight w:val="0"/>
      <w:marTop w:val="0"/>
      <w:marBottom w:val="0"/>
      <w:divBdr>
        <w:top w:val="none" w:sz="0" w:space="0" w:color="auto"/>
        <w:left w:val="none" w:sz="0" w:space="0" w:color="auto"/>
        <w:bottom w:val="none" w:sz="0" w:space="0" w:color="auto"/>
        <w:right w:val="none" w:sz="0" w:space="0" w:color="auto"/>
      </w:divBdr>
    </w:div>
    <w:div w:id="2094164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houri\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UKL</b:Tag>
    <b:SourceType>DocumentFromInternetSite</b:SourceType>
    <b:Guid>{BEA8735E-DF66-41B2-B051-5655661226FD}</b:Guid>
    <b:Title>https://www.lawcom.gov.uk/app/uploads/2015/03/cp177_Murder_Manslaughter_and_Infanticide_consultation_overview_.pdf</b:Title>
    <b:URL>https://www.lawcom.gov.uk/app/uploads/2015/03/cp177_Murder_Manslaughter_and_Infanticide_consultation_overview_.pdf</b:URL>
    <b:InternetSiteTitle>lawcom.gov.uk</b:InternetSiteTitle>
    <b:Author>
      <b:Author>
        <b:NameList>
          <b:Person>
            <b:Last>commission</b:Last>
            <b:First>UK</b:First>
            <b:Middle>LAW</b:Middle>
          </b:Person>
        </b:NameList>
      </b:Author>
    </b:Author>
    <b:RefOrder>1</b:RefOrder>
  </b:Source>
  <b:Source>
    <b:Tag>Smi19</b:Tag>
    <b:SourceType>Book</b:SourceType>
    <b:Guid>{4242DD05-CCC5-4FF3-92FA-263B45326249}</b:Guid>
    <b:Title>The Law of Homicide in England and Wales</b:Title>
    <b:Year>2019</b:Year>
    <b:Author>
      <b:Author>
        <b:NameList>
          <b:Person>
            <b:Last>Smith</b:Last>
          </b:Person>
        </b:NameList>
      </b:Author>
    </b:Author>
    <b:Publisher>Legal Publishing House.</b:Publisher>
    <b:RefOrder>4</b:RefOrder>
  </b:Source>
  <b:Source>
    <b:Tag>Joh21</b:Tag>
    <b:SourceType>JournalArticle</b:SourceType>
    <b:Guid>{B1016EB5-9A8B-4EC0-AF56-0748ED8C353A}</b:Guid>
    <b:Title>Reforming Homicide Laws in England and Wales</b:Title>
    <b:Year>2021</b:Year>
    <b:Author>
      <b:Author>
        <b:NameList>
          <b:Person>
            <b:Last>Johnson</b:Last>
            <b:First>M.</b:First>
            <b:Middle>&amp; Brown, L.</b:Middle>
          </b:Person>
        </b:NameList>
      </b:Author>
    </b:Author>
    <b:Pages>pp. 215-230.</b:Pages>
    <b:Volume>Criminal Law Review, vol. 45(3)</b:Volume>
    <b:RefOrder>3</b:RefOrder>
  </b:Source>
  <b:Source>
    <b:Tag>Ref05</b:Tag>
    <b:SourceType>Report</b:SourceType>
    <b:Guid>{06C6088A-E221-4412-944C-F38CEA611731}</b:Guid>
    <b:Title>Reforming Homicide Laws: Report No. 123</b:Title>
    <b:Year>Law Commission 2005,</b:Year>
    <b:Publisher>Her Majesty's Stationery Office.</b:Publisher>
    <b:RefOrder>2</b:RefOrder>
  </b:Source>
</b:Sources>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80B2502B-FA76-4377-B8DB-834C22056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235</TotalTime>
  <Pages>6</Pages>
  <Words>1648</Words>
  <Characters>9400</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&lt;Bibliography</vt:lpstr>
      <vt:lpstr>&lt;References</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Qurratulayn Khan</cp:lastModifiedBy>
  <cp:revision>18</cp:revision>
  <dcterms:created xsi:type="dcterms:W3CDTF">2023-07-21T17:20:00Z</dcterms:created>
  <dcterms:modified xsi:type="dcterms:W3CDTF">2023-07-23T10:31:00Z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GrammarlyDocumentId">
    <vt:lpwstr>dcba022f-ab8b-4b2e-a8e9-d0900ecbb70a</vt:lpwstr>
  </property>
</Properties>
</file>