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49153C" w14:textId="77777777" w:rsidR="008D627F" w:rsidRPr="003E2808" w:rsidRDefault="00BD79A7" w:rsidP="00BF1C74">
      <w:pPr>
        <w:spacing w:line="360" w:lineRule="auto"/>
        <w:jc w:val="center"/>
        <w:rPr>
          <w:rFonts w:ascii="Arial" w:hAnsi="Arial" w:cs="Arial"/>
          <w:b/>
          <w:bCs/>
          <w:sz w:val="36"/>
          <w:szCs w:val="36"/>
        </w:rPr>
      </w:pPr>
      <w:r w:rsidRPr="003E2808">
        <w:rPr>
          <w:rFonts w:ascii="Arial" w:hAnsi="Arial" w:cs="Arial"/>
          <w:b/>
          <w:bCs/>
          <w:noProof/>
          <w:sz w:val="36"/>
          <w:szCs w:val="36"/>
        </w:rPr>
        <w:drawing>
          <wp:inline distT="114300" distB="114300" distL="114300" distR="114300" wp14:anchorId="2B735229" wp14:editId="4C5BDC1F">
            <wp:extent cx="195072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8"/>
                    <a:srcRect r="67180"/>
                    <a:stretch>
                      <a:fillRect/>
                    </a:stretch>
                  </pic:blipFill>
                  <pic:spPr bwMode="auto">
                    <a:xfrm>
                      <a:off x="0" y="0"/>
                      <a:ext cx="1950720" cy="723900"/>
                    </a:xfrm>
                    <a:prstGeom prst="rect">
                      <a:avLst/>
                    </a:prstGeom>
                    <a:ln>
                      <a:noFill/>
                    </a:ln>
                    <a:extLst>
                      <a:ext uri="{53640926-AAD7-44D8-BBD7-CCE9431645EC}">
                        <a14:shadowObscured xmlns:a14="http://schemas.microsoft.com/office/drawing/2010/main"/>
                      </a:ext>
                    </a:extLst>
                  </pic:spPr>
                </pic:pic>
              </a:graphicData>
            </a:graphic>
          </wp:inline>
        </w:drawing>
      </w:r>
    </w:p>
    <w:p w14:paraId="28C07C3C" w14:textId="77777777" w:rsidR="008D627F" w:rsidRPr="003E2808" w:rsidRDefault="008D627F" w:rsidP="00BF1C74">
      <w:pPr>
        <w:spacing w:line="360" w:lineRule="auto"/>
        <w:jc w:val="center"/>
        <w:rPr>
          <w:rFonts w:ascii="Arial" w:hAnsi="Arial" w:cs="Arial"/>
          <w:b/>
          <w:bCs/>
          <w:sz w:val="36"/>
          <w:szCs w:val="36"/>
        </w:rPr>
      </w:pPr>
    </w:p>
    <w:p w14:paraId="7B6AD0AD" w14:textId="77777777" w:rsidR="008D627F" w:rsidRPr="003E2808" w:rsidRDefault="008D627F" w:rsidP="00BF1C74">
      <w:pPr>
        <w:spacing w:line="360" w:lineRule="auto"/>
        <w:jc w:val="center"/>
        <w:rPr>
          <w:rFonts w:ascii="Arial" w:hAnsi="Arial" w:cs="Arial"/>
          <w:b/>
          <w:bCs/>
          <w:sz w:val="36"/>
          <w:szCs w:val="36"/>
        </w:rPr>
      </w:pPr>
    </w:p>
    <w:p w14:paraId="0A9F1D02" w14:textId="77777777" w:rsidR="00A029CA" w:rsidRPr="003E2808" w:rsidRDefault="00A029CA" w:rsidP="00BF1C74">
      <w:pPr>
        <w:spacing w:line="360" w:lineRule="auto"/>
        <w:jc w:val="center"/>
        <w:rPr>
          <w:rFonts w:ascii="Arial" w:hAnsi="Arial" w:cs="Arial"/>
          <w:b/>
          <w:bCs/>
          <w:sz w:val="36"/>
          <w:szCs w:val="36"/>
        </w:rPr>
      </w:pPr>
    </w:p>
    <w:p w14:paraId="4D3317EF" w14:textId="77777777" w:rsidR="00A029CA" w:rsidRPr="003E2808" w:rsidRDefault="00A029CA" w:rsidP="00BF1C74">
      <w:pPr>
        <w:spacing w:line="360" w:lineRule="auto"/>
        <w:jc w:val="center"/>
        <w:rPr>
          <w:rFonts w:ascii="Arial" w:hAnsi="Arial" w:cs="Arial"/>
          <w:b/>
          <w:bCs/>
          <w:sz w:val="36"/>
          <w:szCs w:val="36"/>
        </w:rPr>
      </w:pPr>
    </w:p>
    <w:p w14:paraId="4BD4769B" w14:textId="15287C3E" w:rsidR="008D627F" w:rsidRPr="003E2808" w:rsidRDefault="00BD79A7" w:rsidP="00BF1C74">
      <w:pPr>
        <w:spacing w:line="360" w:lineRule="auto"/>
        <w:jc w:val="center"/>
        <w:rPr>
          <w:rFonts w:ascii="Arial" w:hAnsi="Arial" w:cs="Arial"/>
          <w:b/>
          <w:bCs/>
          <w:sz w:val="36"/>
          <w:szCs w:val="36"/>
        </w:rPr>
      </w:pPr>
      <w:r w:rsidRPr="003E2808">
        <w:rPr>
          <w:rFonts w:ascii="Arial" w:hAnsi="Arial" w:cs="Arial"/>
          <w:b/>
          <w:bCs/>
          <w:sz w:val="36"/>
          <w:szCs w:val="36"/>
        </w:rPr>
        <w:t>Module Code: BMHP5016</w:t>
      </w:r>
    </w:p>
    <w:p w14:paraId="30D6F898" w14:textId="77777777" w:rsidR="008D627F" w:rsidRPr="003E2808" w:rsidRDefault="00BD79A7" w:rsidP="00BF1C74">
      <w:pPr>
        <w:spacing w:line="360" w:lineRule="auto"/>
        <w:jc w:val="center"/>
        <w:rPr>
          <w:rFonts w:ascii="Arial" w:hAnsi="Arial" w:cs="Arial"/>
          <w:b/>
          <w:bCs/>
          <w:sz w:val="36"/>
          <w:szCs w:val="36"/>
        </w:rPr>
      </w:pPr>
      <w:r w:rsidRPr="003E2808">
        <w:rPr>
          <w:rFonts w:ascii="Arial" w:hAnsi="Arial" w:cs="Arial"/>
          <w:b/>
          <w:bCs/>
          <w:sz w:val="36"/>
          <w:szCs w:val="36"/>
        </w:rPr>
        <w:t>Module Name: Principles of Health and Social Care Practice</w:t>
      </w:r>
    </w:p>
    <w:p w14:paraId="420BA25B" w14:textId="58FA5022" w:rsidR="008D627F" w:rsidRPr="003E2808" w:rsidRDefault="00BD79A7" w:rsidP="00BF1C74">
      <w:pPr>
        <w:spacing w:line="360" w:lineRule="auto"/>
        <w:jc w:val="center"/>
        <w:rPr>
          <w:rFonts w:ascii="Arial" w:hAnsi="Arial" w:cs="Arial"/>
          <w:b/>
          <w:bCs/>
          <w:sz w:val="36"/>
          <w:szCs w:val="36"/>
        </w:rPr>
      </w:pPr>
      <w:r w:rsidRPr="003E2808">
        <w:rPr>
          <w:rFonts w:ascii="Arial" w:hAnsi="Arial" w:cs="Arial"/>
          <w:b/>
          <w:bCs/>
          <w:sz w:val="36"/>
          <w:szCs w:val="36"/>
        </w:rPr>
        <w:t>Assignment Title: Component 2: Written Assignment</w:t>
      </w:r>
      <w:r w:rsidR="000A5E24" w:rsidRPr="003E2808">
        <w:rPr>
          <w:rFonts w:ascii="Arial" w:hAnsi="Arial" w:cs="Arial"/>
          <w:b/>
          <w:bCs/>
          <w:sz w:val="36"/>
          <w:szCs w:val="36"/>
        </w:rPr>
        <w:t xml:space="preserve"> (Report)</w:t>
      </w:r>
    </w:p>
    <w:p w14:paraId="53604D4E" w14:textId="2B38793D" w:rsidR="008D627F" w:rsidRPr="003E2808" w:rsidRDefault="00BD79A7" w:rsidP="00BF1C74">
      <w:pPr>
        <w:spacing w:line="360" w:lineRule="auto"/>
        <w:jc w:val="center"/>
        <w:rPr>
          <w:rFonts w:ascii="Arial" w:hAnsi="Arial" w:cs="Arial"/>
          <w:b/>
          <w:bCs/>
          <w:sz w:val="28"/>
          <w:szCs w:val="28"/>
        </w:rPr>
      </w:pPr>
      <w:r w:rsidRPr="003E2808">
        <w:rPr>
          <w:rFonts w:ascii="Arial" w:hAnsi="Arial" w:cs="Arial"/>
          <w:b/>
          <w:bCs/>
          <w:sz w:val="28"/>
          <w:szCs w:val="28"/>
        </w:rPr>
        <w:t xml:space="preserve">Student Name: </w:t>
      </w:r>
      <w:r w:rsidR="00AB3342">
        <w:rPr>
          <w:rFonts w:ascii="Arial" w:hAnsi="Arial" w:cs="Arial"/>
          <w:b/>
          <w:bCs/>
          <w:sz w:val="28"/>
          <w:szCs w:val="28"/>
        </w:rPr>
        <w:t xml:space="preserve">Daniela Apetrei </w:t>
      </w:r>
    </w:p>
    <w:p w14:paraId="308297C8" w14:textId="4F932FAA" w:rsidR="008D627F" w:rsidRPr="003E2808" w:rsidRDefault="00BD79A7" w:rsidP="00BF1C74">
      <w:pPr>
        <w:spacing w:line="360" w:lineRule="auto"/>
        <w:jc w:val="center"/>
        <w:rPr>
          <w:rFonts w:ascii="Arial" w:hAnsi="Arial" w:cs="Arial"/>
          <w:b/>
          <w:bCs/>
          <w:sz w:val="28"/>
          <w:szCs w:val="28"/>
        </w:rPr>
      </w:pPr>
      <w:r w:rsidRPr="003E2808">
        <w:rPr>
          <w:rFonts w:ascii="Arial" w:hAnsi="Arial" w:cs="Arial"/>
          <w:b/>
          <w:bCs/>
          <w:sz w:val="28"/>
          <w:szCs w:val="28"/>
        </w:rPr>
        <w:t xml:space="preserve">Student ID: </w:t>
      </w:r>
      <w:r w:rsidR="005A178D">
        <w:rPr>
          <w:rFonts w:ascii="Arial" w:hAnsi="Arial" w:cs="Arial"/>
          <w:b/>
          <w:bCs/>
          <w:sz w:val="28"/>
          <w:szCs w:val="28"/>
        </w:rPr>
        <w:t>2016</w:t>
      </w:r>
      <w:r w:rsidR="007464FC">
        <w:rPr>
          <w:rFonts w:ascii="Arial" w:hAnsi="Arial" w:cs="Arial"/>
          <w:b/>
          <w:bCs/>
          <w:sz w:val="28"/>
          <w:szCs w:val="28"/>
        </w:rPr>
        <w:t>760</w:t>
      </w:r>
    </w:p>
    <w:p w14:paraId="1D05A375" w14:textId="77777777" w:rsidR="008D627F" w:rsidRPr="003E2808" w:rsidRDefault="008D627F" w:rsidP="00BF1C74">
      <w:pPr>
        <w:spacing w:line="360" w:lineRule="auto"/>
        <w:jc w:val="center"/>
        <w:rPr>
          <w:rFonts w:ascii="Arial" w:hAnsi="Arial" w:cs="Arial"/>
          <w:b/>
          <w:bCs/>
        </w:rPr>
      </w:pPr>
    </w:p>
    <w:p w14:paraId="7C5C8423" w14:textId="77777777" w:rsidR="008D627F" w:rsidRPr="003E2808" w:rsidRDefault="00BD79A7" w:rsidP="00BF1C74">
      <w:pPr>
        <w:spacing w:line="360" w:lineRule="auto"/>
        <w:jc w:val="center"/>
        <w:rPr>
          <w:rFonts w:ascii="Arial" w:hAnsi="Arial" w:cs="Arial"/>
          <w:b/>
          <w:bCs/>
        </w:rPr>
      </w:pPr>
      <w:r w:rsidRPr="003E2808">
        <w:rPr>
          <w:rFonts w:ascii="Arial" w:hAnsi="Arial" w:cs="Arial"/>
        </w:rPr>
        <w:br w:type="page"/>
      </w:r>
    </w:p>
    <w:p w14:paraId="04461B3E" w14:textId="36C1F00D" w:rsidR="008D627F" w:rsidRPr="003E2808" w:rsidRDefault="00BD79A7" w:rsidP="00BF1C74">
      <w:pPr>
        <w:spacing w:line="360" w:lineRule="auto"/>
        <w:jc w:val="center"/>
        <w:rPr>
          <w:rFonts w:ascii="Arial" w:hAnsi="Arial" w:cs="Arial"/>
          <w:sz w:val="22"/>
          <w:szCs w:val="22"/>
        </w:rPr>
      </w:pPr>
      <w:r w:rsidRPr="003E2808">
        <w:rPr>
          <w:rFonts w:ascii="Arial" w:hAnsi="Arial" w:cs="Arial"/>
          <w:b/>
          <w:bCs/>
          <w:sz w:val="22"/>
          <w:szCs w:val="22"/>
        </w:rPr>
        <w:t>Executive Summary</w:t>
      </w:r>
    </w:p>
    <w:p w14:paraId="4EE0CD5E" w14:textId="53CDD907" w:rsidR="00303B4F"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Person-Centered Care helps improve the recovery of patients by providing autonomy on taking health-care related decisions. The significance of person-centred care has been discussed while highlighting its benefits to the social care system. A relevant theory regarding care is Jean Watson’s Theory of Human Caring, which has been integrated here to present how its concept underpins PCC. Then, several ethical fundamentals of health and social care have been mentioned here. Partnership working and its significance in the health and social care services have been explored, and the current challenges associated with this have been examined. Practical application of partnership working has been mentioned in the following discussion of this report. Policies and </w:t>
      </w:r>
      <w:r w:rsidR="0073644D" w:rsidRPr="003E2808">
        <w:rPr>
          <w:rFonts w:ascii="Arial" w:hAnsi="Arial" w:cs="Arial"/>
          <w:sz w:val="22"/>
          <w:szCs w:val="22"/>
        </w:rPr>
        <w:t>legislation</w:t>
      </w:r>
      <w:r w:rsidRPr="003E2808">
        <w:rPr>
          <w:rFonts w:ascii="Arial" w:hAnsi="Arial" w:cs="Arial"/>
          <w:sz w:val="22"/>
          <w:szCs w:val="22"/>
        </w:rPr>
        <w:t xml:space="preserve"> associated with the process </w:t>
      </w:r>
      <w:r w:rsidR="0073644D" w:rsidRPr="003E2808">
        <w:rPr>
          <w:rFonts w:ascii="Arial" w:hAnsi="Arial" w:cs="Arial"/>
          <w:sz w:val="22"/>
          <w:szCs w:val="22"/>
        </w:rPr>
        <w:t>have</w:t>
      </w:r>
      <w:r w:rsidRPr="003E2808">
        <w:rPr>
          <w:rFonts w:ascii="Arial" w:hAnsi="Arial" w:cs="Arial"/>
          <w:sz w:val="22"/>
          <w:szCs w:val="22"/>
        </w:rPr>
        <w:t xml:space="preserve"> been evaluated, and recommendations have been provided to ensure future growth of the approaches of person-centred care and partnership working. </w:t>
      </w:r>
    </w:p>
    <w:p w14:paraId="59FE087B" w14:textId="77777777" w:rsidR="00303B4F" w:rsidRPr="003E2808" w:rsidRDefault="00303B4F" w:rsidP="00BF1C74">
      <w:pPr>
        <w:spacing w:line="360" w:lineRule="auto"/>
        <w:rPr>
          <w:rFonts w:ascii="Arial" w:hAnsi="Arial" w:cs="Arial"/>
        </w:rPr>
      </w:pPr>
      <w:r w:rsidRPr="003E2808">
        <w:rPr>
          <w:rFonts w:ascii="Arial" w:hAnsi="Arial" w:cs="Arial"/>
        </w:rPr>
        <w:br w:type="page"/>
      </w:r>
    </w:p>
    <w:sdt>
      <w:sdtPr>
        <w:rPr>
          <w:rFonts w:ascii="Arial" w:eastAsia="Times New Roman" w:hAnsi="Arial" w:cs="Arial"/>
          <w:color w:val="auto"/>
          <w:sz w:val="24"/>
          <w:szCs w:val="24"/>
          <w:lang w:val="en-GB"/>
        </w:rPr>
        <w:id w:val="-869376405"/>
        <w:docPartObj>
          <w:docPartGallery w:val="Table of Contents"/>
          <w:docPartUnique/>
        </w:docPartObj>
      </w:sdtPr>
      <w:sdtEndPr>
        <w:rPr>
          <w:b/>
          <w:bCs/>
        </w:rPr>
      </w:sdtEndPr>
      <w:sdtContent>
        <w:p w14:paraId="48AE3850" w14:textId="152FCEA6" w:rsidR="00303B4F" w:rsidRPr="003E2808" w:rsidRDefault="00303B4F" w:rsidP="00BF1C74">
          <w:pPr>
            <w:pStyle w:val="TOCHeading"/>
            <w:spacing w:before="0" w:line="360" w:lineRule="auto"/>
            <w:rPr>
              <w:rFonts w:ascii="Arial" w:hAnsi="Arial" w:cs="Arial"/>
              <w:lang w:val="en-GB"/>
            </w:rPr>
          </w:pPr>
          <w:r w:rsidRPr="003E2808">
            <w:rPr>
              <w:rFonts w:ascii="Arial" w:hAnsi="Arial" w:cs="Arial"/>
              <w:lang w:val="en-GB"/>
            </w:rPr>
            <w:t>Table of Contents</w:t>
          </w:r>
        </w:p>
        <w:p w14:paraId="4C44F1C3" w14:textId="471EF4EF" w:rsidR="00BF1C74" w:rsidRPr="003E2808" w:rsidRDefault="00303B4F"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r w:rsidRPr="003E2808">
            <w:rPr>
              <w:rFonts w:ascii="Arial" w:hAnsi="Arial" w:cs="Arial"/>
            </w:rPr>
            <w:fldChar w:fldCharType="begin"/>
          </w:r>
          <w:r w:rsidRPr="003E2808">
            <w:rPr>
              <w:rFonts w:ascii="Arial" w:hAnsi="Arial" w:cs="Arial"/>
            </w:rPr>
            <w:instrText xml:space="preserve"> TOC \o "1-3" \h \z \u </w:instrText>
          </w:r>
          <w:r w:rsidRPr="003E2808">
            <w:rPr>
              <w:rFonts w:ascii="Arial" w:hAnsi="Arial" w:cs="Arial"/>
            </w:rPr>
            <w:fldChar w:fldCharType="separate"/>
          </w:r>
          <w:hyperlink w:anchor="_Toc235806310" w:history="1">
            <w:r w:rsidR="00BF1C74" w:rsidRPr="003E2808">
              <w:rPr>
                <w:rStyle w:val="Hyperlink"/>
                <w:rFonts w:ascii="Arial" w:hAnsi="Arial" w:cs="Arial"/>
                <w:sz w:val="22"/>
                <w:szCs w:val="22"/>
              </w:rPr>
              <w:t>Introduction</w:t>
            </w:r>
            <w:r w:rsidR="00BF1C74" w:rsidRPr="003E2808">
              <w:rPr>
                <w:webHidden/>
                <w:sz w:val="22"/>
                <w:szCs w:val="22"/>
              </w:rPr>
              <w:tab/>
            </w:r>
            <w:r w:rsidR="00BF1C74" w:rsidRPr="003E2808">
              <w:rPr>
                <w:webHidden/>
                <w:sz w:val="22"/>
                <w:szCs w:val="22"/>
              </w:rPr>
              <w:fldChar w:fldCharType="begin"/>
            </w:r>
            <w:r w:rsidR="00BF1C74" w:rsidRPr="003E2808">
              <w:rPr>
                <w:webHidden/>
                <w:sz w:val="22"/>
                <w:szCs w:val="22"/>
              </w:rPr>
              <w:instrText xml:space="preserve"> PAGEREF _Toc235806310 \h </w:instrText>
            </w:r>
            <w:r w:rsidR="00BF1C74" w:rsidRPr="003E2808">
              <w:rPr>
                <w:webHidden/>
                <w:sz w:val="22"/>
                <w:szCs w:val="22"/>
              </w:rPr>
            </w:r>
            <w:r w:rsidR="00BF1C74" w:rsidRPr="003E2808">
              <w:rPr>
                <w:webHidden/>
                <w:sz w:val="22"/>
                <w:szCs w:val="22"/>
              </w:rPr>
              <w:fldChar w:fldCharType="separate"/>
            </w:r>
            <w:r w:rsidR="00BF1C74" w:rsidRPr="003E2808">
              <w:rPr>
                <w:webHidden/>
                <w:sz w:val="22"/>
                <w:szCs w:val="22"/>
              </w:rPr>
              <w:t>4</w:t>
            </w:r>
            <w:r w:rsidR="00BF1C74" w:rsidRPr="003E2808">
              <w:rPr>
                <w:webHidden/>
                <w:sz w:val="22"/>
                <w:szCs w:val="22"/>
              </w:rPr>
              <w:fldChar w:fldCharType="end"/>
            </w:r>
          </w:hyperlink>
        </w:p>
        <w:p w14:paraId="0BFBB077" w14:textId="71CC8993"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1" w:history="1">
            <w:r w:rsidRPr="003E2808">
              <w:rPr>
                <w:rStyle w:val="Hyperlink"/>
                <w:rFonts w:ascii="Arial" w:hAnsi="Arial" w:cs="Arial"/>
                <w:sz w:val="22"/>
                <w:szCs w:val="22"/>
              </w:rPr>
              <w:t>Critical discussion of person-centred care</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_Toc235806311 \h </w:instrText>
            </w:r>
            <w:r w:rsidRPr="003E2808">
              <w:rPr>
                <w:webHidden/>
                <w:sz w:val="22"/>
                <w:szCs w:val="22"/>
              </w:rPr>
            </w:r>
            <w:r w:rsidRPr="003E2808">
              <w:rPr>
                <w:webHidden/>
                <w:sz w:val="22"/>
                <w:szCs w:val="22"/>
              </w:rPr>
              <w:fldChar w:fldCharType="separate"/>
            </w:r>
            <w:r w:rsidRPr="003E2808">
              <w:rPr>
                <w:webHidden/>
                <w:sz w:val="22"/>
                <w:szCs w:val="22"/>
              </w:rPr>
              <w:t>5</w:t>
            </w:r>
            <w:r w:rsidRPr="003E2808">
              <w:rPr>
                <w:webHidden/>
                <w:sz w:val="22"/>
                <w:szCs w:val="22"/>
              </w:rPr>
              <w:fldChar w:fldCharType="end"/>
            </w:r>
          </w:hyperlink>
        </w:p>
        <w:p w14:paraId="51AD8AEA" w14:textId="3A3CD84C"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2" w:history="1">
            <w:r w:rsidRPr="003E2808">
              <w:rPr>
                <w:rStyle w:val="Hyperlink"/>
                <w:rFonts w:ascii="Arial" w:hAnsi="Arial" w:cs="Arial"/>
                <w:sz w:val="22"/>
                <w:szCs w:val="22"/>
              </w:rPr>
              <w:t>Critical examination of the relevant theory or model regarding care that underpins PCC</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_Toc235806312 \h </w:instrText>
            </w:r>
            <w:r w:rsidRPr="003E2808">
              <w:rPr>
                <w:webHidden/>
                <w:sz w:val="22"/>
                <w:szCs w:val="22"/>
              </w:rPr>
            </w:r>
            <w:r w:rsidRPr="003E2808">
              <w:rPr>
                <w:webHidden/>
                <w:sz w:val="22"/>
                <w:szCs w:val="22"/>
              </w:rPr>
              <w:fldChar w:fldCharType="separate"/>
            </w:r>
            <w:r w:rsidRPr="003E2808">
              <w:rPr>
                <w:webHidden/>
                <w:sz w:val="22"/>
                <w:szCs w:val="22"/>
              </w:rPr>
              <w:t>6</w:t>
            </w:r>
            <w:r w:rsidRPr="003E2808">
              <w:rPr>
                <w:webHidden/>
                <w:sz w:val="22"/>
                <w:szCs w:val="22"/>
              </w:rPr>
              <w:fldChar w:fldCharType="end"/>
            </w:r>
          </w:hyperlink>
        </w:p>
        <w:p w14:paraId="09B70A01" w14:textId="57F2FD10"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3" w:history="1">
            <w:r w:rsidRPr="003E2808">
              <w:rPr>
                <w:rStyle w:val="Hyperlink"/>
                <w:rFonts w:ascii="Arial" w:hAnsi="Arial" w:cs="Arial"/>
                <w:sz w:val="22"/>
                <w:szCs w:val="22"/>
              </w:rPr>
              <w:t>Analysis regarding the ethical fundamentals of health and social care</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_Toc235806313 \h </w:instrText>
            </w:r>
            <w:r w:rsidRPr="003E2808">
              <w:rPr>
                <w:webHidden/>
                <w:sz w:val="22"/>
                <w:szCs w:val="22"/>
              </w:rPr>
            </w:r>
            <w:r w:rsidRPr="003E2808">
              <w:rPr>
                <w:webHidden/>
                <w:sz w:val="22"/>
                <w:szCs w:val="22"/>
              </w:rPr>
              <w:fldChar w:fldCharType="separate"/>
            </w:r>
            <w:r w:rsidRPr="003E2808">
              <w:rPr>
                <w:webHidden/>
                <w:sz w:val="22"/>
                <w:szCs w:val="22"/>
              </w:rPr>
              <w:t>8</w:t>
            </w:r>
            <w:r w:rsidRPr="003E2808">
              <w:rPr>
                <w:webHidden/>
                <w:sz w:val="22"/>
                <w:szCs w:val="22"/>
              </w:rPr>
              <w:fldChar w:fldCharType="end"/>
            </w:r>
          </w:hyperlink>
        </w:p>
        <w:p w14:paraId="4E07776B" w14:textId="695637EE"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4" w:history="1">
            <w:r w:rsidRPr="003E2808">
              <w:rPr>
                <w:rStyle w:val="Hyperlink"/>
                <w:rFonts w:ascii="Arial" w:hAnsi="Arial" w:cs="Arial"/>
                <w:sz w:val="22"/>
                <w:szCs w:val="22"/>
              </w:rPr>
              <w:t>Evaluation of partnership working in health and social care</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_Toc235806314 \h </w:instrText>
            </w:r>
            <w:r w:rsidRPr="003E2808">
              <w:rPr>
                <w:webHidden/>
                <w:sz w:val="22"/>
                <w:szCs w:val="22"/>
              </w:rPr>
            </w:r>
            <w:r w:rsidRPr="003E2808">
              <w:rPr>
                <w:webHidden/>
                <w:sz w:val="22"/>
                <w:szCs w:val="22"/>
              </w:rPr>
              <w:fldChar w:fldCharType="separate"/>
            </w:r>
            <w:r w:rsidRPr="003E2808">
              <w:rPr>
                <w:webHidden/>
                <w:sz w:val="22"/>
                <w:szCs w:val="22"/>
              </w:rPr>
              <w:t>9</w:t>
            </w:r>
            <w:r w:rsidRPr="003E2808">
              <w:rPr>
                <w:webHidden/>
                <w:sz w:val="22"/>
                <w:szCs w:val="22"/>
              </w:rPr>
              <w:fldChar w:fldCharType="end"/>
            </w:r>
          </w:hyperlink>
        </w:p>
        <w:p w14:paraId="0F7D2069" w14:textId="1964DC0B"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5" w:history="1">
            <w:r w:rsidRPr="003E2808">
              <w:rPr>
                <w:rStyle w:val="Hyperlink"/>
                <w:rFonts w:ascii="Arial" w:hAnsi="Arial" w:cs="Arial"/>
                <w:sz w:val="22"/>
                <w:szCs w:val="22"/>
              </w:rPr>
              <w:t>Application of partnership working in a practical health and social care setting</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_Toc235806315 \h </w:instrText>
            </w:r>
            <w:r w:rsidRPr="003E2808">
              <w:rPr>
                <w:webHidden/>
                <w:sz w:val="22"/>
                <w:szCs w:val="22"/>
              </w:rPr>
            </w:r>
            <w:r w:rsidRPr="003E2808">
              <w:rPr>
                <w:webHidden/>
                <w:sz w:val="22"/>
                <w:szCs w:val="22"/>
              </w:rPr>
              <w:fldChar w:fldCharType="separate"/>
            </w:r>
            <w:r w:rsidRPr="003E2808">
              <w:rPr>
                <w:webHidden/>
                <w:sz w:val="22"/>
                <w:szCs w:val="22"/>
              </w:rPr>
              <w:t>10</w:t>
            </w:r>
            <w:r w:rsidRPr="003E2808">
              <w:rPr>
                <w:webHidden/>
                <w:sz w:val="22"/>
                <w:szCs w:val="22"/>
              </w:rPr>
              <w:fldChar w:fldCharType="end"/>
            </w:r>
          </w:hyperlink>
        </w:p>
        <w:p w14:paraId="4E511C22" w14:textId="1EFC3888"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6" w:history="1">
            <w:r w:rsidRPr="003E2808">
              <w:rPr>
                <w:rStyle w:val="Hyperlink"/>
                <w:rFonts w:ascii="Arial" w:hAnsi="Arial" w:cs="Arial"/>
                <w:sz w:val="22"/>
                <w:szCs w:val="22"/>
              </w:rPr>
              <w:t>Assessment of policy and legislation linked with Person-centred care and Partnership Working</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_Toc235806316 \h </w:instrText>
            </w:r>
            <w:r w:rsidRPr="003E2808">
              <w:rPr>
                <w:webHidden/>
                <w:sz w:val="22"/>
                <w:szCs w:val="22"/>
              </w:rPr>
            </w:r>
            <w:r w:rsidRPr="003E2808">
              <w:rPr>
                <w:webHidden/>
                <w:sz w:val="22"/>
                <w:szCs w:val="22"/>
              </w:rPr>
              <w:fldChar w:fldCharType="separate"/>
            </w:r>
            <w:r w:rsidRPr="003E2808">
              <w:rPr>
                <w:webHidden/>
                <w:sz w:val="22"/>
                <w:szCs w:val="22"/>
              </w:rPr>
              <w:t>11</w:t>
            </w:r>
            <w:r w:rsidRPr="003E2808">
              <w:rPr>
                <w:webHidden/>
                <w:sz w:val="22"/>
                <w:szCs w:val="22"/>
              </w:rPr>
              <w:fldChar w:fldCharType="end"/>
            </w:r>
          </w:hyperlink>
        </w:p>
        <w:p w14:paraId="18B122D7" w14:textId="3298F41C"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7" w:history="1">
            <w:r w:rsidRPr="003E2808">
              <w:rPr>
                <w:rStyle w:val="Hyperlink"/>
                <w:rFonts w:ascii="Arial" w:hAnsi="Arial" w:cs="Arial"/>
                <w:sz w:val="22"/>
                <w:szCs w:val="22"/>
              </w:rPr>
              <w:t>Recommendations for future development of the UK-based Person-centred care and partnership working</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_Toc235806317 \h </w:instrText>
            </w:r>
            <w:r w:rsidRPr="003E2808">
              <w:rPr>
                <w:webHidden/>
                <w:sz w:val="22"/>
                <w:szCs w:val="22"/>
              </w:rPr>
            </w:r>
            <w:r w:rsidRPr="003E2808">
              <w:rPr>
                <w:webHidden/>
                <w:sz w:val="22"/>
                <w:szCs w:val="22"/>
              </w:rPr>
              <w:fldChar w:fldCharType="separate"/>
            </w:r>
            <w:r w:rsidRPr="003E2808">
              <w:rPr>
                <w:webHidden/>
                <w:sz w:val="22"/>
                <w:szCs w:val="22"/>
              </w:rPr>
              <w:t>12</w:t>
            </w:r>
            <w:r w:rsidRPr="003E2808">
              <w:rPr>
                <w:webHidden/>
                <w:sz w:val="22"/>
                <w:szCs w:val="22"/>
              </w:rPr>
              <w:fldChar w:fldCharType="end"/>
            </w:r>
          </w:hyperlink>
        </w:p>
        <w:p w14:paraId="5E924774" w14:textId="2668411F"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8" w:history="1">
            <w:r w:rsidRPr="003E2808">
              <w:rPr>
                <w:rStyle w:val="Hyperlink"/>
                <w:rFonts w:ascii="Arial" w:hAnsi="Arial" w:cs="Arial"/>
                <w:sz w:val="22"/>
                <w:szCs w:val="22"/>
              </w:rPr>
              <w:t>Conclusion</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_Toc235806318 \h </w:instrText>
            </w:r>
            <w:r w:rsidRPr="003E2808">
              <w:rPr>
                <w:webHidden/>
                <w:sz w:val="22"/>
                <w:szCs w:val="22"/>
              </w:rPr>
            </w:r>
            <w:r w:rsidRPr="003E2808">
              <w:rPr>
                <w:webHidden/>
                <w:sz w:val="22"/>
                <w:szCs w:val="22"/>
              </w:rPr>
              <w:fldChar w:fldCharType="separate"/>
            </w:r>
            <w:r w:rsidRPr="003E2808">
              <w:rPr>
                <w:webHidden/>
                <w:sz w:val="22"/>
                <w:szCs w:val="22"/>
              </w:rPr>
              <w:t>13</w:t>
            </w:r>
            <w:r w:rsidRPr="003E2808">
              <w:rPr>
                <w:webHidden/>
                <w:sz w:val="22"/>
                <w:szCs w:val="22"/>
              </w:rPr>
              <w:fldChar w:fldCharType="end"/>
            </w:r>
          </w:hyperlink>
        </w:p>
        <w:p w14:paraId="2CCC1392" w14:textId="27298E1D" w:rsidR="00BF1C74" w:rsidRPr="003E2808" w:rsidRDefault="00BF1C74" w:rsidP="00BF1C74">
          <w:pPr>
            <w:pStyle w:val="TOC1"/>
            <w:tabs>
              <w:tab w:val="right" w:leader="dot" w:pos="9350"/>
            </w:tabs>
            <w:spacing w:after="0" w:line="360" w:lineRule="auto"/>
            <w:rPr>
              <w:rFonts w:asciiTheme="minorHAnsi" w:eastAsiaTheme="minorEastAsia" w:hAnsiTheme="minorHAnsi" w:cstheme="minorBidi"/>
              <w:kern w:val="2"/>
              <w:sz w:val="22"/>
              <w:szCs w:val="22"/>
              <w14:ligatures w14:val="standardContextual"/>
            </w:rPr>
          </w:pPr>
          <w:hyperlink w:anchor="_Toc235806319" w:history="1">
            <w:r w:rsidRPr="003E2808">
              <w:rPr>
                <w:rStyle w:val="Hyperlink"/>
                <w:rFonts w:ascii="Arial" w:hAnsi="Arial" w:cs="Arial"/>
                <w:sz w:val="22"/>
                <w:szCs w:val="22"/>
              </w:rPr>
              <w:t>References</w:t>
            </w:r>
            <w:r w:rsidRPr="003E2808">
              <w:rPr>
                <w:webHidden/>
                <w:sz w:val="22"/>
                <w:szCs w:val="22"/>
              </w:rPr>
              <w:tab/>
            </w:r>
            <w:r w:rsidRPr="003E2808">
              <w:rPr>
                <w:webHidden/>
                <w:sz w:val="22"/>
                <w:szCs w:val="22"/>
              </w:rPr>
              <w:fldChar w:fldCharType="begin"/>
            </w:r>
            <w:r w:rsidRPr="003E2808">
              <w:rPr>
                <w:webHidden/>
                <w:sz w:val="22"/>
                <w:szCs w:val="22"/>
              </w:rPr>
              <w:instrText xml:space="preserve"> PAGEREF _Toc235806319 \h </w:instrText>
            </w:r>
            <w:r w:rsidRPr="003E2808">
              <w:rPr>
                <w:webHidden/>
                <w:sz w:val="22"/>
                <w:szCs w:val="22"/>
              </w:rPr>
            </w:r>
            <w:r w:rsidRPr="003E2808">
              <w:rPr>
                <w:webHidden/>
                <w:sz w:val="22"/>
                <w:szCs w:val="22"/>
              </w:rPr>
              <w:fldChar w:fldCharType="separate"/>
            </w:r>
            <w:r w:rsidRPr="003E2808">
              <w:rPr>
                <w:webHidden/>
                <w:sz w:val="22"/>
                <w:szCs w:val="22"/>
              </w:rPr>
              <w:t>14</w:t>
            </w:r>
            <w:r w:rsidRPr="003E2808">
              <w:rPr>
                <w:webHidden/>
                <w:sz w:val="22"/>
                <w:szCs w:val="22"/>
              </w:rPr>
              <w:fldChar w:fldCharType="end"/>
            </w:r>
          </w:hyperlink>
        </w:p>
        <w:p w14:paraId="5EB321CA" w14:textId="2C178721" w:rsidR="00303B4F" w:rsidRPr="003E2808" w:rsidRDefault="00303B4F" w:rsidP="00BF1C74">
          <w:pPr>
            <w:spacing w:line="360" w:lineRule="auto"/>
            <w:rPr>
              <w:rFonts w:ascii="Arial" w:hAnsi="Arial" w:cs="Arial"/>
            </w:rPr>
          </w:pPr>
          <w:r w:rsidRPr="003E2808">
            <w:rPr>
              <w:rFonts w:ascii="Arial" w:hAnsi="Arial" w:cs="Arial"/>
              <w:b/>
              <w:bCs/>
            </w:rPr>
            <w:fldChar w:fldCharType="end"/>
          </w:r>
        </w:p>
      </w:sdtContent>
    </w:sdt>
    <w:p w14:paraId="534C0BD4" w14:textId="77777777" w:rsidR="008D627F" w:rsidRPr="003E2808" w:rsidRDefault="008D627F" w:rsidP="00BF1C74">
      <w:pPr>
        <w:spacing w:line="360" w:lineRule="auto"/>
        <w:rPr>
          <w:rFonts w:ascii="Arial" w:hAnsi="Arial" w:cs="Arial"/>
        </w:rPr>
      </w:pPr>
    </w:p>
    <w:p w14:paraId="21336D30" w14:textId="77777777" w:rsidR="008D627F" w:rsidRPr="003E2808" w:rsidRDefault="00BD79A7" w:rsidP="00BF1C74">
      <w:pPr>
        <w:pStyle w:val="Heading1"/>
        <w:spacing w:line="360" w:lineRule="auto"/>
        <w:rPr>
          <w:rFonts w:ascii="Arial" w:hAnsi="Arial" w:cs="Arial"/>
        </w:rPr>
      </w:pPr>
      <w:bookmarkStart w:id="0" w:name="_nkwexgi2894k" w:colFirst="0" w:colLast="0"/>
      <w:bookmarkEnd w:id="0"/>
      <w:r w:rsidRPr="003E2808">
        <w:rPr>
          <w:rFonts w:ascii="Arial" w:hAnsi="Arial" w:cs="Arial"/>
        </w:rPr>
        <w:br w:type="page"/>
      </w:r>
    </w:p>
    <w:p w14:paraId="40613019" w14:textId="58B548B7" w:rsidR="00BF1C74" w:rsidRPr="003E2808" w:rsidRDefault="00BF1C74" w:rsidP="00BF1C74">
      <w:pPr>
        <w:pStyle w:val="Heading1"/>
        <w:spacing w:line="360" w:lineRule="auto"/>
        <w:rPr>
          <w:rFonts w:ascii="Arial" w:hAnsi="Arial" w:cs="Arial"/>
        </w:rPr>
      </w:pPr>
      <w:bookmarkStart w:id="1" w:name="_2ey2vx9u36rd" w:colFirst="0" w:colLast="0"/>
      <w:bookmarkStart w:id="2" w:name="_Toc235806310"/>
      <w:bookmarkEnd w:id="1"/>
      <w:r w:rsidRPr="003E2808">
        <w:rPr>
          <w:rFonts w:ascii="Arial" w:hAnsi="Arial" w:cs="Arial"/>
        </w:rPr>
        <w:t>Introduction</w:t>
      </w:r>
      <w:bookmarkEnd w:id="2"/>
    </w:p>
    <w:p w14:paraId="6B7EFF97" w14:textId="34DFDB3C"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Person-centred care in health and social care </w:t>
      </w:r>
      <w:r w:rsidR="008C46D7" w:rsidRPr="003E2808">
        <w:rPr>
          <w:rFonts w:ascii="Arial" w:hAnsi="Arial" w:cs="Arial"/>
          <w:sz w:val="22"/>
          <w:szCs w:val="22"/>
        </w:rPr>
        <w:t xml:space="preserve">is an </w:t>
      </w:r>
      <w:r w:rsidR="003E2808" w:rsidRPr="003E2808">
        <w:rPr>
          <w:rFonts w:ascii="Arial" w:hAnsi="Arial" w:cs="Arial"/>
          <w:sz w:val="22"/>
          <w:szCs w:val="22"/>
        </w:rPr>
        <w:t>essential factor</w:t>
      </w:r>
      <w:r w:rsidRPr="003E2808">
        <w:rPr>
          <w:rFonts w:ascii="Arial" w:hAnsi="Arial" w:cs="Arial"/>
          <w:sz w:val="22"/>
          <w:szCs w:val="22"/>
        </w:rPr>
        <w:t xml:space="preserve"> which effectively contributes to improving patient outcomes and respects individuals’ dignity</w:t>
      </w:r>
      <w:sdt>
        <w:sdtPr>
          <w:rPr>
            <w:rFonts w:ascii="Arial" w:hAnsi="Arial" w:cs="Arial"/>
            <w:sz w:val="22"/>
            <w:szCs w:val="22"/>
          </w:rPr>
          <w:id w:val="2103606050"/>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TWC25 \l 1033 </w:instrText>
          </w:r>
          <w:r w:rsidRPr="003E2808">
            <w:rPr>
              <w:rFonts w:ascii="Arial" w:hAnsi="Arial" w:cs="Arial"/>
              <w:sz w:val="22"/>
              <w:szCs w:val="22"/>
            </w:rPr>
            <w:fldChar w:fldCharType="separate"/>
          </w:r>
          <w:r w:rsidRPr="003E2808">
            <w:rPr>
              <w:rFonts w:ascii="Arial" w:hAnsi="Arial" w:cs="Arial"/>
              <w:sz w:val="22"/>
              <w:szCs w:val="22"/>
            </w:rPr>
            <w:t xml:space="preserve"> (TWC London, 2025)</w:t>
          </w:r>
          <w:r w:rsidRPr="003E2808">
            <w:rPr>
              <w:rFonts w:ascii="Arial" w:hAnsi="Arial" w:cs="Arial"/>
              <w:sz w:val="22"/>
              <w:szCs w:val="22"/>
            </w:rPr>
            <w:fldChar w:fldCharType="end"/>
          </w:r>
        </w:sdtContent>
      </w:sdt>
      <w:r w:rsidRPr="003E2808">
        <w:rPr>
          <w:rFonts w:ascii="Arial" w:hAnsi="Arial" w:cs="Arial"/>
          <w:sz w:val="22"/>
          <w:szCs w:val="22"/>
        </w:rPr>
        <w:t xml:space="preserve">. Facilitating patients with PCC also reduces the time for recovery and fosters improvements in long-term health conditions. Based on this, the aim of this report is to evaluate and examine the ways through which several components work closely with the professional health and social care policies. After defining the concept of PCC, its benefits and limitations will be mentioned here along with associated theoretical frameworks. Then, the ethical fundamentals of health and social care will be analysed here, and how partnership working facilitates the mentioned context will also be jotted down here. Relevant policies and legislation related to PCC will also be described in this report along with some effective recommendations. </w:t>
      </w:r>
      <w:r w:rsidRPr="003E2808">
        <w:rPr>
          <w:rFonts w:ascii="Arial" w:hAnsi="Arial" w:cs="Arial"/>
          <w:sz w:val="22"/>
          <w:szCs w:val="22"/>
        </w:rPr>
        <w:br w:type="page"/>
      </w:r>
    </w:p>
    <w:p w14:paraId="4CF07C57" w14:textId="0D980C88" w:rsidR="008D627F" w:rsidRPr="003E2808" w:rsidRDefault="00BD79A7" w:rsidP="00BF1C74">
      <w:pPr>
        <w:pStyle w:val="Heading1"/>
        <w:spacing w:line="360" w:lineRule="auto"/>
        <w:rPr>
          <w:rFonts w:ascii="Arial" w:hAnsi="Arial" w:cs="Arial"/>
        </w:rPr>
      </w:pPr>
      <w:bookmarkStart w:id="3" w:name="_Toc235806311"/>
      <w:r w:rsidRPr="003E2808">
        <w:rPr>
          <w:rFonts w:ascii="Arial" w:hAnsi="Arial" w:cs="Arial"/>
        </w:rPr>
        <w:t>Critical</w:t>
      </w:r>
      <w:r w:rsidR="00850C6B" w:rsidRPr="003E2808">
        <w:rPr>
          <w:rFonts w:ascii="Arial" w:hAnsi="Arial" w:cs="Arial"/>
        </w:rPr>
        <w:t xml:space="preserve"> d</w:t>
      </w:r>
      <w:r w:rsidRPr="003E2808">
        <w:rPr>
          <w:rFonts w:ascii="Arial" w:hAnsi="Arial" w:cs="Arial"/>
        </w:rPr>
        <w:t>iscussi</w:t>
      </w:r>
      <w:r w:rsidR="00850C6B" w:rsidRPr="003E2808">
        <w:rPr>
          <w:rFonts w:ascii="Arial" w:hAnsi="Arial" w:cs="Arial"/>
        </w:rPr>
        <w:t>on</w:t>
      </w:r>
      <w:r w:rsidRPr="003E2808">
        <w:rPr>
          <w:rFonts w:ascii="Arial" w:hAnsi="Arial" w:cs="Arial"/>
        </w:rPr>
        <w:t xml:space="preserve"> </w:t>
      </w:r>
      <w:r w:rsidR="00850C6B" w:rsidRPr="003E2808">
        <w:rPr>
          <w:rFonts w:ascii="Arial" w:hAnsi="Arial" w:cs="Arial"/>
        </w:rPr>
        <w:t xml:space="preserve">of </w:t>
      </w:r>
      <w:r w:rsidRPr="003E2808">
        <w:rPr>
          <w:rFonts w:ascii="Arial" w:hAnsi="Arial" w:cs="Arial"/>
        </w:rPr>
        <w:t>person-centred care</w:t>
      </w:r>
      <w:bookmarkEnd w:id="3"/>
      <w:r w:rsidRPr="003E2808">
        <w:rPr>
          <w:rFonts w:ascii="Arial" w:hAnsi="Arial" w:cs="Arial"/>
        </w:rPr>
        <w:t xml:space="preserve"> </w:t>
      </w:r>
    </w:p>
    <w:p w14:paraId="40DEEE65"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 xml:space="preserve">Definition </w:t>
      </w:r>
    </w:p>
    <w:p w14:paraId="436C7BE6" w14:textId="5833592D"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Person-centred care (PCC) is an approach through which healthcare-related decisions are developed while putting the person at the centre. It is one of the most accepted ideas as it ensures that the care plan aligns with the needs, values and personal circumstances of the individuals. The overall operation is carried out by depending on shared decisions and supported self-management. Thus, personalised care planning is most effective in improving clinical choices and empowering patients</w:t>
      </w:r>
      <w:r w:rsidR="005F21F5" w:rsidRPr="003E2808">
        <w:rPr>
          <w:rFonts w:ascii="Arial" w:hAnsi="Arial" w:cs="Arial"/>
          <w:sz w:val="22"/>
          <w:szCs w:val="22"/>
        </w:rPr>
        <w:t>, leading</w:t>
      </w:r>
      <w:r w:rsidRPr="003E2808">
        <w:rPr>
          <w:rFonts w:ascii="Arial" w:hAnsi="Arial" w:cs="Arial"/>
          <w:sz w:val="22"/>
          <w:szCs w:val="22"/>
        </w:rPr>
        <w:t xml:space="preserve"> to enhanced efficiency of the business (</w:t>
      </w:r>
      <w:r w:rsidRPr="003E2808">
        <w:rPr>
          <w:rFonts w:ascii="Arial" w:hAnsi="Arial" w:cs="Arial"/>
          <w:sz w:val="22"/>
          <w:szCs w:val="22"/>
          <w:highlight w:val="white"/>
        </w:rPr>
        <w:t>Moore et al., 2023</w:t>
      </w:r>
      <w:r w:rsidRPr="003E2808">
        <w:rPr>
          <w:rFonts w:ascii="Arial" w:hAnsi="Arial" w:cs="Arial"/>
          <w:sz w:val="22"/>
          <w:szCs w:val="22"/>
        </w:rPr>
        <w:t xml:space="preserve">). </w:t>
      </w:r>
    </w:p>
    <w:p w14:paraId="33D9ECEA" w14:textId="682D330D" w:rsidR="008D627F" w:rsidRPr="003E2808" w:rsidRDefault="005F21F5" w:rsidP="00BF1C74">
      <w:pPr>
        <w:spacing w:line="360" w:lineRule="auto"/>
        <w:rPr>
          <w:rFonts w:ascii="Arial" w:hAnsi="Arial" w:cs="Arial"/>
          <w:b/>
          <w:bCs/>
          <w:i/>
          <w:iCs/>
          <w:sz w:val="22"/>
          <w:szCs w:val="22"/>
        </w:rPr>
      </w:pPr>
      <w:r w:rsidRPr="003E2808">
        <w:rPr>
          <w:rFonts w:ascii="Arial" w:hAnsi="Arial" w:cs="Arial"/>
          <w:b/>
          <w:bCs/>
          <w:i/>
          <w:iCs/>
          <w:sz w:val="22"/>
          <w:szCs w:val="22"/>
        </w:rPr>
        <w:t xml:space="preserve">Benefits </w:t>
      </w:r>
    </w:p>
    <w:p w14:paraId="4A6295FD" w14:textId="0C7C7C05"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 xml:space="preserve">Person-centred care generates direct control </w:t>
      </w:r>
      <w:r w:rsidR="00AA24BA" w:rsidRPr="003E2808">
        <w:rPr>
          <w:rFonts w:ascii="Arial" w:hAnsi="Arial" w:cs="Arial"/>
          <w:sz w:val="22"/>
          <w:szCs w:val="22"/>
        </w:rPr>
        <w:t>for</w:t>
      </w:r>
      <w:r w:rsidRPr="003E2808">
        <w:rPr>
          <w:rFonts w:ascii="Arial" w:hAnsi="Arial" w:cs="Arial"/>
          <w:sz w:val="22"/>
          <w:szCs w:val="22"/>
        </w:rPr>
        <w:t xml:space="preserve"> patients over their daily routines, and they get to choose from diverse treatment options. As a result, the emotional health and self-esteem of the patients increase, lowering the risks of mental health disorders, specifically during long-term treatment. Additionally, it lowers random hospital visits, saves costs and time</w:t>
      </w:r>
      <w:r w:rsidR="005F21F5" w:rsidRPr="003E2808">
        <w:rPr>
          <w:rFonts w:ascii="Arial" w:hAnsi="Arial" w:cs="Arial"/>
          <w:sz w:val="22"/>
          <w:szCs w:val="22"/>
        </w:rPr>
        <w:t>,</w:t>
      </w:r>
      <w:r w:rsidRPr="003E2808">
        <w:rPr>
          <w:rFonts w:ascii="Arial" w:hAnsi="Arial" w:cs="Arial"/>
          <w:sz w:val="22"/>
          <w:szCs w:val="22"/>
        </w:rPr>
        <w:t xml:space="preserve"> and also inspires the healthcare staff to deliver compassionate services</w:t>
      </w:r>
      <w:sdt>
        <w:sdtPr>
          <w:rPr>
            <w:rFonts w:ascii="Arial" w:hAnsi="Arial" w:cs="Arial"/>
            <w:sz w:val="22"/>
            <w:szCs w:val="22"/>
          </w:rPr>
          <w:id w:val="751234704"/>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NHS2610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(NHS England, 2026)</w:t>
          </w:r>
          <w:r w:rsidR="00303B4F" w:rsidRPr="003E2808">
            <w:rPr>
              <w:rFonts w:ascii="Arial" w:hAnsi="Arial" w:cs="Arial"/>
              <w:sz w:val="22"/>
              <w:szCs w:val="22"/>
            </w:rPr>
            <w:fldChar w:fldCharType="end"/>
          </w:r>
        </w:sdtContent>
      </w:sdt>
      <w:r w:rsidRPr="003E2808">
        <w:rPr>
          <w:rFonts w:ascii="Arial" w:hAnsi="Arial" w:cs="Arial"/>
          <w:sz w:val="22"/>
          <w:szCs w:val="22"/>
        </w:rPr>
        <w:t xml:space="preserve">. </w:t>
      </w:r>
    </w:p>
    <w:p w14:paraId="4320E19A"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 xml:space="preserve">Limitations </w:t>
      </w:r>
    </w:p>
    <w:p w14:paraId="559B7800" w14:textId="77777777" w:rsidR="00BF1C74" w:rsidRPr="003E2808" w:rsidRDefault="00BD79A7" w:rsidP="00BF1C74">
      <w:pPr>
        <w:spacing w:line="360" w:lineRule="auto"/>
        <w:rPr>
          <w:rFonts w:ascii="Arial" w:hAnsi="Arial" w:cs="Arial"/>
          <w:sz w:val="22"/>
          <w:szCs w:val="22"/>
        </w:rPr>
      </w:pPr>
      <w:r w:rsidRPr="003E2808">
        <w:rPr>
          <w:rFonts w:ascii="Arial" w:hAnsi="Arial" w:cs="Arial"/>
          <w:sz w:val="22"/>
          <w:szCs w:val="22"/>
        </w:rPr>
        <w:t>During the management of vulnerable patient groups, it becomes difficult to avoid standardised procedures, as rigid bureaucratic tracking and electronic patient record systems often capture disease metrics. Furthermore, focusing heavily on the emotional demands of the individuals increases the risk of staff compassion fatigue and moral injury to the patient</w:t>
      </w:r>
      <w:sdt>
        <w:sdtPr>
          <w:rPr>
            <w:rFonts w:ascii="Arial" w:hAnsi="Arial" w:cs="Arial"/>
            <w:sz w:val="22"/>
            <w:szCs w:val="22"/>
          </w:rPr>
          <w:id w:val="579412493"/>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HCP26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(HCPC, 2026)</w:t>
          </w:r>
          <w:r w:rsidR="00303B4F" w:rsidRPr="003E2808">
            <w:rPr>
              <w:rFonts w:ascii="Arial" w:hAnsi="Arial" w:cs="Arial"/>
              <w:sz w:val="22"/>
              <w:szCs w:val="22"/>
            </w:rPr>
            <w:fldChar w:fldCharType="end"/>
          </w:r>
        </w:sdtContent>
      </w:sdt>
      <w:r w:rsidRPr="003E2808">
        <w:rPr>
          <w:rFonts w:ascii="Arial" w:hAnsi="Arial" w:cs="Arial"/>
          <w:sz w:val="22"/>
          <w:szCs w:val="22"/>
        </w:rPr>
        <w:t xml:space="preserve">. </w:t>
      </w:r>
    </w:p>
    <w:p w14:paraId="5E9FEC4D"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br w:type="page"/>
      </w:r>
    </w:p>
    <w:p w14:paraId="38392AD4" w14:textId="77777777" w:rsidR="00BF1C74" w:rsidRPr="003E2808" w:rsidRDefault="00BF1C74" w:rsidP="00BF1C74">
      <w:pPr>
        <w:pStyle w:val="Heading1"/>
        <w:spacing w:line="360" w:lineRule="auto"/>
        <w:rPr>
          <w:rFonts w:ascii="Arial" w:hAnsi="Arial" w:cs="Arial"/>
        </w:rPr>
      </w:pPr>
      <w:bookmarkStart w:id="4" w:name="_Toc235806312"/>
      <w:r w:rsidRPr="003E2808">
        <w:rPr>
          <w:rFonts w:ascii="Arial" w:hAnsi="Arial" w:cs="Arial"/>
        </w:rPr>
        <w:t>Critical examination of the relevant theory or model regarding care that underpins PCC</w:t>
      </w:r>
      <w:bookmarkEnd w:id="4"/>
    </w:p>
    <w:p w14:paraId="042CCD3A" w14:textId="77777777"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 xml:space="preserve">Jean Watson’s Theory of Human Caring </w:t>
      </w:r>
    </w:p>
    <w:p w14:paraId="45C9E51D" w14:textId="77777777" w:rsidR="00BF1C74" w:rsidRPr="003E2808" w:rsidRDefault="00BF1C74" w:rsidP="00BF1C74">
      <w:pPr>
        <w:spacing w:line="360" w:lineRule="auto"/>
        <w:jc w:val="center"/>
        <w:rPr>
          <w:rFonts w:ascii="Arial" w:hAnsi="Arial" w:cs="Arial"/>
          <w:sz w:val="22"/>
          <w:szCs w:val="22"/>
        </w:rPr>
      </w:pPr>
      <w:bookmarkStart w:id="5" w:name="_esckd5yq0xv4" w:colFirst="0" w:colLast="0"/>
      <w:bookmarkEnd w:id="5"/>
      <w:r w:rsidRPr="003E2808">
        <w:rPr>
          <w:rFonts w:ascii="Arial" w:hAnsi="Arial" w:cs="Arial"/>
          <w:noProof/>
          <w:sz w:val="22"/>
          <w:szCs w:val="22"/>
        </w:rPr>
        <w:drawing>
          <wp:inline distT="114300" distB="114300" distL="114300" distR="114300" wp14:anchorId="3B4E75DD" wp14:editId="4C0C68DD">
            <wp:extent cx="5181600" cy="5619750"/>
            <wp:effectExtent l="0" t="0" r="0" b="0"/>
            <wp:docPr id="378375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81600" cy="5619750"/>
                    </a:xfrm>
                    <a:prstGeom prst="rect">
                      <a:avLst/>
                    </a:prstGeom>
                    <a:ln/>
                  </pic:spPr>
                </pic:pic>
              </a:graphicData>
            </a:graphic>
          </wp:inline>
        </w:drawing>
      </w:r>
    </w:p>
    <w:p w14:paraId="6D676878" w14:textId="77777777" w:rsidR="00BF1C74" w:rsidRPr="003E2808" w:rsidRDefault="00BF1C74" w:rsidP="00BF1C74">
      <w:pPr>
        <w:spacing w:line="360" w:lineRule="auto"/>
        <w:jc w:val="center"/>
        <w:rPr>
          <w:rFonts w:ascii="Arial" w:hAnsi="Arial" w:cs="Arial"/>
          <w:b/>
          <w:bCs/>
          <w:sz w:val="22"/>
          <w:szCs w:val="22"/>
        </w:rPr>
      </w:pPr>
      <w:r w:rsidRPr="003E2808">
        <w:rPr>
          <w:rFonts w:ascii="Arial" w:hAnsi="Arial" w:cs="Arial"/>
          <w:b/>
          <w:bCs/>
          <w:sz w:val="22"/>
          <w:szCs w:val="22"/>
        </w:rPr>
        <w:t xml:space="preserve">Figure: Jean Watson’s Theory of Human Caring </w:t>
      </w:r>
    </w:p>
    <w:p w14:paraId="331FA2C1" w14:textId="77777777" w:rsidR="00BF1C74" w:rsidRPr="003E2808" w:rsidRDefault="00BF1C74" w:rsidP="00BF1C74">
      <w:pPr>
        <w:spacing w:line="360" w:lineRule="auto"/>
        <w:jc w:val="center"/>
        <w:rPr>
          <w:rFonts w:ascii="Arial" w:hAnsi="Arial" w:cs="Arial"/>
          <w:sz w:val="22"/>
          <w:szCs w:val="22"/>
        </w:rPr>
      </w:pPr>
      <w:r w:rsidRPr="003E2808">
        <w:rPr>
          <w:rFonts w:ascii="Arial" w:hAnsi="Arial" w:cs="Arial"/>
          <w:sz w:val="22"/>
          <w:szCs w:val="22"/>
        </w:rPr>
        <w:t xml:space="preserve">Source: </w:t>
      </w:r>
      <w:sdt>
        <w:sdtPr>
          <w:rPr>
            <w:rFonts w:ascii="Arial" w:hAnsi="Arial" w:cs="Arial"/>
            <w:sz w:val="22"/>
            <w:szCs w:val="22"/>
          </w:rPr>
          <w:id w:val="-2029163263"/>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Jea26 \l 1033 </w:instrText>
          </w:r>
          <w:r w:rsidRPr="003E2808">
            <w:rPr>
              <w:rFonts w:ascii="Arial" w:hAnsi="Arial" w:cs="Arial"/>
              <w:sz w:val="22"/>
              <w:szCs w:val="22"/>
            </w:rPr>
            <w:fldChar w:fldCharType="separate"/>
          </w:r>
          <w:r w:rsidRPr="003E2808">
            <w:rPr>
              <w:rFonts w:ascii="Arial" w:hAnsi="Arial" w:cs="Arial"/>
              <w:sz w:val="22"/>
              <w:szCs w:val="22"/>
            </w:rPr>
            <w:t>(Jean Watson caring Theory, 2026)</w:t>
          </w:r>
          <w:r w:rsidRPr="003E2808">
            <w:rPr>
              <w:rFonts w:ascii="Arial" w:hAnsi="Arial" w:cs="Arial"/>
              <w:sz w:val="22"/>
              <w:szCs w:val="22"/>
            </w:rPr>
            <w:fldChar w:fldCharType="end"/>
          </w:r>
        </w:sdtContent>
      </w:sdt>
    </w:p>
    <w:p w14:paraId="5FB393F6" w14:textId="77777777" w:rsidR="00BF1C74" w:rsidRPr="003E2808" w:rsidRDefault="00BF1C74" w:rsidP="00BF1C74">
      <w:pPr>
        <w:spacing w:line="360" w:lineRule="auto"/>
        <w:rPr>
          <w:rFonts w:ascii="Arial" w:hAnsi="Arial" w:cs="Arial"/>
          <w:b/>
          <w:bCs/>
          <w:sz w:val="22"/>
          <w:szCs w:val="22"/>
          <w:u w:val="single"/>
        </w:rPr>
      </w:pPr>
      <w:r w:rsidRPr="003E2808">
        <w:rPr>
          <w:rFonts w:ascii="Arial" w:hAnsi="Arial" w:cs="Arial"/>
          <w:b/>
          <w:bCs/>
          <w:sz w:val="22"/>
          <w:szCs w:val="22"/>
          <w:u w:val="single"/>
        </w:rPr>
        <w:t xml:space="preserve">Concept of the chosen care-related theoretical framework </w:t>
      </w:r>
    </w:p>
    <w:p w14:paraId="07403A02"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The care framework proposed by Jean Watson states that nursing is grounded in a deep spiritual and holistic connection between the patient and caregiver. Actual practices of caregiving do not solely focus on treating the physical symptoms of patients</w:t>
      </w:r>
      <w:sdt>
        <w:sdtPr>
          <w:rPr>
            <w:rFonts w:ascii="Arial" w:hAnsi="Arial" w:cs="Arial"/>
            <w:sz w:val="22"/>
            <w:szCs w:val="22"/>
          </w:rPr>
          <w:id w:val="-483771883"/>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Jea26 \l 1033 </w:instrText>
          </w:r>
          <w:r w:rsidRPr="003E2808">
            <w:rPr>
              <w:rFonts w:ascii="Arial" w:hAnsi="Arial" w:cs="Arial"/>
              <w:sz w:val="22"/>
              <w:szCs w:val="22"/>
            </w:rPr>
            <w:fldChar w:fldCharType="separate"/>
          </w:r>
          <w:r w:rsidRPr="003E2808">
            <w:rPr>
              <w:rFonts w:ascii="Arial" w:hAnsi="Arial" w:cs="Arial"/>
              <w:sz w:val="22"/>
              <w:szCs w:val="22"/>
            </w:rPr>
            <w:t xml:space="preserve"> (Jean Watson caring Theory, 2026)</w:t>
          </w:r>
          <w:r w:rsidRPr="003E2808">
            <w:rPr>
              <w:rFonts w:ascii="Arial" w:hAnsi="Arial" w:cs="Arial"/>
              <w:sz w:val="22"/>
              <w:szCs w:val="22"/>
            </w:rPr>
            <w:fldChar w:fldCharType="end"/>
          </w:r>
        </w:sdtContent>
      </w:sdt>
      <w:r w:rsidRPr="003E2808">
        <w:rPr>
          <w:rFonts w:ascii="Arial" w:hAnsi="Arial" w:cs="Arial"/>
          <w:sz w:val="22"/>
          <w:szCs w:val="22"/>
        </w:rPr>
        <w:t xml:space="preserve">. A set of guiding moral and clinical principles is included in the 10 Caritas Processes, which further involve shaping the caregiving process of nurses. This theoretical framework also prioritises the concept of spiritual and human connection, where the nurse takes care to exceed the physical diseases and honour the caregiving for patients. Moreover, this holistic approach accordingly focuses on healing and preserving a person’s dignity in the modern health-care environments. </w:t>
      </w:r>
    </w:p>
    <w:p w14:paraId="45FE18F2" w14:textId="77777777" w:rsidR="00BF1C74" w:rsidRPr="003E2808" w:rsidRDefault="00BF1C74" w:rsidP="00BF1C74">
      <w:pPr>
        <w:spacing w:line="360" w:lineRule="auto"/>
        <w:rPr>
          <w:rFonts w:ascii="Arial" w:hAnsi="Arial" w:cs="Arial"/>
          <w:b/>
          <w:bCs/>
          <w:sz w:val="22"/>
          <w:szCs w:val="22"/>
          <w:u w:val="single"/>
        </w:rPr>
      </w:pPr>
      <w:r w:rsidRPr="003E2808">
        <w:rPr>
          <w:rFonts w:ascii="Arial" w:hAnsi="Arial" w:cs="Arial"/>
          <w:b/>
          <w:bCs/>
          <w:sz w:val="22"/>
          <w:szCs w:val="22"/>
          <w:u w:val="single"/>
        </w:rPr>
        <w:t xml:space="preserve">Implication of the theory to PCC </w:t>
      </w:r>
    </w:p>
    <w:p w14:paraId="5F7BB0DA" w14:textId="2F840B02" w:rsidR="008D627F" w:rsidRPr="003E2808" w:rsidRDefault="00BF1C74" w:rsidP="00BF1C74">
      <w:pPr>
        <w:spacing w:line="360" w:lineRule="auto"/>
        <w:rPr>
          <w:rFonts w:ascii="Arial" w:hAnsi="Arial" w:cs="Arial"/>
          <w:sz w:val="22"/>
          <w:szCs w:val="22"/>
        </w:rPr>
      </w:pPr>
      <w:r w:rsidRPr="003E2808">
        <w:rPr>
          <w:rFonts w:ascii="Arial" w:hAnsi="Arial" w:cs="Arial"/>
          <w:sz w:val="22"/>
          <w:szCs w:val="22"/>
        </w:rPr>
        <w:t>The theoretical concept of Jean Watson’s Theory of Human Caring underpins the Person-Centred Care (PCC) by defining the patient as a holistic mind-body-spirit being. This has been mainly managed by fostering a transpersonal relationship and utilising the mentioned 10 Caritas Processes, which prioritise human dignity over mere disease management (Gunawan et al., 2022). Within the present task-oriented hospital cultures in the UK often lack efforts in establishing spiritual transpersonal connections regularly due to the complexities. The integration of the theoretical concept of Jean Watson, such as the different Caritas, helps in deploying efforts and establishing emotional connections with patients. Apart from that, the support it reflects through completing the alignment between diverse patient values and providers worldwide creates conflict-free medical scenarios for the caregivers that also support PCC.</w:t>
      </w:r>
      <w:r w:rsidRPr="003E2808">
        <w:rPr>
          <w:rFonts w:ascii="Arial" w:hAnsi="Arial" w:cs="Arial"/>
          <w:sz w:val="22"/>
          <w:szCs w:val="22"/>
        </w:rPr>
        <w:br w:type="page"/>
      </w:r>
    </w:p>
    <w:p w14:paraId="77C5A736" w14:textId="68C67D5B" w:rsidR="00BF1C74" w:rsidRPr="003E2808" w:rsidRDefault="00BF1C74" w:rsidP="00BF1C74">
      <w:pPr>
        <w:pStyle w:val="Heading1"/>
        <w:spacing w:line="360" w:lineRule="auto"/>
        <w:rPr>
          <w:rFonts w:ascii="Arial" w:hAnsi="Arial" w:cs="Arial"/>
        </w:rPr>
      </w:pPr>
      <w:bookmarkStart w:id="6" w:name="_4swpe0633hzm" w:colFirst="0" w:colLast="0"/>
      <w:bookmarkStart w:id="7" w:name="_Toc235806313"/>
      <w:bookmarkEnd w:id="6"/>
      <w:r w:rsidRPr="003E2808">
        <w:rPr>
          <w:rFonts w:ascii="Arial" w:hAnsi="Arial" w:cs="Arial"/>
        </w:rPr>
        <w:t>Analysis regarding the ethical fundamentals of health and social care</w:t>
      </w:r>
      <w:bookmarkEnd w:id="7"/>
    </w:p>
    <w:p w14:paraId="74ACA7EB" w14:textId="59A0B021"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Autonomy</w:t>
      </w:r>
    </w:p>
    <w:p w14:paraId="1EB2D264" w14:textId="0C51E604"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Autonomy </w:t>
      </w:r>
      <w:r w:rsidR="008C46D7" w:rsidRPr="003E2808">
        <w:rPr>
          <w:rFonts w:ascii="Arial" w:hAnsi="Arial" w:cs="Arial"/>
          <w:sz w:val="22"/>
          <w:szCs w:val="22"/>
        </w:rPr>
        <w:t>states</w:t>
      </w:r>
      <w:r w:rsidRPr="003E2808">
        <w:rPr>
          <w:rFonts w:ascii="Arial" w:hAnsi="Arial" w:cs="Arial"/>
          <w:sz w:val="22"/>
          <w:szCs w:val="22"/>
        </w:rPr>
        <w:t xml:space="preserve"> as </w:t>
      </w:r>
      <w:r w:rsidR="008C46D7" w:rsidRPr="003E2808">
        <w:rPr>
          <w:rFonts w:ascii="Arial" w:hAnsi="Arial" w:cs="Arial"/>
          <w:sz w:val="22"/>
          <w:szCs w:val="22"/>
        </w:rPr>
        <w:t xml:space="preserve">the </w:t>
      </w:r>
      <w:r w:rsidRPr="003E2808">
        <w:rPr>
          <w:rFonts w:ascii="Arial" w:hAnsi="Arial" w:cs="Arial"/>
          <w:sz w:val="22"/>
          <w:szCs w:val="22"/>
        </w:rPr>
        <w:t xml:space="preserve">cornerstone of the ethical principle in health and social care, which also represents the profound commitment towards human dignity </w:t>
      </w:r>
      <w:r w:rsidR="008C46D7" w:rsidRPr="003E2808">
        <w:rPr>
          <w:rFonts w:ascii="Arial" w:hAnsi="Arial" w:cs="Arial"/>
          <w:sz w:val="22"/>
          <w:szCs w:val="22"/>
        </w:rPr>
        <w:t xml:space="preserve">as well as </w:t>
      </w:r>
      <w:r w:rsidRPr="003E2808">
        <w:rPr>
          <w:rFonts w:ascii="Arial" w:hAnsi="Arial" w:cs="Arial"/>
          <w:sz w:val="22"/>
          <w:szCs w:val="22"/>
        </w:rPr>
        <w:t>self-determination</w:t>
      </w:r>
      <w:sdt>
        <w:sdtPr>
          <w:rPr>
            <w:rFonts w:ascii="Arial" w:hAnsi="Arial" w:cs="Arial"/>
            <w:sz w:val="22"/>
            <w:szCs w:val="22"/>
          </w:rPr>
          <w:id w:val="-340311013"/>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Fla25 \l 1033 </w:instrText>
          </w:r>
          <w:r w:rsidRPr="003E2808">
            <w:rPr>
              <w:rFonts w:ascii="Arial" w:hAnsi="Arial" w:cs="Arial"/>
              <w:sz w:val="22"/>
              <w:szCs w:val="22"/>
            </w:rPr>
            <w:fldChar w:fldCharType="separate"/>
          </w:r>
          <w:r w:rsidRPr="003E2808">
            <w:rPr>
              <w:rFonts w:ascii="Arial" w:hAnsi="Arial" w:cs="Arial"/>
              <w:sz w:val="22"/>
              <w:szCs w:val="22"/>
            </w:rPr>
            <w:t xml:space="preserve"> (Flarey &amp; Katz, 2025)</w:t>
          </w:r>
          <w:r w:rsidRPr="003E2808">
            <w:rPr>
              <w:rFonts w:ascii="Arial" w:hAnsi="Arial" w:cs="Arial"/>
              <w:sz w:val="22"/>
              <w:szCs w:val="22"/>
            </w:rPr>
            <w:fldChar w:fldCharType="end"/>
          </w:r>
        </w:sdtContent>
      </w:sdt>
      <w:r w:rsidRPr="003E2808">
        <w:rPr>
          <w:rFonts w:ascii="Arial" w:hAnsi="Arial" w:cs="Arial"/>
          <w:sz w:val="22"/>
          <w:szCs w:val="22"/>
        </w:rPr>
        <w:t xml:space="preserve">. This principle recognises that every person's care services need to be prioritised equally regardless of their circumstance, possessions, and their own life and care. Informed choice, along with personal care and rights to recognition, are further essential aspects which need to be followed to implement autonomy. </w:t>
      </w:r>
    </w:p>
    <w:p w14:paraId="4D3E0F15" w14:textId="77777777"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Principle of Beneficence</w:t>
      </w:r>
    </w:p>
    <w:p w14:paraId="60D580C7" w14:textId="3C3CE7E0"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The principle of beneficence is another key ethical fundamental of health and social care, which acts as a proactive commitment to act in </w:t>
      </w:r>
      <w:r w:rsidR="008C46D7" w:rsidRPr="003E2808">
        <w:rPr>
          <w:rFonts w:ascii="Arial" w:hAnsi="Arial" w:cs="Arial"/>
          <w:sz w:val="22"/>
          <w:szCs w:val="22"/>
        </w:rPr>
        <w:t xml:space="preserve">a way </w:t>
      </w:r>
      <w:r w:rsidRPr="003E2808">
        <w:rPr>
          <w:rFonts w:ascii="Arial" w:hAnsi="Arial" w:cs="Arial"/>
          <w:sz w:val="22"/>
          <w:szCs w:val="22"/>
        </w:rPr>
        <w:t>that promote</w:t>
      </w:r>
      <w:r w:rsidR="008C46D7" w:rsidRPr="003E2808">
        <w:rPr>
          <w:rFonts w:ascii="Arial" w:hAnsi="Arial" w:cs="Arial"/>
          <w:sz w:val="22"/>
          <w:szCs w:val="22"/>
        </w:rPr>
        <w:t>s effective</w:t>
      </w:r>
      <w:r w:rsidRPr="003E2808">
        <w:rPr>
          <w:rFonts w:ascii="Arial" w:hAnsi="Arial" w:cs="Arial"/>
          <w:sz w:val="22"/>
          <w:szCs w:val="22"/>
        </w:rPr>
        <w:t xml:space="preserve"> wellbeing. This is the ethical principle that seeks to create supportive environments and enhance individuals' potential (Bognar and Hirose, 2022). Care planning, health promotion, skill development and fostering positive impact are the key steps to apply beneficence in health and social care. </w:t>
      </w:r>
    </w:p>
    <w:p w14:paraId="79BA3E90" w14:textId="77777777"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Non-maleficence in Care</w:t>
      </w:r>
    </w:p>
    <w:p w14:paraId="78FF0635"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This key fundamental of Health and Social care demands practitioners avoid practices that cause any harm through their actions or decisions</w:t>
      </w:r>
      <w:sdt>
        <w:sdtPr>
          <w:rPr>
            <w:rFonts w:ascii="Arial" w:hAnsi="Arial" w:cs="Arial"/>
            <w:sz w:val="22"/>
            <w:szCs w:val="22"/>
          </w:rPr>
          <w:id w:val="552661516"/>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Fla25 \l 1033 </w:instrText>
          </w:r>
          <w:r w:rsidRPr="003E2808">
            <w:rPr>
              <w:rFonts w:ascii="Arial" w:hAnsi="Arial" w:cs="Arial"/>
              <w:sz w:val="22"/>
              <w:szCs w:val="22"/>
            </w:rPr>
            <w:fldChar w:fldCharType="separate"/>
          </w:r>
          <w:r w:rsidRPr="003E2808">
            <w:rPr>
              <w:rFonts w:ascii="Arial" w:hAnsi="Arial" w:cs="Arial"/>
              <w:sz w:val="22"/>
              <w:szCs w:val="22"/>
            </w:rPr>
            <w:t xml:space="preserve"> (Flarey &amp; Katz, 2025)</w:t>
          </w:r>
          <w:r w:rsidRPr="003E2808">
            <w:rPr>
              <w:rFonts w:ascii="Arial" w:hAnsi="Arial" w:cs="Arial"/>
              <w:sz w:val="22"/>
              <w:szCs w:val="22"/>
            </w:rPr>
            <w:fldChar w:fldCharType="end"/>
          </w:r>
        </w:sdtContent>
      </w:sdt>
      <w:r w:rsidRPr="003E2808">
        <w:rPr>
          <w:rFonts w:ascii="Arial" w:hAnsi="Arial" w:cs="Arial"/>
          <w:sz w:val="22"/>
          <w:szCs w:val="22"/>
        </w:rPr>
        <w:t xml:space="preserve">. The mentioned critical principle ensures that support delivery prioritises essential safety and well-being of individuals at every distinct stage of care. Risk assessment, safe practice, preventive action and professional boundaries are the measures of this fundamental principle. </w:t>
      </w:r>
    </w:p>
    <w:p w14:paraId="6A9E0EAC" w14:textId="77777777"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Justice and Fairness</w:t>
      </w:r>
    </w:p>
    <w:p w14:paraId="4CA5BA38" w14:textId="749ED0CD"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Justice within </w:t>
      </w:r>
      <w:r w:rsidR="008C46D7" w:rsidRPr="003E2808">
        <w:rPr>
          <w:rFonts w:ascii="Arial" w:hAnsi="Arial" w:cs="Arial"/>
          <w:sz w:val="22"/>
          <w:szCs w:val="22"/>
        </w:rPr>
        <w:t xml:space="preserve">the mentioned health and social care practice </w:t>
      </w:r>
      <w:r w:rsidRPr="003E2808">
        <w:rPr>
          <w:rFonts w:ascii="Arial" w:hAnsi="Arial" w:cs="Arial"/>
          <w:sz w:val="22"/>
          <w:szCs w:val="22"/>
        </w:rPr>
        <w:t>represents a commitment towards ensuring equitable access to support and essential</w:t>
      </w:r>
      <w:r w:rsidR="008C46D7" w:rsidRPr="003E2808">
        <w:rPr>
          <w:rFonts w:ascii="Arial" w:hAnsi="Arial" w:cs="Arial"/>
          <w:sz w:val="22"/>
          <w:szCs w:val="22"/>
        </w:rPr>
        <w:t xml:space="preserve">s </w:t>
      </w:r>
      <w:r w:rsidRPr="003E2808">
        <w:rPr>
          <w:rFonts w:ascii="Arial" w:hAnsi="Arial" w:cs="Arial"/>
          <w:sz w:val="22"/>
          <w:szCs w:val="22"/>
        </w:rPr>
        <w:t>(Bognar and Hirose, 2022). This principle challenges the existing systematic inequalities and promotes support for recognising and respecting individuals’ perspectives. Practica</w:t>
      </w:r>
      <w:r w:rsidR="008C46D7" w:rsidRPr="003E2808">
        <w:rPr>
          <w:rFonts w:ascii="Arial" w:hAnsi="Arial" w:cs="Arial"/>
          <w:sz w:val="22"/>
          <w:szCs w:val="22"/>
        </w:rPr>
        <w:t>lly, the application of justice</w:t>
      </w:r>
      <w:r w:rsidRPr="003E2808">
        <w:rPr>
          <w:rFonts w:ascii="Arial" w:hAnsi="Arial" w:cs="Arial"/>
          <w:sz w:val="22"/>
          <w:szCs w:val="22"/>
        </w:rPr>
        <w:t xml:space="preserve"> and fairness requires a nuanced approach which goes beyond mere surface-level equality. Moreover, it also involves the development of support systems </w:t>
      </w:r>
      <w:r w:rsidR="008C46D7" w:rsidRPr="003E2808">
        <w:rPr>
          <w:rFonts w:ascii="Arial" w:hAnsi="Arial" w:cs="Arial"/>
          <w:sz w:val="22"/>
          <w:szCs w:val="22"/>
        </w:rPr>
        <w:t xml:space="preserve">which </w:t>
      </w:r>
      <w:r w:rsidRPr="003E2808">
        <w:rPr>
          <w:rFonts w:ascii="Arial" w:hAnsi="Arial" w:cs="Arial"/>
          <w:sz w:val="22"/>
          <w:szCs w:val="22"/>
        </w:rPr>
        <w:t xml:space="preserve">are flexible, diverse </w:t>
      </w:r>
      <w:r w:rsidR="008C46D7" w:rsidRPr="003E2808">
        <w:rPr>
          <w:rFonts w:ascii="Arial" w:hAnsi="Arial" w:cs="Arial"/>
          <w:sz w:val="22"/>
          <w:szCs w:val="22"/>
        </w:rPr>
        <w:t xml:space="preserve">and responsive, </w:t>
      </w:r>
      <w:r w:rsidRPr="003E2808">
        <w:rPr>
          <w:rFonts w:ascii="Arial" w:hAnsi="Arial" w:cs="Arial"/>
          <w:sz w:val="22"/>
          <w:szCs w:val="22"/>
        </w:rPr>
        <w:t xml:space="preserve">based on individuals’ needs. </w:t>
      </w:r>
      <w:r w:rsidRPr="003E2808">
        <w:rPr>
          <w:rFonts w:ascii="Arial" w:hAnsi="Arial" w:cs="Arial"/>
          <w:sz w:val="22"/>
          <w:szCs w:val="22"/>
        </w:rPr>
        <w:br w:type="page"/>
      </w:r>
    </w:p>
    <w:p w14:paraId="273C8838" w14:textId="2DBEECE7" w:rsidR="008D627F" w:rsidRPr="003E2808" w:rsidRDefault="00BD79A7" w:rsidP="00BF1C74">
      <w:pPr>
        <w:pStyle w:val="Heading1"/>
        <w:spacing w:line="360" w:lineRule="auto"/>
        <w:rPr>
          <w:rFonts w:ascii="Arial" w:hAnsi="Arial" w:cs="Arial"/>
        </w:rPr>
      </w:pPr>
      <w:bookmarkStart w:id="8" w:name="_Toc235806314"/>
      <w:r w:rsidRPr="003E2808">
        <w:rPr>
          <w:rFonts w:ascii="Arial" w:hAnsi="Arial" w:cs="Arial"/>
        </w:rPr>
        <w:t>Evaluat</w:t>
      </w:r>
      <w:r w:rsidR="00850C6B" w:rsidRPr="003E2808">
        <w:rPr>
          <w:rFonts w:ascii="Arial" w:hAnsi="Arial" w:cs="Arial"/>
        </w:rPr>
        <w:t>ion of</w:t>
      </w:r>
      <w:r w:rsidRPr="003E2808">
        <w:rPr>
          <w:rFonts w:ascii="Arial" w:hAnsi="Arial" w:cs="Arial"/>
        </w:rPr>
        <w:t xml:space="preserve"> partnership working in health and social care</w:t>
      </w:r>
      <w:bookmarkEnd w:id="8"/>
    </w:p>
    <w:p w14:paraId="58428AD5"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Role of partnership in Improving Person-Centred and Integrated Care</w:t>
      </w:r>
    </w:p>
    <w:p w14:paraId="0BD4F9F4" w14:textId="7A47217F"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 xml:space="preserve">Partnership working is one of the essential aspects of </w:t>
      </w:r>
      <w:r w:rsidR="008C46D7" w:rsidRPr="003E2808">
        <w:rPr>
          <w:rFonts w:ascii="Arial" w:hAnsi="Arial" w:cs="Arial"/>
          <w:sz w:val="22"/>
          <w:szCs w:val="22"/>
        </w:rPr>
        <w:t xml:space="preserve">UK-based </w:t>
      </w:r>
      <w:r w:rsidRPr="003E2808">
        <w:rPr>
          <w:rFonts w:ascii="Arial" w:hAnsi="Arial" w:cs="Arial"/>
          <w:sz w:val="22"/>
          <w:szCs w:val="22"/>
        </w:rPr>
        <w:t>health and social care</w:t>
      </w:r>
      <w:r w:rsidR="008C46D7" w:rsidRPr="003E2808">
        <w:rPr>
          <w:rFonts w:ascii="Arial" w:hAnsi="Arial" w:cs="Arial"/>
          <w:sz w:val="22"/>
          <w:szCs w:val="22"/>
        </w:rPr>
        <w:t xml:space="preserve"> options</w:t>
      </w:r>
      <w:r w:rsidRPr="003E2808">
        <w:rPr>
          <w:rFonts w:ascii="Arial" w:hAnsi="Arial" w:cs="Arial"/>
          <w:sz w:val="22"/>
          <w:szCs w:val="22"/>
        </w:rPr>
        <w:t>, as it balances person-centred care alongside persistent structural and financial hurdles. It helps in enhancing seamless transition between people and hospital care, and it combines the medical and social data for the development of a better care plan (</w:t>
      </w:r>
      <w:r w:rsidRPr="003E2808">
        <w:rPr>
          <w:rFonts w:ascii="Arial" w:hAnsi="Arial" w:cs="Arial"/>
          <w:sz w:val="22"/>
          <w:szCs w:val="22"/>
          <w:highlight w:val="white"/>
        </w:rPr>
        <w:t>Morgan and Yaskey</w:t>
      </w:r>
      <w:r w:rsidRPr="003E2808">
        <w:rPr>
          <w:rFonts w:ascii="Arial" w:hAnsi="Arial" w:cs="Arial"/>
          <w:sz w:val="22"/>
          <w:szCs w:val="22"/>
        </w:rPr>
        <w:t xml:space="preserve">, </w:t>
      </w:r>
      <w:r w:rsidRPr="003E2808">
        <w:rPr>
          <w:rFonts w:ascii="Arial" w:hAnsi="Arial" w:cs="Arial"/>
          <w:sz w:val="22"/>
          <w:szCs w:val="22"/>
          <w:highlight w:val="white"/>
        </w:rPr>
        <w:t>2025</w:t>
      </w:r>
      <w:r w:rsidRPr="003E2808">
        <w:rPr>
          <w:rFonts w:ascii="Arial" w:hAnsi="Arial" w:cs="Arial"/>
          <w:sz w:val="22"/>
          <w:szCs w:val="22"/>
        </w:rPr>
        <w:t xml:space="preserve">). Partnership working has enabled the growth in health care through Integrated Care Systems (ICSs) established under the Health and Care Act 2022. As a result, NHS organisations, local authorities, voluntary groups and care providers collaborate to help patients in need, and it reduces the risk of fragmented care. As a result, people are given opportunities to be a part of preventive care and supported </w:t>
      </w:r>
      <w:r w:rsidR="00AA24BA" w:rsidRPr="003E2808">
        <w:rPr>
          <w:rFonts w:ascii="Arial" w:hAnsi="Arial" w:cs="Arial"/>
          <w:sz w:val="22"/>
          <w:szCs w:val="22"/>
        </w:rPr>
        <w:t xml:space="preserve">by </w:t>
      </w:r>
      <w:r w:rsidRPr="003E2808">
        <w:rPr>
          <w:rFonts w:ascii="Arial" w:hAnsi="Arial" w:cs="Arial"/>
          <w:sz w:val="22"/>
          <w:szCs w:val="22"/>
        </w:rPr>
        <w:t>community-based services</w:t>
      </w:r>
      <w:sdt>
        <w:sdtPr>
          <w:rPr>
            <w:rFonts w:ascii="Arial" w:hAnsi="Arial" w:cs="Arial"/>
            <w:sz w:val="22"/>
            <w:szCs w:val="22"/>
          </w:rPr>
          <w:id w:val="2078471897"/>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NHS2611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(NHS England, 2026)</w:t>
          </w:r>
          <w:r w:rsidR="00303B4F" w:rsidRPr="003E2808">
            <w:rPr>
              <w:rFonts w:ascii="Arial" w:hAnsi="Arial" w:cs="Arial"/>
              <w:sz w:val="22"/>
              <w:szCs w:val="22"/>
            </w:rPr>
            <w:fldChar w:fldCharType="end"/>
          </w:r>
        </w:sdtContent>
      </w:sdt>
      <w:r w:rsidRPr="003E2808">
        <w:rPr>
          <w:rFonts w:ascii="Arial" w:hAnsi="Arial" w:cs="Arial"/>
          <w:sz w:val="22"/>
          <w:szCs w:val="22"/>
        </w:rPr>
        <w:t xml:space="preserve">. </w:t>
      </w:r>
    </w:p>
    <w:p w14:paraId="0485C0B0"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Ongoing Challenges and Limitations</w:t>
      </w:r>
    </w:p>
    <w:p w14:paraId="463C66E7" w14:textId="268A9F58" w:rsidR="00BF1C74" w:rsidRPr="003E2808" w:rsidRDefault="00BD79A7" w:rsidP="00BF1C74">
      <w:pPr>
        <w:spacing w:line="360" w:lineRule="auto"/>
        <w:rPr>
          <w:rFonts w:ascii="Arial" w:hAnsi="Arial" w:cs="Arial"/>
        </w:rPr>
      </w:pPr>
      <w:r w:rsidRPr="003E2808">
        <w:rPr>
          <w:rFonts w:ascii="Arial" w:hAnsi="Arial" w:cs="Arial"/>
          <w:sz w:val="22"/>
          <w:szCs w:val="22"/>
        </w:rPr>
        <w:t>There are several structural and operational challenges within the process of partnership working, due to the diversity in the organisational policies. Uneven outcomes can be noticed in the governance arrangements and decision-making processes regarding a treatment plan for the patient under Integrated Care Systems. Therefore</w:t>
      </w:r>
      <w:r w:rsidR="00303B4F" w:rsidRPr="003E2808">
        <w:rPr>
          <w:rFonts w:ascii="Arial" w:hAnsi="Arial" w:cs="Arial"/>
          <w:sz w:val="22"/>
          <w:szCs w:val="22"/>
        </w:rPr>
        <w:t>, long-term</w:t>
      </w:r>
      <w:r w:rsidRPr="003E2808">
        <w:rPr>
          <w:rFonts w:ascii="Arial" w:hAnsi="Arial" w:cs="Arial"/>
          <w:sz w:val="22"/>
          <w:szCs w:val="22"/>
        </w:rPr>
        <w:t xml:space="preserve"> effectiveness of partnership working depends on addressing systemic challenges and ensuring consistent implementation </w:t>
      </w:r>
      <w:r w:rsidR="00303B4F" w:rsidRPr="003E2808">
        <w:rPr>
          <w:rFonts w:ascii="Arial" w:hAnsi="Arial" w:cs="Arial"/>
          <w:sz w:val="22"/>
          <w:szCs w:val="22"/>
        </w:rPr>
        <w:t xml:space="preserve">across </w:t>
      </w:r>
      <w:r w:rsidRPr="003E2808">
        <w:rPr>
          <w:rFonts w:ascii="Arial" w:hAnsi="Arial" w:cs="Arial"/>
          <w:sz w:val="22"/>
          <w:szCs w:val="22"/>
        </w:rPr>
        <w:t>regions</w:t>
      </w:r>
      <w:sdt>
        <w:sdtPr>
          <w:rPr>
            <w:rFonts w:ascii="Arial" w:hAnsi="Arial" w:cs="Arial"/>
            <w:sz w:val="22"/>
            <w:szCs w:val="22"/>
          </w:rPr>
          <w:id w:val="436792181"/>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Mar2414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(Sanderson, 2024)</w:t>
          </w:r>
          <w:r w:rsidR="00303B4F" w:rsidRPr="003E2808">
            <w:rPr>
              <w:rFonts w:ascii="Arial" w:hAnsi="Arial" w:cs="Arial"/>
              <w:sz w:val="22"/>
              <w:szCs w:val="22"/>
            </w:rPr>
            <w:fldChar w:fldCharType="end"/>
          </w:r>
        </w:sdtContent>
      </w:sdt>
      <w:r w:rsidRPr="003E2808">
        <w:rPr>
          <w:rFonts w:ascii="Arial" w:hAnsi="Arial" w:cs="Arial"/>
          <w:sz w:val="22"/>
          <w:szCs w:val="22"/>
        </w:rPr>
        <w:t>.</w:t>
      </w:r>
      <w:r w:rsidRPr="003E2808">
        <w:rPr>
          <w:rFonts w:ascii="Arial" w:hAnsi="Arial" w:cs="Arial"/>
        </w:rPr>
        <w:t xml:space="preserve"> </w:t>
      </w:r>
    </w:p>
    <w:p w14:paraId="2F0FC970" w14:textId="77777777" w:rsidR="00BF1C74" w:rsidRPr="003E2808" w:rsidRDefault="00BF1C74" w:rsidP="00BF1C74">
      <w:pPr>
        <w:spacing w:line="360" w:lineRule="auto"/>
        <w:rPr>
          <w:rFonts w:ascii="Arial" w:hAnsi="Arial" w:cs="Arial"/>
        </w:rPr>
      </w:pPr>
      <w:r w:rsidRPr="003E2808">
        <w:rPr>
          <w:rFonts w:ascii="Arial" w:hAnsi="Arial" w:cs="Arial"/>
        </w:rPr>
        <w:br w:type="page"/>
      </w:r>
    </w:p>
    <w:p w14:paraId="0BAF98B2" w14:textId="77777777" w:rsidR="00BF1C74" w:rsidRPr="003E2808" w:rsidRDefault="00BF1C74" w:rsidP="00BF1C74">
      <w:pPr>
        <w:pStyle w:val="Heading1"/>
        <w:spacing w:line="360" w:lineRule="auto"/>
        <w:rPr>
          <w:rFonts w:ascii="Arial" w:hAnsi="Arial" w:cs="Arial"/>
        </w:rPr>
      </w:pPr>
      <w:bookmarkStart w:id="9" w:name="_Toc235806315"/>
      <w:r w:rsidRPr="003E2808">
        <w:rPr>
          <w:rFonts w:ascii="Arial" w:hAnsi="Arial" w:cs="Arial"/>
        </w:rPr>
        <w:t>Application of partnership working in a practical health and social care setting</w:t>
      </w:r>
      <w:bookmarkEnd w:id="9"/>
    </w:p>
    <w:p w14:paraId="6A819152" w14:textId="77777777" w:rsidR="00BF1C74" w:rsidRPr="003E2808" w:rsidRDefault="00BF1C74" w:rsidP="00BF1C74">
      <w:pPr>
        <w:spacing w:line="360" w:lineRule="auto"/>
        <w:rPr>
          <w:rFonts w:ascii="Arial" w:hAnsi="Arial" w:cs="Arial"/>
          <w:b/>
          <w:bCs/>
          <w:i/>
          <w:iCs/>
        </w:rPr>
      </w:pPr>
      <w:r w:rsidRPr="003E2808">
        <w:rPr>
          <w:rFonts w:ascii="Arial" w:hAnsi="Arial" w:cs="Arial"/>
          <w:b/>
          <w:bCs/>
          <w:i/>
          <w:iCs/>
        </w:rPr>
        <w:t xml:space="preserve">Practical examples of the application of partnership working in the practical health and social care </w:t>
      </w:r>
    </w:p>
    <w:p w14:paraId="07B0DA86"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NHS staff significantly fostered partnerships with several social work teams to arrange immense support before a patient returns home (Thana et al., 2025). This reflects the true instance of partnership working across a practical health and social care setting. Joint teams of NHS nurses, along with the members of social care teams who mainly deliver therapeutic services, set up short-term, free-of-charge care. The true instance of partnership in working at the NHS was noticed when an 82-year-old patient was admitted for a chest infection. Strategic partnership and collaborative efforts between the NHS healthcare teams and social workers have arranged practical home modifications to ensure safe return after care</w:t>
      </w:r>
      <w:sdt>
        <w:sdtPr>
          <w:rPr>
            <w:rFonts w:ascii="Arial" w:hAnsi="Arial" w:cs="Arial"/>
            <w:sz w:val="22"/>
            <w:szCs w:val="22"/>
          </w:rPr>
          <w:id w:val="-1803070516"/>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Nik261 \l 1033 </w:instrText>
          </w:r>
          <w:r w:rsidRPr="003E2808">
            <w:rPr>
              <w:rFonts w:ascii="Arial" w:hAnsi="Arial" w:cs="Arial"/>
              <w:sz w:val="22"/>
              <w:szCs w:val="22"/>
            </w:rPr>
            <w:fldChar w:fldCharType="separate"/>
          </w:r>
          <w:r w:rsidRPr="003E2808">
            <w:rPr>
              <w:rFonts w:ascii="Arial" w:hAnsi="Arial" w:cs="Arial"/>
              <w:sz w:val="22"/>
              <w:szCs w:val="22"/>
            </w:rPr>
            <w:t xml:space="preserve"> (Fox, 2026)</w:t>
          </w:r>
          <w:r w:rsidRPr="003E2808">
            <w:rPr>
              <w:rFonts w:ascii="Arial" w:hAnsi="Arial" w:cs="Arial"/>
              <w:sz w:val="22"/>
              <w:szCs w:val="22"/>
            </w:rPr>
            <w:fldChar w:fldCharType="end"/>
          </w:r>
        </w:sdtContent>
      </w:sdt>
      <w:r w:rsidRPr="003E2808">
        <w:rPr>
          <w:rFonts w:ascii="Arial" w:hAnsi="Arial" w:cs="Arial"/>
          <w:sz w:val="22"/>
          <w:szCs w:val="22"/>
        </w:rPr>
        <w:t xml:space="preserve">. </w:t>
      </w:r>
    </w:p>
    <w:p w14:paraId="26BBF117" w14:textId="77777777" w:rsidR="00BF1C74" w:rsidRPr="003E2808" w:rsidRDefault="00BF1C74" w:rsidP="00BF1C74">
      <w:pPr>
        <w:spacing w:line="360" w:lineRule="auto"/>
        <w:rPr>
          <w:rFonts w:ascii="Arial" w:hAnsi="Arial" w:cs="Arial"/>
          <w:b/>
          <w:bCs/>
          <w:i/>
          <w:iCs/>
          <w:sz w:val="22"/>
          <w:szCs w:val="22"/>
        </w:rPr>
      </w:pPr>
      <w:r w:rsidRPr="003E2808">
        <w:rPr>
          <w:rFonts w:ascii="Arial" w:hAnsi="Arial" w:cs="Arial"/>
          <w:b/>
          <w:bCs/>
          <w:i/>
          <w:iCs/>
          <w:sz w:val="22"/>
          <w:szCs w:val="22"/>
        </w:rPr>
        <w:t xml:space="preserve">Outcomes of the application of partnership working in a practical health and social care setting </w:t>
      </w:r>
    </w:p>
    <w:p w14:paraId="46BB9D34" w14:textId="27935E0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The practical implementation of the caregiving practices in the form of partnership working in the health and social care setting helped free up hospital beds. This is also considered as a key element for reducing hospital waiting times</w:t>
      </w:r>
      <w:sdt>
        <w:sdtPr>
          <w:rPr>
            <w:rFonts w:ascii="Arial" w:hAnsi="Arial" w:cs="Arial"/>
            <w:sz w:val="22"/>
            <w:szCs w:val="22"/>
          </w:rPr>
          <w:id w:val="-329454979"/>
          <w:citation/>
        </w:sdtPr>
        <w:sdtEndPr/>
        <w:sdtContent>
          <w:r w:rsidRPr="003E2808">
            <w:rPr>
              <w:rFonts w:ascii="Arial" w:hAnsi="Arial" w:cs="Arial"/>
              <w:sz w:val="22"/>
              <w:szCs w:val="22"/>
            </w:rPr>
            <w:fldChar w:fldCharType="begin"/>
          </w:r>
          <w:r w:rsidRPr="003E2808">
            <w:rPr>
              <w:rFonts w:ascii="Arial" w:hAnsi="Arial" w:cs="Arial"/>
              <w:sz w:val="22"/>
              <w:szCs w:val="22"/>
            </w:rPr>
            <w:instrText xml:space="preserve"> CITATION Nik261 \l 1033 </w:instrText>
          </w:r>
          <w:r w:rsidRPr="003E2808">
            <w:rPr>
              <w:rFonts w:ascii="Arial" w:hAnsi="Arial" w:cs="Arial"/>
              <w:sz w:val="22"/>
              <w:szCs w:val="22"/>
            </w:rPr>
            <w:fldChar w:fldCharType="separate"/>
          </w:r>
          <w:r w:rsidRPr="003E2808">
            <w:rPr>
              <w:rFonts w:ascii="Arial" w:hAnsi="Arial" w:cs="Arial"/>
              <w:sz w:val="22"/>
              <w:szCs w:val="22"/>
            </w:rPr>
            <w:t xml:space="preserve"> (Fox, 2026)</w:t>
          </w:r>
          <w:r w:rsidRPr="003E2808">
            <w:rPr>
              <w:rFonts w:ascii="Arial" w:hAnsi="Arial" w:cs="Arial"/>
              <w:sz w:val="22"/>
              <w:szCs w:val="22"/>
            </w:rPr>
            <w:fldChar w:fldCharType="end"/>
          </w:r>
        </w:sdtContent>
      </w:sdt>
      <w:r w:rsidRPr="003E2808">
        <w:rPr>
          <w:rFonts w:ascii="Arial" w:hAnsi="Arial" w:cs="Arial"/>
          <w:sz w:val="22"/>
          <w:szCs w:val="22"/>
        </w:rPr>
        <w:t xml:space="preserve">. The partnership working approach in the caregiving practices helps in managing complex patient discharge cases without facing any type of further trouble and facilitating the care team. On the other hand, the reduction of wait time at hospitals for patients has also delivered satisfaction and a true sense of support among the sufferers. </w:t>
      </w:r>
    </w:p>
    <w:p w14:paraId="3AABEC3A"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br w:type="page"/>
      </w:r>
    </w:p>
    <w:p w14:paraId="3F307A75" w14:textId="7B1A7A2B" w:rsidR="008D627F" w:rsidRPr="003E2808" w:rsidRDefault="00850C6B" w:rsidP="00BF1C74">
      <w:pPr>
        <w:pStyle w:val="Heading1"/>
        <w:spacing w:line="360" w:lineRule="auto"/>
        <w:rPr>
          <w:rFonts w:ascii="Arial" w:hAnsi="Arial" w:cs="Arial"/>
          <w:sz w:val="24"/>
          <w:szCs w:val="24"/>
        </w:rPr>
      </w:pPr>
      <w:bookmarkStart w:id="10" w:name="_fz001xf75gne" w:colFirst="0" w:colLast="0"/>
      <w:bookmarkStart w:id="11" w:name="_qgp0smfxzvah" w:colFirst="0" w:colLast="0"/>
      <w:bookmarkStart w:id="12" w:name="_Toc235806316"/>
      <w:bookmarkEnd w:id="10"/>
      <w:bookmarkEnd w:id="11"/>
      <w:r w:rsidRPr="003E2808">
        <w:rPr>
          <w:rFonts w:ascii="Arial" w:hAnsi="Arial" w:cs="Arial"/>
        </w:rPr>
        <w:t>Assessment of policy and legislation linked with Person-centred care and Partnership Working</w:t>
      </w:r>
      <w:bookmarkEnd w:id="12"/>
      <w:r w:rsidRPr="003E2808">
        <w:rPr>
          <w:rFonts w:ascii="Arial" w:hAnsi="Arial" w:cs="Arial"/>
        </w:rPr>
        <w:t xml:space="preserve"> </w:t>
      </w:r>
    </w:p>
    <w:p w14:paraId="41D6C354"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Health and Care Act 2022</w:t>
      </w:r>
    </w:p>
    <w:p w14:paraId="67104BC6" w14:textId="306CBBCD"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 xml:space="preserve">This law has an aim to reform the approaches of the National Health Service due to the introduction of Integrated Care Systems, which can enhance governmental oversight. Better collaboration in planning and delivering has taken place through this Act, as it has led to the </w:t>
      </w:r>
      <w:r w:rsidR="008C46D7" w:rsidRPr="003E2808">
        <w:rPr>
          <w:rFonts w:ascii="Arial" w:hAnsi="Arial" w:cs="Arial"/>
          <w:sz w:val="22"/>
          <w:szCs w:val="22"/>
        </w:rPr>
        <w:t>generation</w:t>
      </w:r>
      <w:r w:rsidRPr="003E2808">
        <w:rPr>
          <w:rFonts w:ascii="Arial" w:hAnsi="Arial" w:cs="Arial"/>
          <w:sz w:val="22"/>
          <w:szCs w:val="22"/>
        </w:rPr>
        <w:t xml:space="preserve"> </w:t>
      </w:r>
      <w:r w:rsidR="00303B4F" w:rsidRPr="003E2808">
        <w:rPr>
          <w:rFonts w:ascii="Arial" w:hAnsi="Arial" w:cs="Arial"/>
          <w:sz w:val="22"/>
          <w:szCs w:val="22"/>
        </w:rPr>
        <w:t>of Integrated</w:t>
      </w:r>
      <w:r w:rsidRPr="003E2808">
        <w:rPr>
          <w:rFonts w:ascii="Arial" w:hAnsi="Arial" w:cs="Arial"/>
          <w:sz w:val="22"/>
          <w:szCs w:val="22"/>
        </w:rPr>
        <w:t xml:space="preserve"> Care Boards and Integrated Care Partnerships </w:t>
      </w:r>
      <w:sdt>
        <w:sdtPr>
          <w:rPr>
            <w:rFonts w:ascii="Arial" w:hAnsi="Arial" w:cs="Arial"/>
            <w:sz w:val="22"/>
            <w:szCs w:val="22"/>
          </w:rPr>
          <w:id w:val="2047325836"/>
          <w:citation/>
        </w:sdtPr>
        <w:sdtEndPr/>
        <w:sdtContent>
          <w:r w:rsidR="00374A1A" w:rsidRPr="003E2808">
            <w:rPr>
              <w:rFonts w:ascii="Arial" w:hAnsi="Arial" w:cs="Arial"/>
              <w:sz w:val="22"/>
              <w:szCs w:val="22"/>
            </w:rPr>
            <w:fldChar w:fldCharType="begin"/>
          </w:r>
          <w:r w:rsidR="00374A1A" w:rsidRPr="003E2808">
            <w:rPr>
              <w:rFonts w:ascii="Arial" w:hAnsi="Arial" w:cs="Arial"/>
              <w:sz w:val="22"/>
              <w:szCs w:val="22"/>
            </w:rPr>
            <w:instrText xml:space="preserve"> CITATION NHS2611 \l 1033 </w:instrText>
          </w:r>
          <w:r w:rsidR="00374A1A" w:rsidRPr="003E2808">
            <w:rPr>
              <w:rFonts w:ascii="Arial" w:hAnsi="Arial" w:cs="Arial"/>
              <w:sz w:val="22"/>
              <w:szCs w:val="22"/>
            </w:rPr>
            <w:fldChar w:fldCharType="separate"/>
          </w:r>
          <w:r w:rsidR="00374A1A" w:rsidRPr="003E2808">
            <w:rPr>
              <w:rFonts w:ascii="Arial" w:hAnsi="Arial" w:cs="Arial"/>
              <w:sz w:val="22"/>
              <w:szCs w:val="22"/>
            </w:rPr>
            <w:t>(NHS England, 2026)</w:t>
          </w:r>
          <w:r w:rsidR="00374A1A" w:rsidRPr="003E2808">
            <w:rPr>
              <w:rFonts w:ascii="Arial" w:hAnsi="Arial" w:cs="Arial"/>
              <w:sz w:val="22"/>
              <w:szCs w:val="22"/>
            </w:rPr>
            <w:fldChar w:fldCharType="end"/>
          </w:r>
        </w:sdtContent>
      </w:sdt>
      <w:r w:rsidRPr="003E2808">
        <w:rPr>
          <w:rFonts w:ascii="Arial" w:hAnsi="Arial" w:cs="Arial"/>
          <w:sz w:val="22"/>
          <w:szCs w:val="22"/>
        </w:rPr>
        <w:t xml:space="preserve">. Moreover, it has introduced Triple Aim, which has empowered organisations to improve the formation of population health, elevate service quality while utilising resources sustainably. Giving power to the Care Quality Commission led to the growth of social care and coordinated care pathways through which a better reflection of individual needs and preferences is observed. </w:t>
      </w:r>
    </w:p>
    <w:p w14:paraId="7737D819"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 xml:space="preserve">Current Statutory Guidance as Care Act 2014 </w:t>
      </w:r>
    </w:p>
    <w:p w14:paraId="346A29E0" w14:textId="4E1AD230"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This is one of the principal pieces of legislation that has been governing adult social care, and it is continuously supported by updated statutory guidance. The prime principles of the Act are supporting individual well-being, assessing needs and care, effective care planning, service delivery, and ensuring that people are actively involved in the related decisions. It safeguards adults who are witnessing abuse and neglect by leading multi-agency responses. Updated government guidance reinstated that partn</w:t>
      </w:r>
      <w:r w:rsidRPr="003E2808">
        <w:rPr>
          <w:rFonts w:ascii="Arial" w:hAnsi="Arial" w:cs="Arial"/>
          <w:sz w:val="22"/>
          <w:szCs w:val="22"/>
        </w:rPr>
        <w:t>ership working should involve health services, social care and community organisations to drive better outcomes for individuals and carers</w:t>
      </w:r>
      <w:sdt>
        <w:sdtPr>
          <w:rPr>
            <w:rFonts w:ascii="Arial" w:hAnsi="Arial" w:cs="Arial"/>
            <w:sz w:val="22"/>
            <w:szCs w:val="22"/>
          </w:rPr>
          <w:id w:val="-602572423"/>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GOV2516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(GOV.UK, 2025)</w:t>
          </w:r>
          <w:r w:rsidR="00303B4F" w:rsidRPr="003E2808">
            <w:rPr>
              <w:rFonts w:ascii="Arial" w:hAnsi="Arial" w:cs="Arial"/>
              <w:sz w:val="22"/>
              <w:szCs w:val="22"/>
            </w:rPr>
            <w:fldChar w:fldCharType="end"/>
          </w:r>
        </w:sdtContent>
      </w:sdt>
      <w:r w:rsidRPr="003E2808">
        <w:rPr>
          <w:rFonts w:ascii="Arial" w:hAnsi="Arial" w:cs="Arial"/>
          <w:sz w:val="22"/>
          <w:szCs w:val="22"/>
        </w:rPr>
        <w:t>.</w:t>
      </w:r>
    </w:p>
    <w:p w14:paraId="67D53457" w14:textId="77777777" w:rsidR="008D627F" w:rsidRPr="003E2808" w:rsidRDefault="00BD79A7" w:rsidP="00BF1C74">
      <w:pPr>
        <w:spacing w:line="360" w:lineRule="auto"/>
        <w:rPr>
          <w:rFonts w:ascii="Arial" w:hAnsi="Arial" w:cs="Arial"/>
          <w:sz w:val="22"/>
          <w:szCs w:val="22"/>
        </w:rPr>
      </w:pPr>
      <w:r w:rsidRPr="003E2808">
        <w:rPr>
          <w:rFonts w:ascii="Arial" w:hAnsi="Arial" w:cs="Arial"/>
          <w:b/>
          <w:bCs/>
          <w:i/>
          <w:iCs/>
          <w:sz w:val="22"/>
          <w:szCs w:val="22"/>
        </w:rPr>
        <w:t xml:space="preserve">NHS England Statutory Guidance on Working in Partnership </w:t>
      </w:r>
    </w:p>
    <w:p w14:paraId="7945CFC2" w14:textId="269ADD9F"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Person-centred care has been boosted by the updated statutory guidance from NHS England, and it ensured the involvement of Integrated Care Boards along with the patients, carers and communities. During service-planning and decision-making, co-production, equality, inclusion and shared accountability are sustained, through which the experiences of the people are prioritised. This approach fosters a fruitful combination of the approaches of the healthcare professionals, local communities and service users, wh</w:t>
      </w:r>
      <w:r w:rsidRPr="003E2808">
        <w:rPr>
          <w:rFonts w:ascii="Arial" w:hAnsi="Arial" w:cs="Arial"/>
          <w:sz w:val="22"/>
          <w:szCs w:val="22"/>
        </w:rPr>
        <w:t>ich can develop trust among them, giving rise to more responsiveness</w:t>
      </w:r>
      <w:sdt>
        <w:sdtPr>
          <w:rPr>
            <w:rFonts w:ascii="Arial" w:hAnsi="Arial" w:cs="Arial"/>
            <w:sz w:val="22"/>
            <w:szCs w:val="22"/>
          </w:rPr>
          <w:id w:val="-1441993195"/>
          <w:citation/>
        </w:sdtPr>
        <w:sdtEndPr/>
        <w:sdtContent>
          <w:r w:rsidR="00303B4F" w:rsidRPr="003E2808">
            <w:rPr>
              <w:rFonts w:ascii="Arial" w:hAnsi="Arial" w:cs="Arial"/>
              <w:sz w:val="22"/>
              <w:szCs w:val="22"/>
            </w:rPr>
            <w:fldChar w:fldCharType="begin"/>
          </w:r>
          <w:r w:rsidR="00303B4F" w:rsidRPr="003E2808">
            <w:rPr>
              <w:rFonts w:ascii="Arial" w:hAnsi="Arial" w:cs="Arial"/>
              <w:sz w:val="22"/>
              <w:szCs w:val="22"/>
            </w:rPr>
            <w:instrText xml:space="preserve"> CITATION NHS2612 \l 1033 </w:instrText>
          </w:r>
          <w:r w:rsidR="00303B4F" w:rsidRPr="003E2808">
            <w:rPr>
              <w:rFonts w:ascii="Arial" w:hAnsi="Arial" w:cs="Arial"/>
              <w:sz w:val="22"/>
              <w:szCs w:val="22"/>
            </w:rPr>
            <w:fldChar w:fldCharType="separate"/>
          </w:r>
          <w:r w:rsidR="00303B4F" w:rsidRPr="003E2808">
            <w:rPr>
              <w:rFonts w:ascii="Arial" w:hAnsi="Arial" w:cs="Arial"/>
              <w:sz w:val="22"/>
              <w:szCs w:val="22"/>
            </w:rPr>
            <w:t xml:space="preserve"> (NHS England, 2026)</w:t>
          </w:r>
          <w:r w:rsidR="00303B4F" w:rsidRPr="003E2808">
            <w:rPr>
              <w:rFonts w:ascii="Arial" w:hAnsi="Arial" w:cs="Arial"/>
              <w:sz w:val="22"/>
              <w:szCs w:val="22"/>
            </w:rPr>
            <w:fldChar w:fldCharType="end"/>
          </w:r>
        </w:sdtContent>
      </w:sdt>
      <w:r w:rsidRPr="003E2808">
        <w:rPr>
          <w:rFonts w:ascii="Arial" w:hAnsi="Arial" w:cs="Arial"/>
          <w:sz w:val="22"/>
          <w:szCs w:val="22"/>
        </w:rPr>
        <w:t xml:space="preserve">. </w:t>
      </w:r>
    </w:p>
    <w:p w14:paraId="3AE15FF3" w14:textId="77777777" w:rsidR="00A029CA" w:rsidRPr="003E2808" w:rsidRDefault="00A029CA" w:rsidP="00BF1C74">
      <w:pPr>
        <w:spacing w:line="360" w:lineRule="auto"/>
        <w:rPr>
          <w:rFonts w:ascii="Arial" w:hAnsi="Arial" w:cs="Arial"/>
          <w:b/>
          <w:bCs/>
          <w:sz w:val="28"/>
          <w:szCs w:val="28"/>
        </w:rPr>
      </w:pPr>
      <w:bookmarkStart w:id="13" w:name="_zc7qbchaf7xe" w:colFirst="0" w:colLast="0"/>
      <w:bookmarkEnd w:id="13"/>
      <w:r w:rsidRPr="003E2808">
        <w:rPr>
          <w:rFonts w:ascii="Arial" w:hAnsi="Arial" w:cs="Arial"/>
        </w:rPr>
        <w:br w:type="page"/>
      </w:r>
    </w:p>
    <w:p w14:paraId="064043BC" w14:textId="74338E6B" w:rsidR="008D627F" w:rsidRPr="003E2808" w:rsidRDefault="00850C6B" w:rsidP="00BF1C74">
      <w:pPr>
        <w:pStyle w:val="Heading1"/>
        <w:spacing w:line="360" w:lineRule="auto"/>
        <w:rPr>
          <w:rFonts w:ascii="Arial" w:hAnsi="Arial" w:cs="Arial"/>
        </w:rPr>
      </w:pPr>
      <w:bookmarkStart w:id="14" w:name="_Toc235806317"/>
      <w:r w:rsidRPr="003E2808">
        <w:rPr>
          <w:rFonts w:ascii="Arial" w:hAnsi="Arial" w:cs="Arial"/>
        </w:rPr>
        <w:t>Recommendations for future development of the UK-based Person-centred care and partnership working</w:t>
      </w:r>
      <w:bookmarkEnd w:id="14"/>
      <w:r w:rsidRPr="003E2808">
        <w:rPr>
          <w:rFonts w:ascii="Arial" w:hAnsi="Arial" w:cs="Arial"/>
        </w:rPr>
        <w:t xml:space="preserve"> </w:t>
      </w:r>
    </w:p>
    <w:p w14:paraId="6A733951"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Unified AI-Enabled Personal Care Coordination Platform</w:t>
      </w:r>
    </w:p>
    <w:p w14:paraId="616AD734" w14:textId="1ED4E452" w:rsidR="008D627F" w:rsidRPr="003E2808" w:rsidRDefault="00BD79A7" w:rsidP="00BF1C74">
      <w:pPr>
        <w:spacing w:line="360" w:lineRule="auto"/>
        <w:rPr>
          <w:rFonts w:ascii="Arial" w:hAnsi="Arial" w:cs="Arial"/>
          <w:sz w:val="22"/>
          <w:szCs w:val="22"/>
        </w:rPr>
      </w:pPr>
      <w:r w:rsidRPr="003E2808">
        <w:rPr>
          <w:rFonts w:ascii="Arial" w:hAnsi="Arial" w:cs="Arial"/>
          <w:sz w:val="22"/>
          <w:szCs w:val="22"/>
        </w:rPr>
        <w:t>Introducing a national AI-centric Personal Care Platform can generate dynamic pathways based on the shifting health preferences of the individuals. This system will consist of options for predictive analysis to evaluate existing care gaps and develop feasible interventions. It can be solved earlier across HS organisations, social care providers and voluntary agencies. AI-based predictive insights have always proven to be beneficial as they can anticipate the needs of the patients and coordinate care (</w:t>
      </w:r>
      <w:r w:rsidRPr="003E2808">
        <w:rPr>
          <w:rFonts w:ascii="Arial" w:hAnsi="Arial" w:cs="Arial"/>
          <w:sz w:val="22"/>
          <w:szCs w:val="22"/>
          <w:highlight w:val="white"/>
        </w:rPr>
        <w:t>Petridis et al., 2025</w:t>
      </w:r>
      <w:r w:rsidRPr="003E2808">
        <w:rPr>
          <w:rFonts w:ascii="Arial" w:hAnsi="Arial" w:cs="Arial"/>
          <w:sz w:val="22"/>
          <w:szCs w:val="22"/>
        </w:rPr>
        <w:t>). Through this t</w:t>
      </w:r>
      <w:r w:rsidR="00616609" w:rsidRPr="003E2808">
        <w:rPr>
          <w:rFonts w:ascii="Arial" w:hAnsi="Arial" w:cs="Arial"/>
          <w:sz w:val="22"/>
          <w:szCs w:val="22"/>
        </w:rPr>
        <w:t>he</w:t>
      </w:r>
      <w:r w:rsidRPr="003E2808">
        <w:rPr>
          <w:rFonts w:ascii="Arial" w:hAnsi="Arial" w:cs="Arial"/>
          <w:sz w:val="22"/>
          <w:szCs w:val="22"/>
        </w:rPr>
        <w:t xml:space="preserve"> care preferences can be customised, developing an efficient relationship between the patient and the healthcare organisations. </w:t>
      </w:r>
    </w:p>
    <w:p w14:paraId="5ACECC9E"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 xml:space="preserve">Community Citizen Partnership Councils </w:t>
      </w:r>
    </w:p>
    <w:p w14:paraId="4A8CA45C" w14:textId="77777777" w:rsidR="008D627F" w:rsidRPr="003E2808" w:rsidRDefault="00BD79A7" w:rsidP="00BF1C74">
      <w:pPr>
        <w:spacing w:line="360" w:lineRule="auto"/>
        <w:rPr>
          <w:rFonts w:ascii="Arial" w:hAnsi="Arial" w:cs="Arial"/>
          <w:b/>
          <w:bCs/>
          <w:sz w:val="22"/>
          <w:szCs w:val="22"/>
        </w:rPr>
      </w:pPr>
      <w:r w:rsidRPr="003E2808">
        <w:rPr>
          <w:rFonts w:ascii="Arial" w:hAnsi="Arial" w:cs="Arial"/>
          <w:sz w:val="22"/>
          <w:szCs w:val="22"/>
        </w:rPr>
        <w:t>Community-based citizen partnership councils can be developed through the coordination of Integrated Care Systems. This can be developed with patients, local charities, community representatives and unpaid carers, who have formal voting rights on service planning and resource allocation (</w:t>
      </w:r>
      <w:r w:rsidRPr="003E2808">
        <w:rPr>
          <w:rFonts w:ascii="Arial" w:hAnsi="Arial" w:cs="Arial"/>
          <w:sz w:val="22"/>
          <w:szCs w:val="22"/>
          <w:highlight w:val="white"/>
        </w:rPr>
        <w:t>Cocoman et al., 2025</w:t>
      </w:r>
      <w:r w:rsidRPr="003E2808">
        <w:rPr>
          <w:rFonts w:ascii="Arial" w:hAnsi="Arial" w:cs="Arial"/>
          <w:sz w:val="22"/>
          <w:szCs w:val="22"/>
        </w:rPr>
        <w:t xml:space="preserve">). They will have duties beyond the advisory roles, as they would possess statutory decision-making authority. Trust among the locals is the prime step to foster genuinely person-centred care across the locations of the UK. </w:t>
      </w:r>
    </w:p>
    <w:p w14:paraId="108A4AE5" w14:textId="77777777" w:rsidR="008D627F" w:rsidRPr="003E2808" w:rsidRDefault="00BD79A7" w:rsidP="00BF1C74">
      <w:pPr>
        <w:spacing w:line="360" w:lineRule="auto"/>
        <w:rPr>
          <w:rFonts w:ascii="Arial" w:hAnsi="Arial" w:cs="Arial"/>
          <w:b/>
          <w:bCs/>
          <w:i/>
          <w:iCs/>
          <w:sz w:val="22"/>
          <w:szCs w:val="22"/>
        </w:rPr>
      </w:pPr>
      <w:r w:rsidRPr="003E2808">
        <w:rPr>
          <w:rFonts w:ascii="Arial" w:hAnsi="Arial" w:cs="Arial"/>
          <w:b/>
          <w:bCs/>
          <w:i/>
          <w:iCs/>
          <w:sz w:val="22"/>
          <w:szCs w:val="22"/>
        </w:rPr>
        <w:t>Cross-Sector Partnership Innovation Accreditation Programme</w:t>
      </w:r>
    </w:p>
    <w:p w14:paraId="1C4BDA2F" w14:textId="113B264E" w:rsidR="00BF1C74" w:rsidRPr="003E2808" w:rsidRDefault="00BD79A7" w:rsidP="00BF1C74">
      <w:pPr>
        <w:spacing w:line="360" w:lineRule="auto"/>
        <w:rPr>
          <w:rFonts w:ascii="Arial" w:hAnsi="Arial" w:cs="Arial"/>
          <w:sz w:val="22"/>
          <w:szCs w:val="22"/>
        </w:rPr>
      </w:pPr>
      <w:r w:rsidRPr="003E2808">
        <w:rPr>
          <w:rFonts w:ascii="Arial" w:hAnsi="Arial" w:cs="Arial"/>
          <w:sz w:val="22"/>
          <w:szCs w:val="22"/>
        </w:rPr>
        <w:t>An accreditation programme can be beneficial when innovative partnership practices are included that can ensure measured and person-centred results. Establishing cross-sector partners and leading through an accreditation programme can lead to participation of the community members, digital interoperability, and shared leadership, while ensuring continuous improvement of services (</w:t>
      </w:r>
      <w:r w:rsidRPr="003E2808">
        <w:rPr>
          <w:rFonts w:ascii="Arial" w:hAnsi="Arial" w:cs="Arial"/>
          <w:sz w:val="22"/>
          <w:szCs w:val="22"/>
          <w:highlight w:val="white"/>
        </w:rPr>
        <w:t>Pesqueira et al., 2025</w:t>
      </w:r>
      <w:r w:rsidRPr="003E2808">
        <w:rPr>
          <w:rFonts w:ascii="Arial" w:hAnsi="Arial" w:cs="Arial"/>
          <w:sz w:val="22"/>
          <w:szCs w:val="22"/>
        </w:rPr>
        <w:t xml:space="preserve">). Additionally, through these programmes, innovation grants can be achieved for spreading the successful collaborative models across other organisations through the process of mentorship. </w:t>
      </w:r>
      <w:r w:rsidRPr="003E2808">
        <w:rPr>
          <w:rFonts w:ascii="Arial" w:hAnsi="Arial" w:cs="Arial"/>
          <w:sz w:val="22"/>
          <w:szCs w:val="22"/>
        </w:rPr>
        <w:br w:type="page"/>
      </w:r>
    </w:p>
    <w:p w14:paraId="016000ED" w14:textId="18C36D7C" w:rsidR="00BF1C74" w:rsidRPr="003E2808" w:rsidRDefault="00BF1C74" w:rsidP="00BF1C74">
      <w:pPr>
        <w:pStyle w:val="Heading1"/>
        <w:spacing w:line="360" w:lineRule="auto"/>
        <w:rPr>
          <w:rFonts w:ascii="Arial" w:hAnsi="Arial" w:cs="Arial"/>
          <w:sz w:val="24"/>
          <w:szCs w:val="24"/>
        </w:rPr>
      </w:pPr>
      <w:bookmarkStart w:id="15" w:name="_Toc235806318"/>
      <w:r w:rsidRPr="003E2808">
        <w:rPr>
          <w:rFonts w:ascii="Arial" w:hAnsi="Arial" w:cs="Arial"/>
        </w:rPr>
        <w:t>Conclusion</w:t>
      </w:r>
      <w:bookmarkEnd w:id="15"/>
    </w:p>
    <w:p w14:paraId="19F89846"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The above-mentioned discussion has shed light on the context of PCC along with its limitations and benefits. From this part, it has been noted that PCC provides direct control of the patients' daily routine, but it also becomes complex in the management of vulnerable patient groups. Then, a theory related to care, such as Jean Watson’s Theory of Human Caring, has been integrated within the discussion. After that, the fundamentals of social care have been described here. Several relevant policies and regulations related to PCC, such as the Health and Care Act 2022, Current Statutory Guidance under the Care Act 2014 and others, have been mentioned here. Practical instances of partnership working in the health and social care setting has been mentioned here. </w:t>
      </w:r>
    </w:p>
    <w:p w14:paraId="219A034F" w14:textId="77777777" w:rsidR="00BF1C74" w:rsidRPr="003E2808" w:rsidRDefault="00BF1C74" w:rsidP="00BF1C74">
      <w:pPr>
        <w:spacing w:line="360" w:lineRule="auto"/>
        <w:rPr>
          <w:rFonts w:ascii="Arial" w:hAnsi="Arial" w:cs="Arial"/>
          <w:b/>
          <w:bCs/>
          <w:sz w:val="28"/>
          <w:szCs w:val="28"/>
        </w:rPr>
      </w:pPr>
      <w:r w:rsidRPr="003E2808">
        <w:rPr>
          <w:rFonts w:ascii="Arial" w:hAnsi="Arial" w:cs="Arial"/>
        </w:rPr>
        <w:br w:type="page"/>
      </w:r>
    </w:p>
    <w:p w14:paraId="4333C6D5" w14:textId="2539485E" w:rsidR="008D627F" w:rsidRPr="003E2808" w:rsidRDefault="00BD79A7" w:rsidP="00BF1C74">
      <w:pPr>
        <w:pStyle w:val="Heading1"/>
        <w:spacing w:line="360" w:lineRule="auto"/>
        <w:rPr>
          <w:rFonts w:ascii="Arial" w:hAnsi="Arial" w:cs="Arial"/>
        </w:rPr>
      </w:pPr>
      <w:bookmarkStart w:id="16" w:name="_Toc235806319"/>
      <w:r w:rsidRPr="003E2808">
        <w:rPr>
          <w:rFonts w:ascii="Arial" w:hAnsi="Arial" w:cs="Arial"/>
        </w:rPr>
        <w:t>References</w:t>
      </w:r>
      <w:bookmarkEnd w:id="16"/>
      <w:r w:rsidRPr="003E2808">
        <w:rPr>
          <w:rFonts w:ascii="Arial" w:hAnsi="Arial" w:cs="Arial"/>
        </w:rPr>
        <w:t xml:space="preserve"> </w:t>
      </w:r>
    </w:p>
    <w:p w14:paraId="6BEEE2B7"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Bognar, G. and Hirose, I., (2022). </w:t>
      </w:r>
      <w:r w:rsidRPr="003E2808">
        <w:rPr>
          <w:rFonts w:ascii="Arial" w:hAnsi="Arial" w:cs="Arial"/>
          <w:i/>
          <w:iCs/>
          <w:sz w:val="22"/>
          <w:szCs w:val="22"/>
        </w:rPr>
        <w:t>The ethics of health care rationing: an introduction</w:t>
      </w:r>
      <w:r w:rsidRPr="003E2808">
        <w:rPr>
          <w:rFonts w:ascii="Arial" w:hAnsi="Arial" w:cs="Arial"/>
          <w:sz w:val="22"/>
          <w:szCs w:val="22"/>
        </w:rPr>
        <w:t>. Routledge. </w:t>
      </w:r>
    </w:p>
    <w:p w14:paraId="467C8509"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highlight w:val="white"/>
        </w:rPr>
        <w:t xml:space="preserve">Cocoman, O., Jackson, D., Ruysen, H. and Gilmore, B., (2025). Institutionalising community participation in decision-making in maternal and newborn health services in low-and middle-income countries: An analysis from 102 national health ministries. </w:t>
      </w:r>
      <w:r w:rsidRPr="003E2808">
        <w:rPr>
          <w:rFonts w:ascii="Arial" w:hAnsi="Arial" w:cs="Arial"/>
          <w:i/>
          <w:iCs/>
          <w:sz w:val="22"/>
          <w:szCs w:val="22"/>
          <w:highlight w:val="white"/>
        </w:rPr>
        <w:t>PLOS Global Public Health</w:t>
      </w:r>
      <w:r w:rsidRPr="003E2808">
        <w:rPr>
          <w:rFonts w:ascii="Arial" w:hAnsi="Arial" w:cs="Arial"/>
          <w:sz w:val="22"/>
          <w:szCs w:val="22"/>
          <w:highlight w:val="white"/>
        </w:rPr>
        <w:t xml:space="preserve">, </w:t>
      </w:r>
      <w:r w:rsidRPr="003E2808">
        <w:rPr>
          <w:rFonts w:ascii="Arial" w:hAnsi="Arial" w:cs="Arial"/>
          <w:i/>
          <w:iCs/>
          <w:sz w:val="22"/>
          <w:szCs w:val="22"/>
          <w:highlight w:val="white"/>
        </w:rPr>
        <w:t>5</w:t>
      </w:r>
      <w:r w:rsidRPr="003E2808">
        <w:rPr>
          <w:rFonts w:ascii="Arial" w:hAnsi="Arial" w:cs="Arial"/>
          <w:sz w:val="22"/>
          <w:szCs w:val="22"/>
          <w:highlight w:val="white"/>
        </w:rPr>
        <w:t>(9), p.e0005139.</w:t>
      </w:r>
      <w:r w:rsidRPr="003E2808">
        <w:rPr>
          <w:rFonts w:ascii="Arial" w:hAnsi="Arial" w:cs="Arial"/>
          <w:sz w:val="22"/>
          <w:szCs w:val="22"/>
        </w:rPr>
        <w:t xml:space="preserve"> </w:t>
      </w:r>
    </w:p>
    <w:p w14:paraId="32087C2B"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Flarey, D. &amp; Katz, J. M., (2025). </w:t>
      </w:r>
      <w:r w:rsidRPr="003E2808">
        <w:rPr>
          <w:rFonts w:ascii="Arial" w:hAnsi="Arial" w:cs="Arial"/>
          <w:i/>
          <w:iCs/>
          <w:sz w:val="22"/>
          <w:szCs w:val="22"/>
        </w:rPr>
        <w:t>The Role of Ethics in Healthcare: A Comprehensive Guide.</w:t>
      </w:r>
      <w:r w:rsidRPr="003E2808">
        <w:rPr>
          <w:rFonts w:ascii="Arial" w:hAnsi="Arial" w:cs="Arial"/>
          <w:sz w:val="22"/>
          <w:szCs w:val="22"/>
        </w:rPr>
        <w:t xml:space="preserve"> [Online] Available at: https://aihcp.net/2024/10/15/the-role-of-ethics-in-healthcare-a-comprehensive-guide/ [Accessed 21 July 2026].</w:t>
      </w:r>
    </w:p>
    <w:p w14:paraId="0A90458E"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Fox, N., (2026). </w:t>
      </w:r>
      <w:r w:rsidRPr="003E2808">
        <w:rPr>
          <w:rFonts w:ascii="Arial" w:hAnsi="Arial" w:cs="Arial"/>
          <w:i/>
          <w:iCs/>
          <w:sz w:val="22"/>
          <w:szCs w:val="22"/>
        </w:rPr>
        <w:t>Can homegrown social workers help to free up NHS beds?.</w:t>
      </w:r>
      <w:r w:rsidRPr="003E2808">
        <w:rPr>
          <w:rFonts w:ascii="Arial" w:hAnsi="Arial" w:cs="Arial"/>
          <w:sz w:val="22"/>
          <w:szCs w:val="22"/>
        </w:rPr>
        <w:t xml:space="preserve"> [Online] Available at: https://www.bbc.co.uk/news/articles/c5y8dv1ezrdo [Accessed 21 July 2026].</w:t>
      </w:r>
    </w:p>
    <w:p w14:paraId="5BC91A72"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GOV.UK, (2025). </w:t>
      </w:r>
      <w:r w:rsidRPr="003E2808">
        <w:rPr>
          <w:rFonts w:ascii="Arial" w:hAnsi="Arial" w:cs="Arial"/>
          <w:i/>
          <w:iCs/>
          <w:sz w:val="22"/>
          <w:szCs w:val="22"/>
        </w:rPr>
        <w:t>Care and support statutory guidance</w:t>
      </w:r>
      <w:r w:rsidRPr="003E2808">
        <w:rPr>
          <w:rFonts w:ascii="Arial" w:hAnsi="Arial" w:cs="Arial"/>
          <w:sz w:val="22"/>
          <w:szCs w:val="22"/>
        </w:rPr>
        <w:t>. [Online] Available at: https://www.gov.uk/government/publications/care-act-statutory-guidance/care-and-support-statutory-guidance [Accessed 22 July 2026].</w:t>
      </w:r>
    </w:p>
    <w:p w14:paraId="4D087AA7"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Gunawan, J., Aungsuroch, Y., Watson, J. and Marzilli, C., (2022). Nursing administration: Watson’s theory of human caring. </w:t>
      </w:r>
      <w:r w:rsidRPr="003E2808">
        <w:rPr>
          <w:rFonts w:ascii="Arial" w:hAnsi="Arial" w:cs="Arial"/>
          <w:i/>
          <w:iCs/>
          <w:sz w:val="22"/>
          <w:szCs w:val="22"/>
        </w:rPr>
        <w:t>Nursing science quarterly</w:t>
      </w:r>
      <w:r w:rsidRPr="003E2808">
        <w:rPr>
          <w:rFonts w:ascii="Arial" w:hAnsi="Arial" w:cs="Arial"/>
          <w:sz w:val="22"/>
          <w:szCs w:val="22"/>
        </w:rPr>
        <w:t xml:space="preserve">, </w:t>
      </w:r>
      <w:r w:rsidRPr="003E2808">
        <w:rPr>
          <w:rFonts w:ascii="Arial" w:hAnsi="Arial" w:cs="Arial"/>
          <w:i/>
          <w:iCs/>
          <w:sz w:val="22"/>
          <w:szCs w:val="22"/>
        </w:rPr>
        <w:t>35</w:t>
      </w:r>
      <w:r w:rsidRPr="003E2808">
        <w:rPr>
          <w:rFonts w:ascii="Arial" w:hAnsi="Arial" w:cs="Arial"/>
          <w:sz w:val="22"/>
          <w:szCs w:val="22"/>
        </w:rPr>
        <w:t>(2), pp.235-243. </w:t>
      </w:r>
    </w:p>
    <w:p w14:paraId="59564071"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HCPC, (2026). </w:t>
      </w:r>
      <w:r w:rsidRPr="003E2808">
        <w:rPr>
          <w:rFonts w:ascii="Arial" w:hAnsi="Arial" w:cs="Arial"/>
          <w:i/>
          <w:iCs/>
          <w:sz w:val="22"/>
          <w:szCs w:val="22"/>
        </w:rPr>
        <w:t>Person-centred care</w:t>
      </w:r>
      <w:r w:rsidRPr="003E2808">
        <w:rPr>
          <w:rFonts w:ascii="Arial" w:hAnsi="Arial" w:cs="Arial"/>
          <w:sz w:val="22"/>
          <w:szCs w:val="22"/>
        </w:rPr>
        <w:t>. [Online] Available at: https://www.hcpc-uk.org/standards/meeting-our-standards/person-centred-care/ [Accessed 21 July 2026].</w:t>
      </w:r>
    </w:p>
    <w:p w14:paraId="5CF31ED8"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Jean Watson caring Theory, (2026). </w:t>
      </w:r>
      <w:r w:rsidRPr="003E2808">
        <w:rPr>
          <w:rFonts w:ascii="Arial" w:hAnsi="Arial" w:cs="Arial"/>
          <w:i/>
          <w:iCs/>
          <w:sz w:val="22"/>
          <w:szCs w:val="22"/>
        </w:rPr>
        <w:t>What is The Caring Theory.</w:t>
      </w:r>
      <w:r w:rsidRPr="003E2808">
        <w:rPr>
          <w:rFonts w:ascii="Arial" w:hAnsi="Arial" w:cs="Arial"/>
          <w:sz w:val="22"/>
          <w:szCs w:val="22"/>
        </w:rPr>
        <w:t xml:space="preserve"> [Online] Available at: https://jeanwatsoncaringtheory.weebly.com/ [Accessed 21 July 2026].</w:t>
      </w:r>
    </w:p>
    <w:p w14:paraId="75F31E9B"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highlight w:val="white"/>
        </w:rPr>
        <w:t xml:space="preserve">Moore, H.L., Watson, R., Farnworth, A., Giles, K., Tomson, D. and Thomson, R.G., (2023). Inclusion of person-centred care in UK postgraduate medical education curricula: Interviews and documentary analysis. </w:t>
      </w:r>
      <w:r w:rsidRPr="003E2808">
        <w:rPr>
          <w:rFonts w:ascii="Arial" w:hAnsi="Arial" w:cs="Arial"/>
          <w:i/>
          <w:iCs/>
          <w:sz w:val="22"/>
          <w:szCs w:val="22"/>
          <w:highlight w:val="white"/>
        </w:rPr>
        <w:t>BMC Medical Education</w:t>
      </w:r>
      <w:r w:rsidRPr="003E2808">
        <w:rPr>
          <w:rFonts w:ascii="Arial" w:hAnsi="Arial" w:cs="Arial"/>
          <w:sz w:val="22"/>
          <w:szCs w:val="22"/>
          <w:highlight w:val="white"/>
        </w:rPr>
        <w:t xml:space="preserve">, </w:t>
      </w:r>
      <w:r w:rsidRPr="003E2808">
        <w:rPr>
          <w:rFonts w:ascii="Arial" w:hAnsi="Arial" w:cs="Arial"/>
          <w:i/>
          <w:iCs/>
          <w:sz w:val="22"/>
          <w:szCs w:val="22"/>
          <w:highlight w:val="white"/>
        </w:rPr>
        <w:t>23</w:t>
      </w:r>
      <w:r w:rsidRPr="003E2808">
        <w:rPr>
          <w:rFonts w:ascii="Arial" w:hAnsi="Arial" w:cs="Arial"/>
          <w:sz w:val="22"/>
          <w:szCs w:val="22"/>
          <w:highlight w:val="white"/>
        </w:rPr>
        <w:t>(1), p.757.</w:t>
      </w:r>
      <w:r w:rsidRPr="003E2808">
        <w:rPr>
          <w:rFonts w:ascii="Arial" w:hAnsi="Arial" w:cs="Arial"/>
          <w:sz w:val="22"/>
          <w:szCs w:val="22"/>
        </w:rPr>
        <w:t xml:space="preserve"> </w:t>
      </w:r>
    </w:p>
    <w:p w14:paraId="0AEA0DDB"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highlight w:val="white"/>
        </w:rPr>
        <w:t xml:space="preserve">Morgan, J. and Yaskey, J., (2025). Partnership working in health and social care. In </w:t>
      </w:r>
      <w:r w:rsidRPr="003E2808">
        <w:rPr>
          <w:rFonts w:ascii="Arial" w:hAnsi="Arial" w:cs="Arial"/>
          <w:i/>
          <w:iCs/>
          <w:sz w:val="22"/>
          <w:szCs w:val="22"/>
          <w:highlight w:val="white"/>
        </w:rPr>
        <w:t>Contemporary Issues in Health and Social Care Policy and Practice</w:t>
      </w:r>
      <w:r w:rsidRPr="003E2808">
        <w:rPr>
          <w:rFonts w:ascii="Arial" w:hAnsi="Arial" w:cs="Arial"/>
          <w:sz w:val="22"/>
          <w:szCs w:val="22"/>
          <w:highlight w:val="white"/>
        </w:rPr>
        <w:t xml:space="preserve"> (pp. 68-82). Routledge.</w:t>
      </w:r>
      <w:r w:rsidRPr="003E2808">
        <w:rPr>
          <w:rFonts w:ascii="Arial" w:hAnsi="Arial" w:cs="Arial"/>
          <w:sz w:val="22"/>
          <w:szCs w:val="22"/>
        </w:rPr>
        <w:t xml:space="preserve"> </w:t>
      </w:r>
    </w:p>
    <w:p w14:paraId="5022539D"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NHS England, (2026). </w:t>
      </w:r>
      <w:r w:rsidRPr="003E2808">
        <w:rPr>
          <w:rFonts w:ascii="Arial" w:hAnsi="Arial" w:cs="Arial"/>
          <w:i/>
          <w:iCs/>
          <w:sz w:val="22"/>
          <w:szCs w:val="22"/>
        </w:rPr>
        <w:t>Person-centred care</w:t>
      </w:r>
      <w:r w:rsidRPr="003E2808">
        <w:rPr>
          <w:rFonts w:ascii="Arial" w:hAnsi="Arial" w:cs="Arial"/>
          <w:sz w:val="22"/>
          <w:szCs w:val="22"/>
        </w:rPr>
        <w:t>. [Online] Available at: https://www.hee.nhs.uk/our-work/person-centred-care [Accessed 21 July 2026].</w:t>
      </w:r>
    </w:p>
    <w:p w14:paraId="4FEE8BB2"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NHS England, (2026). </w:t>
      </w:r>
      <w:r w:rsidRPr="003E2808">
        <w:rPr>
          <w:rFonts w:ascii="Arial" w:hAnsi="Arial" w:cs="Arial"/>
          <w:i/>
          <w:iCs/>
          <w:sz w:val="22"/>
          <w:szCs w:val="22"/>
        </w:rPr>
        <w:t>What is integrated care?</w:t>
      </w:r>
      <w:r w:rsidRPr="003E2808">
        <w:rPr>
          <w:rFonts w:ascii="Arial" w:hAnsi="Arial" w:cs="Arial"/>
          <w:sz w:val="22"/>
          <w:szCs w:val="22"/>
        </w:rPr>
        <w:t xml:space="preserve"> [Online] Available at: https://www.england.nhs.uk/integratedcare/what-is-integrated-care [Accessed 21 July 2026].</w:t>
      </w:r>
    </w:p>
    <w:p w14:paraId="0D720774"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NHS England, (2026). </w:t>
      </w:r>
      <w:r w:rsidRPr="003E2808">
        <w:rPr>
          <w:rFonts w:ascii="Arial" w:hAnsi="Arial" w:cs="Arial"/>
          <w:i/>
          <w:iCs/>
          <w:sz w:val="22"/>
          <w:szCs w:val="22"/>
        </w:rPr>
        <w:t>Working in partnership with people and communities: Statutory guidance</w:t>
      </w:r>
      <w:r w:rsidRPr="003E2808">
        <w:rPr>
          <w:rFonts w:ascii="Arial" w:hAnsi="Arial" w:cs="Arial"/>
          <w:sz w:val="22"/>
          <w:szCs w:val="22"/>
        </w:rPr>
        <w:t>. [Online] Available at: https://www.england.nhs.uk/long-read/working-in-partnership-with-people-and-communities-statutory-guidance/ [Accessed 22 July 2026].</w:t>
      </w:r>
    </w:p>
    <w:p w14:paraId="6A94B42C"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highlight w:val="white"/>
        </w:rPr>
        <w:t xml:space="preserve">Pesqueira, A., Sousa, M.J. and Pereira, R., (2025). Individual dynamic capabilities and artificial intelligence in health operations: Exploration of innovation diffusion. </w:t>
      </w:r>
      <w:r w:rsidRPr="003E2808">
        <w:rPr>
          <w:rFonts w:ascii="Arial" w:hAnsi="Arial" w:cs="Arial"/>
          <w:i/>
          <w:iCs/>
          <w:sz w:val="22"/>
          <w:szCs w:val="22"/>
          <w:highlight w:val="white"/>
        </w:rPr>
        <w:t>Intelligence-Based Medicine</w:t>
      </w:r>
      <w:r w:rsidRPr="003E2808">
        <w:rPr>
          <w:rFonts w:ascii="Arial" w:hAnsi="Arial" w:cs="Arial"/>
          <w:sz w:val="22"/>
          <w:szCs w:val="22"/>
          <w:highlight w:val="white"/>
        </w:rPr>
        <w:t xml:space="preserve">, </w:t>
      </w:r>
      <w:r w:rsidRPr="003E2808">
        <w:rPr>
          <w:rFonts w:ascii="Arial" w:hAnsi="Arial" w:cs="Arial"/>
          <w:i/>
          <w:iCs/>
          <w:sz w:val="22"/>
          <w:szCs w:val="22"/>
          <w:highlight w:val="white"/>
        </w:rPr>
        <w:t>11</w:t>
      </w:r>
      <w:r w:rsidRPr="003E2808">
        <w:rPr>
          <w:rFonts w:ascii="Arial" w:hAnsi="Arial" w:cs="Arial"/>
          <w:sz w:val="22"/>
          <w:szCs w:val="22"/>
          <w:highlight w:val="white"/>
        </w:rPr>
        <w:t>, p.100239.</w:t>
      </w:r>
      <w:r w:rsidRPr="003E2808">
        <w:rPr>
          <w:rFonts w:ascii="Arial" w:hAnsi="Arial" w:cs="Arial"/>
          <w:sz w:val="22"/>
          <w:szCs w:val="22"/>
        </w:rPr>
        <w:t xml:space="preserve"> </w:t>
      </w:r>
    </w:p>
    <w:p w14:paraId="65D0DD50"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highlight w:val="white"/>
        </w:rPr>
        <w:t>Petridis, G., Karabatea, A., Bakogiannis, C., Rigas, E.S., Kondylakis, H., Berler, A., Kangelidis, K., Malamas, N., Kouroubali, A., Katehakis, D. and Vassilikos, V., (2025). An AI</w:t>
      </w:r>
      <w:r w:rsidRPr="003E2808">
        <w:rPr>
          <w:rFonts w:ascii="Cambria Math" w:hAnsi="Cambria Math" w:cs="Cambria Math"/>
          <w:sz w:val="22"/>
          <w:szCs w:val="22"/>
          <w:highlight w:val="white"/>
        </w:rPr>
        <w:t>‐</w:t>
      </w:r>
      <w:r w:rsidRPr="003E2808">
        <w:rPr>
          <w:rFonts w:ascii="Arial" w:hAnsi="Arial" w:cs="Arial"/>
          <w:sz w:val="22"/>
          <w:szCs w:val="22"/>
          <w:highlight w:val="white"/>
        </w:rPr>
        <w:t>Enabled, Patient</w:t>
      </w:r>
      <w:r w:rsidRPr="003E2808">
        <w:rPr>
          <w:rFonts w:ascii="Cambria Math" w:hAnsi="Cambria Math" w:cs="Cambria Math"/>
          <w:sz w:val="22"/>
          <w:szCs w:val="22"/>
          <w:highlight w:val="white"/>
        </w:rPr>
        <w:t>‐</w:t>
      </w:r>
      <w:r w:rsidRPr="003E2808">
        <w:rPr>
          <w:rFonts w:ascii="Arial" w:hAnsi="Arial" w:cs="Arial"/>
          <w:sz w:val="22"/>
          <w:szCs w:val="22"/>
          <w:highlight w:val="white"/>
        </w:rPr>
        <w:t xml:space="preserve">Centred Digital Platform for Integrated Chronic Heart Failure Management: Architecture, Validation and Clinical Insights. </w:t>
      </w:r>
      <w:r w:rsidRPr="003E2808">
        <w:rPr>
          <w:rFonts w:ascii="Arial" w:hAnsi="Arial" w:cs="Arial"/>
          <w:i/>
          <w:iCs/>
          <w:sz w:val="22"/>
          <w:szCs w:val="22"/>
          <w:highlight w:val="white"/>
        </w:rPr>
        <w:t>Healthcare Technology Letters</w:t>
      </w:r>
      <w:r w:rsidRPr="003E2808">
        <w:rPr>
          <w:rFonts w:ascii="Arial" w:hAnsi="Arial" w:cs="Arial"/>
          <w:sz w:val="22"/>
          <w:szCs w:val="22"/>
          <w:highlight w:val="white"/>
        </w:rPr>
        <w:t xml:space="preserve">, </w:t>
      </w:r>
      <w:r w:rsidRPr="003E2808">
        <w:rPr>
          <w:rFonts w:ascii="Arial" w:hAnsi="Arial" w:cs="Arial"/>
          <w:i/>
          <w:iCs/>
          <w:sz w:val="22"/>
          <w:szCs w:val="22"/>
          <w:highlight w:val="white"/>
        </w:rPr>
        <w:t>12</w:t>
      </w:r>
      <w:r w:rsidRPr="003E2808">
        <w:rPr>
          <w:rFonts w:ascii="Arial" w:hAnsi="Arial" w:cs="Arial"/>
          <w:sz w:val="22"/>
          <w:szCs w:val="22"/>
          <w:highlight w:val="white"/>
        </w:rPr>
        <w:t>(1), p.e70015.</w:t>
      </w:r>
      <w:r w:rsidRPr="003E2808">
        <w:rPr>
          <w:rFonts w:ascii="Arial" w:hAnsi="Arial" w:cs="Arial"/>
          <w:sz w:val="22"/>
          <w:szCs w:val="22"/>
        </w:rPr>
        <w:t xml:space="preserve"> </w:t>
      </w:r>
    </w:p>
    <w:p w14:paraId="18C74465"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Sanderson, M., (2024). </w:t>
      </w:r>
      <w:r w:rsidRPr="003E2808">
        <w:rPr>
          <w:rFonts w:ascii="Arial" w:hAnsi="Arial" w:cs="Arial"/>
          <w:i/>
          <w:iCs/>
          <w:sz w:val="22"/>
          <w:szCs w:val="22"/>
        </w:rPr>
        <w:t>Still early days? The development of Integrated Care Systems</w:t>
      </w:r>
      <w:r w:rsidRPr="003E2808">
        <w:rPr>
          <w:rFonts w:ascii="Arial" w:hAnsi="Arial" w:cs="Arial"/>
          <w:sz w:val="22"/>
          <w:szCs w:val="22"/>
        </w:rPr>
        <w:t>. [Online] Available at: https://pru.hssc.ac.uk/outputs/blog/still-early-days-the-development-of-integrated-care-systems.html [Accessed 21 July 2026].</w:t>
      </w:r>
    </w:p>
    <w:p w14:paraId="2F97939C"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Thana, L., Wistow, G., Durand, M.A., Pacho, A., Rehackova, L., Douglas, N., Al-Haboubi, M. and Mays, N., (2025). Frontline staff perspectives on multi-disciplinary team working and the effectiveness of integrated service delivery: Findings from the evaluation of the Integrated Care and Support Pioneers in England. </w:t>
      </w:r>
      <w:r w:rsidRPr="003E2808">
        <w:rPr>
          <w:rFonts w:ascii="Arial" w:hAnsi="Arial" w:cs="Arial"/>
          <w:i/>
          <w:iCs/>
          <w:sz w:val="22"/>
          <w:szCs w:val="22"/>
        </w:rPr>
        <w:t>Journal of health services research &amp; policy</w:t>
      </w:r>
      <w:r w:rsidRPr="003E2808">
        <w:rPr>
          <w:rFonts w:ascii="Arial" w:hAnsi="Arial" w:cs="Arial"/>
          <w:sz w:val="22"/>
          <w:szCs w:val="22"/>
        </w:rPr>
        <w:t xml:space="preserve">, </w:t>
      </w:r>
      <w:r w:rsidRPr="003E2808">
        <w:rPr>
          <w:rFonts w:ascii="Arial" w:hAnsi="Arial" w:cs="Arial"/>
          <w:i/>
          <w:iCs/>
          <w:sz w:val="22"/>
          <w:szCs w:val="22"/>
        </w:rPr>
        <w:t>30</w:t>
      </w:r>
      <w:r w:rsidRPr="003E2808">
        <w:rPr>
          <w:rFonts w:ascii="Arial" w:hAnsi="Arial" w:cs="Arial"/>
          <w:sz w:val="22"/>
          <w:szCs w:val="22"/>
        </w:rPr>
        <w:t xml:space="preserve">(1_suppl), pp.36-47. </w:t>
      </w:r>
    </w:p>
    <w:p w14:paraId="650694FF" w14:textId="77777777" w:rsidR="00BF1C74" w:rsidRPr="003E2808" w:rsidRDefault="00BF1C74" w:rsidP="00BF1C74">
      <w:pPr>
        <w:spacing w:line="360" w:lineRule="auto"/>
        <w:rPr>
          <w:rFonts w:ascii="Arial" w:hAnsi="Arial" w:cs="Arial"/>
          <w:sz w:val="22"/>
          <w:szCs w:val="22"/>
        </w:rPr>
      </w:pPr>
      <w:r w:rsidRPr="003E2808">
        <w:rPr>
          <w:rFonts w:ascii="Arial" w:hAnsi="Arial" w:cs="Arial"/>
          <w:sz w:val="22"/>
          <w:szCs w:val="22"/>
        </w:rPr>
        <w:t xml:space="preserve">TWC London, (2025). </w:t>
      </w:r>
      <w:r w:rsidRPr="003E2808">
        <w:rPr>
          <w:rFonts w:ascii="Arial" w:hAnsi="Arial" w:cs="Arial"/>
          <w:i/>
          <w:iCs/>
          <w:sz w:val="22"/>
          <w:szCs w:val="22"/>
        </w:rPr>
        <w:t>7 Core Principles of Health and Social Care Every Professional Should Know</w:t>
      </w:r>
      <w:r w:rsidRPr="003E2808">
        <w:rPr>
          <w:rFonts w:ascii="Arial" w:hAnsi="Arial" w:cs="Arial"/>
          <w:sz w:val="22"/>
          <w:szCs w:val="22"/>
        </w:rPr>
        <w:t>. [Online] Available at: https://www.twclondon.org.uk/blogs/principles-of-health-social-care [Accessed 21 July 2026].</w:t>
      </w:r>
    </w:p>
    <w:p w14:paraId="32C6326A" w14:textId="77777777" w:rsidR="00BF1C74" w:rsidRPr="003E2808" w:rsidRDefault="00BF1C74" w:rsidP="00BF1C74">
      <w:pPr>
        <w:spacing w:line="360" w:lineRule="auto"/>
        <w:rPr>
          <w:rFonts w:ascii="Arial" w:hAnsi="Arial" w:cs="Arial"/>
          <w:sz w:val="22"/>
          <w:szCs w:val="22"/>
        </w:rPr>
      </w:pPr>
    </w:p>
    <w:p w14:paraId="2C22B5FA" w14:textId="154392D9" w:rsidR="00303B4F" w:rsidRPr="003E2808" w:rsidRDefault="00303B4F" w:rsidP="00BF1C74">
      <w:pPr>
        <w:spacing w:line="360" w:lineRule="auto"/>
        <w:rPr>
          <w:rFonts w:ascii="Arial" w:hAnsi="Arial" w:cs="Arial"/>
        </w:rPr>
      </w:pPr>
    </w:p>
    <w:p w14:paraId="2B1DA5ED" w14:textId="77777777" w:rsidR="008D627F" w:rsidRPr="00BF1C74" w:rsidRDefault="008D627F" w:rsidP="00BF1C74">
      <w:pPr>
        <w:spacing w:line="360" w:lineRule="auto"/>
        <w:rPr>
          <w:rFonts w:ascii="Arial" w:hAnsi="Arial" w:cs="Arial"/>
        </w:rPr>
      </w:pPr>
    </w:p>
    <w:sectPr w:rsidR="008D627F" w:rsidRPr="00BF1C74" w:rsidSect="00303B4F">
      <w:headerReference w:type="default"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D7A53E6" w14:textId="77777777" w:rsidR="00605D9E" w:rsidRPr="003E2808" w:rsidRDefault="00605D9E" w:rsidP="00303B4F">
      <w:pPr>
        <w:spacing w:line="240" w:lineRule="auto"/>
      </w:pPr>
      <w:r w:rsidRPr="003E2808">
        <w:separator/>
      </w:r>
    </w:p>
  </w:endnote>
  <w:endnote w:type="continuationSeparator" w:id="0">
    <w:p w14:paraId="26C93CA5" w14:textId="77777777" w:rsidR="00605D9E" w:rsidRPr="003E2808" w:rsidRDefault="00605D9E" w:rsidP="00303B4F">
      <w:pPr>
        <w:spacing w:line="240" w:lineRule="auto"/>
      </w:pPr>
      <w:r w:rsidRPr="003E28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974EBF3-9FAE-4154-96BB-D86E4192DE3D}"/>
  </w:font>
  <w:font w:name="Cambria">
    <w:panose1 w:val="02040503050406030204"/>
    <w:charset w:val="00"/>
    <w:family w:val="roman"/>
    <w:pitch w:val="variable"/>
    <w:sig w:usb0="E00006FF" w:usb1="420024FF" w:usb2="02000000" w:usb3="00000000" w:csb0="0000019F" w:csb1="00000000"/>
    <w:embedRegular r:id="rId2" w:fontKey="{F3228509-036A-2F44-BFA2-65DA90271F00}"/>
  </w:font>
  <w:font w:name="Cambria Math">
    <w:panose1 w:val="02040503050406030204"/>
    <w:charset w:val="00"/>
    <w:family w:val="roman"/>
    <w:pitch w:val="variable"/>
    <w:sig w:usb0="E00006FF" w:usb1="420024FF" w:usb2="02000000" w:usb3="00000000" w:csb0="0000019F" w:csb1="00000000"/>
    <w:embedRegular r:id="rId3" w:fontKey="{89008AA7-B7E0-0041-8448-72E4B36490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b/>
        <w:bCs/>
      </w:rPr>
      <w:id w:val="-661398768"/>
      <w:docPartObj>
        <w:docPartGallery w:val="Page Numbers (Bottom of Page)"/>
        <w:docPartUnique/>
      </w:docPartObj>
    </w:sdtPr>
    <w:sdtEndPr>
      <w:rPr>
        <w:rFonts w:ascii="Arial" w:hAnsi="Arial" w:cs="Arial"/>
      </w:rPr>
    </w:sdtEndPr>
    <w:sdtContent>
      <w:sdt>
        <w:sdtPr>
          <w:rPr>
            <w:rFonts w:ascii="Arial" w:hAnsi="Arial" w:cs="Arial"/>
            <w:b/>
            <w:bCs/>
          </w:rPr>
          <w:id w:val="-1705238520"/>
          <w:docPartObj>
            <w:docPartGallery w:val="Page Numbers (Top of Page)"/>
            <w:docPartUnique/>
          </w:docPartObj>
        </w:sdtPr>
        <w:sdtEndPr/>
        <w:sdtContent>
          <w:p w14:paraId="36BE78EF" w14:textId="3D8D2ED2" w:rsidR="00303B4F" w:rsidRPr="003E2808" w:rsidRDefault="00303B4F" w:rsidP="00303B4F">
            <w:pPr>
              <w:pStyle w:val="Footer"/>
              <w:jc w:val="right"/>
              <w:rPr>
                <w:rFonts w:ascii="Arial" w:hAnsi="Arial" w:cs="Arial"/>
                <w:b/>
                <w:bCs/>
              </w:rPr>
            </w:pPr>
            <w:r w:rsidRPr="003E2808">
              <w:rPr>
                <w:rFonts w:ascii="Arial" w:hAnsi="Arial" w:cs="Arial"/>
                <w:b/>
                <w:bCs/>
              </w:rPr>
              <w:t xml:space="preserve">Page </w:t>
            </w:r>
            <w:r w:rsidRPr="003E2808">
              <w:rPr>
                <w:rFonts w:ascii="Arial" w:hAnsi="Arial" w:cs="Arial"/>
                <w:b/>
                <w:bCs/>
              </w:rPr>
              <w:fldChar w:fldCharType="begin"/>
            </w:r>
            <w:r w:rsidRPr="003E2808">
              <w:rPr>
                <w:rFonts w:ascii="Arial" w:hAnsi="Arial" w:cs="Arial"/>
                <w:b/>
                <w:bCs/>
              </w:rPr>
              <w:instrText xml:space="preserve"> PAGE </w:instrText>
            </w:r>
            <w:r w:rsidRPr="003E2808">
              <w:rPr>
                <w:rFonts w:ascii="Arial" w:hAnsi="Arial" w:cs="Arial"/>
                <w:b/>
                <w:bCs/>
              </w:rPr>
              <w:fldChar w:fldCharType="separate"/>
            </w:r>
            <w:r w:rsidRPr="003E2808">
              <w:rPr>
                <w:rFonts w:ascii="Arial" w:hAnsi="Arial" w:cs="Arial"/>
                <w:b/>
                <w:bCs/>
              </w:rPr>
              <w:t>2</w:t>
            </w:r>
            <w:r w:rsidRPr="003E2808">
              <w:rPr>
                <w:rFonts w:ascii="Arial" w:hAnsi="Arial" w:cs="Arial"/>
                <w:b/>
                <w:bCs/>
              </w:rPr>
              <w:fldChar w:fldCharType="end"/>
            </w:r>
            <w:r w:rsidRPr="003E2808">
              <w:rPr>
                <w:rFonts w:ascii="Arial" w:hAnsi="Arial" w:cs="Arial"/>
                <w:b/>
                <w:bCs/>
              </w:rPr>
              <w:t xml:space="preserve"> of </w:t>
            </w:r>
            <w:r w:rsidRPr="003E2808">
              <w:rPr>
                <w:rFonts w:ascii="Arial" w:hAnsi="Arial" w:cs="Arial"/>
                <w:b/>
                <w:bCs/>
              </w:rPr>
              <w:fldChar w:fldCharType="begin"/>
            </w:r>
            <w:r w:rsidRPr="003E2808">
              <w:rPr>
                <w:rFonts w:ascii="Arial" w:hAnsi="Arial" w:cs="Arial"/>
                <w:b/>
                <w:bCs/>
              </w:rPr>
              <w:instrText xml:space="preserve"> NUMPAGES  </w:instrText>
            </w:r>
            <w:r w:rsidRPr="003E2808">
              <w:rPr>
                <w:rFonts w:ascii="Arial" w:hAnsi="Arial" w:cs="Arial"/>
                <w:b/>
                <w:bCs/>
              </w:rPr>
              <w:fldChar w:fldCharType="separate"/>
            </w:r>
            <w:r w:rsidRPr="003E2808">
              <w:rPr>
                <w:rFonts w:ascii="Arial" w:hAnsi="Arial" w:cs="Arial"/>
                <w:b/>
                <w:bCs/>
              </w:rPr>
              <w:t>2</w:t>
            </w:r>
            <w:r w:rsidRPr="003E2808">
              <w:rPr>
                <w:rFonts w:ascii="Arial" w:hAnsi="Arial" w:cs="Arial"/>
                <w:b/>
                <w:bCs/>
              </w:rPr>
              <w:fldChar w:fldCharType="end"/>
            </w:r>
          </w:p>
        </w:sdtContent>
      </w:sdt>
    </w:sdtContent>
  </w:sdt>
  <w:p w14:paraId="65E31D59" w14:textId="77777777" w:rsidR="00303B4F" w:rsidRPr="003E2808" w:rsidRDefault="00303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C9DB89D" w14:textId="77777777" w:rsidR="00605D9E" w:rsidRPr="003E2808" w:rsidRDefault="00605D9E" w:rsidP="00303B4F">
      <w:pPr>
        <w:spacing w:line="240" w:lineRule="auto"/>
      </w:pPr>
      <w:r w:rsidRPr="003E2808">
        <w:separator/>
      </w:r>
    </w:p>
  </w:footnote>
  <w:footnote w:type="continuationSeparator" w:id="0">
    <w:p w14:paraId="3D3627DA" w14:textId="77777777" w:rsidR="00605D9E" w:rsidRPr="003E2808" w:rsidRDefault="00605D9E" w:rsidP="00303B4F">
      <w:pPr>
        <w:spacing w:line="240" w:lineRule="auto"/>
      </w:pPr>
      <w:r w:rsidRPr="003E280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8D65D6" w14:textId="550AB377" w:rsidR="00303B4F" w:rsidRPr="003E2808" w:rsidRDefault="00303B4F" w:rsidP="00303B4F">
    <w:pPr>
      <w:pStyle w:val="Header"/>
      <w:jc w:val="right"/>
      <w:rPr>
        <w:rFonts w:ascii="Arial" w:hAnsi="Arial" w:cs="Arial"/>
      </w:rPr>
    </w:pPr>
    <w:r w:rsidRPr="003E2808">
      <w:rPr>
        <w:rFonts w:ascii="Arial" w:hAnsi="Arial" w:cs="Arial"/>
        <w:b/>
        <w:bCs/>
      </w:rPr>
      <w:t>Principles of Health and Social Care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F77080C"/>
    <w:multiLevelType w:val="hybridMultilevel"/>
    <w:tmpl w:val="ADD0B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0707499">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48"/>
  <w:removePersonalInformation/>
  <w:removeDateAndTime/>
  <w:embedTrueTypeFonts/>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27F"/>
    <w:rsid w:val="000457F4"/>
    <w:rsid w:val="000A5E24"/>
    <w:rsid w:val="000A7A33"/>
    <w:rsid w:val="001133D1"/>
    <w:rsid w:val="00133645"/>
    <w:rsid w:val="00151DD2"/>
    <w:rsid w:val="001E19A9"/>
    <w:rsid w:val="00264889"/>
    <w:rsid w:val="00295A35"/>
    <w:rsid w:val="00303B4F"/>
    <w:rsid w:val="00374A1A"/>
    <w:rsid w:val="003E2808"/>
    <w:rsid w:val="00441538"/>
    <w:rsid w:val="00457CA8"/>
    <w:rsid w:val="004F4D65"/>
    <w:rsid w:val="00503726"/>
    <w:rsid w:val="005A178D"/>
    <w:rsid w:val="005F21F5"/>
    <w:rsid w:val="00605D9E"/>
    <w:rsid w:val="00616609"/>
    <w:rsid w:val="00730CA4"/>
    <w:rsid w:val="0073644D"/>
    <w:rsid w:val="0074080D"/>
    <w:rsid w:val="007464FC"/>
    <w:rsid w:val="00752F3A"/>
    <w:rsid w:val="0081611C"/>
    <w:rsid w:val="00850C6B"/>
    <w:rsid w:val="00887E1B"/>
    <w:rsid w:val="008A62BD"/>
    <w:rsid w:val="008C46D7"/>
    <w:rsid w:val="008D627F"/>
    <w:rsid w:val="00912339"/>
    <w:rsid w:val="00953635"/>
    <w:rsid w:val="009B7F56"/>
    <w:rsid w:val="00A029CA"/>
    <w:rsid w:val="00A47E5A"/>
    <w:rsid w:val="00AA24BA"/>
    <w:rsid w:val="00AA698A"/>
    <w:rsid w:val="00AB3342"/>
    <w:rsid w:val="00AD6204"/>
    <w:rsid w:val="00BD79A7"/>
    <w:rsid w:val="00BF1C74"/>
    <w:rsid w:val="00C505A9"/>
    <w:rsid w:val="00C97AB3"/>
    <w:rsid w:val="00DA1977"/>
    <w:rsid w:val="00EB6903"/>
    <w:rsid w:val="00EF3CCE"/>
    <w:rsid w:val="00F40946"/>
    <w:rsid w:val="00F82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C3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i/>
      <w:iCs/>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303B4F"/>
    <w:rPr>
      <w:b/>
      <w:bCs/>
      <w:sz w:val="28"/>
      <w:szCs w:val="28"/>
    </w:rPr>
  </w:style>
  <w:style w:type="paragraph" w:styleId="Bibliography">
    <w:name w:val="Bibliography"/>
    <w:basedOn w:val="Normal"/>
    <w:next w:val="Normal"/>
    <w:uiPriority w:val="37"/>
    <w:unhideWhenUsed/>
    <w:rsid w:val="00303B4F"/>
  </w:style>
  <w:style w:type="character" w:styleId="Hyperlink">
    <w:name w:val="Hyperlink"/>
    <w:basedOn w:val="DefaultParagraphFont"/>
    <w:uiPriority w:val="99"/>
    <w:unhideWhenUsed/>
    <w:rsid w:val="00303B4F"/>
    <w:rPr>
      <w:color w:val="0000FF" w:themeColor="hyperlink"/>
      <w:u w:val="single"/>
    </w:rPr>
  </w:style>
  <w:style w:type="character" w:styleId="UnresolvedMention">
    <w:name w:val="Unresolved Mention"/>
    <w:basedOn w:val="DefaultParagraphFont"/>
    <w:uiPriority w:val="99"/>
    <w:semiHidden/>
    <w:unhideWhenUsed/>
    <w:rsid w:val="00303B4F"/>
    <w:rPr>
      <w:color w:val="605E5C"/>
      <w:shd w:val="clear" w:color="auto" w:fill="E1DFDD"/>
    </w:rPr>
  </w:style>
  <w:style w:type="paragraph" w:styleId="ListParagraph">
    <w:name w:val="List Paragraph"/>
    <w:basedOn w:val="Normal"/>
    <w:uiPriority w:val="34"/>
    <w:qFormat/>
    <w:rsid w:val="00303B4F"/>
    <w:pPr>
      <w:ind w:left="720"/>
      <w:contextualSpacing/>
    </w:pPr>
  </w:style>
  <w:style w:type="paragraph" w:styleId="Header">
    <w:name w:val="header"/>
    <w:basedOn w:val="Normal"/>
    <w:link w:val="HeaderChar"/>
    <w:uiPriority w:val="99"/>
    <w:unhideWhenUsed/>
    <w:rsid w:val="00303B4F"/>
    <w:pPr>
      <w:tabs>
        <w:tab w:val="center" w:pos="4680"/>
        <w:tab w:val="right" w:pos="9360"/>
      </w:tabs>
      <w:spacing w:line="240" w:lineRule="auto"/>
    </w:pPr>
  </w:style>
  <w:style w:type="character" w:customStyle="1" w:styleId="HeaderChar">
    <w:name w:val="Header Char"/>
    <w:basedOn w:val="DefaultParagraphFont"/>
    <w:link w:val="Header"/>
    <w:uiPriority w:val="99"/>
    <w:rsid w:val="00303B4F"/>
  </w:style>
  <w:style w:type="paragraph" w:styleId="Footer">
    <w:name w:val="footer"/>
    <w:basedOn w:val="Normal"/>
    <w:link w:val="FooterChar"/>
    <w:uiPriority w:val="99"/>
    <w:unhideWhenUsed/>
    <w:rsid w:val="00303B4F"/>
    <w:pPr>
      <w:tabs>
        <w:tab w:val="center" w:pos="4680"/>
        <w:tab w:val="right" w:pos="9360"/>
      </w:tabs>
      <w:spacing w:line="240" w:lineRule="auto"/>
    </w:pPr>
  </w:style>
  <w:style w:type="character" w:customStyle="1" w:styleId="FooterChar">
    <w:name w:val="Footer Char"/>
    <w:basedOn w:val="DefaultParagraphFont"/>
    <w:link w:val="Footer"/>
    <w:uiPriority w:val="99"/>
    <w:rsid w:val="00303B4F"/>
  </w:style>
  <w:style w:type="paragraph" w:styleId="TOCHeading">
    <w:name w:val="TOC Heading"/>
    <w:basedOn w:val="Heading1"/>
    <w:next w:val="Normal"/>
    <w:uiPriority w:val="39"/>
    <w:unhideWhenUsed/>
    <w:qFormat/>
    <w:rsid w:val="00303B4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303B4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1848368">
      <w:bodyDiv w:val="1"/>
      <w:marLeft w:val="0"/>
      <w:marRight w:val="0"/>
      <w:marTop w:val="0"/>
      <w:marBottom w:val="0"/>
      <w:divBdr>
        <w:top w:val="none" w:sz="0" w:space="0" w:color="auto"/>
        <w:left w:val="none" w:sz="0" w:space="0" w:color="auto"/>
        <w:bottom w:val="none" w:sz="0" w:space="0" w:color="auto"/>
        <w:right w:val="none" w:sz="0" w:space="0" w:color="auto"/>
      </w:divBdr>
    </w:div>
    <w:div w:id="465507340">
      <w:bodyDiv w:val="1"/>
      <w:marLeft w:val="0"/>
      <w:marRight w:val="0"/>
      <w:marTop w:val="0"/>
      <w:marBottom w:val="0"/>
      <w:divBdr>
        <w:top w:val="none" w:sz="0" w:space="0" w:color="auto"/>
        <w:left w:val="none" w:sz="0" w:space="0" w:color="auto"/>
        <w:bottom w:val="none" w:sz="0" w:space="0" w:color="auto"/>
        <w:right w:val="none" w:sz="0" w:space="0" w:color="auto"/>
      </w:divBdr>
    </w:div>
    <w:div w:id="609237248">
      <w:bodyDiv w:val="1"/>
      <w:marLeft w:val="0"/>
      <w:marRight w:val="0"/>
      <w:marTop w:val="0"/>
      <w:marBottom w:val="0"/>
      <w:divBdr>
        <w:top w:val="none" w:sz="0" w:space="0" w:color="auto"/>
        <w:left w:val="none" w:sz="0" w:space="0" w:color="auto"/>
        <w:bottom w:val="none" w:sz="0" w:space="0" w:color="auto"/>
        <w:right w:val="none" w:sz="0" w:space="0" w:color="auto"/>
      </w:divBdr>
    </w:div>
    <w:div w:id="651720223">
      <w:bodyDiv w:val="1"/>
      <w:marLeft w:val="0"/>
      <w:marRight w:val="0"/>
      <w:marTop w:val="0"/>
      <w:marBottom w:val="0"/>
      <w:divBdr>
        <w:top w:val="none" w:sz="0" w:space="0" w:color="auto"/>
        <w:left w:val="none" w:sz="0" w:space="0" w:color="auto"/>
        <w:bottom w:val="none" w:sz="0" w:space="0" w:color="auto"/>
        <w:right w:val="none" w:sz="0" w:space="0" w:color="auto"/>
      </w:divBdr>
    </w:div>
    <w:div w:id="953554505">
      <w:bodyDiv w:val="1"/>
      <w:marLeft w:val="0"/>
      <w:marRight w:val="0"/>
      <w:marTop w:val="0"/>
      <w:marBottom w:val="0"/>
      <w:divBdr>
        <w:top w:val="none" w:sz="0" w:space="0" w:color="auto"/>
        <w:left w:val="none" w:sz="0" w:space="0" w:color="auto"/>
        <w:bottom w:val="none" w:sz="0" w:space="0" w:color="auto"/>
        <w:right w:val="none" w:sz="0" w:space="0" w:color="auto"/>
      </w:divBdr>
    </w:div>
    <w:div w:id="1255360548">
      <w:bodyDiv w:val="1"/>
      <w:marLeft w:val="0"/>
      <w:marRight w:val="0"/>
      <w:marTop w:val="0"/>
      <w:marBottom w:val="0"/>
      <w:divBdr>
        <w:top w:val="none" w:sz="0" w:space="0" w:color="auto"/>
        <w:left w:val="none" w:sz="0" w:space="0" w:color="auto"/>
        <w:bottom w:val="none" w:sz="0" w:space="0" w:color="auto"/>
        <w:right w:val="none" w:sz="0" w:space="0" w:color="auto"/>
      </w:divBdr>
    </w:div>
    <w:div w:id="1284464168">
      <w:bodyDiv w:val="1"/>
      <w:marLeft w:val="0"/>
      <w:marRight w:val="0"/>
      <w:marTop w:val="0"/>
      <w:marBottom w:val="0"/>
      <w:divBdr>
        <w:top w:val="none" w:sz="0" w:space="0" w:color="auto"/>
        <w:left w:val="none" w:sz="0" w:space="0" w:color="auto"/>
        <w:bottom w:val="none" w:sz="0" w:space="0" w:color="auto"/>
        <w:right w:val="none" w:sz="0" w:space="0" w:color="auto"/>
      </w:divBdr>
    </w:div>
    <w:div w:id="14439129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NHS2610</b:Tag>
    <b:SourceType>InternetSite</b:SourceType>
    <b:Guid>{B5F0173B-4289-44A6-866E-C6D0D3271220}</b:Guid>
    <b:Author>
      <b:Author>
        <b:Corporate>NHS England</b:Corporate>
      </b:Author>
    </b:Author>
    <b:Title>Person-centred care</b:Title>
    <b:Year>2026</b:Year>
    <b:YearAccessed>2026</b:YearAccessed>
    <b:MonthAccessed>July</b:MonthAccessed>
    <b:DayAccessed>21</b:DayAccessed>
    <b:URL>https://www.hee.nhs.uk/our-work/person-centred-care</b:URL>
    <b:RefOrder>1</b:RefOrder>
  </b:Source>
  <b:Source>
    <b:Tag>HCP26</b:Tag>
    <b:SourceType>InternetSite</b:SourceType>
    <b:Guid>{C02C453E-43AB-4051-AE93-0FCE11279FDF}</b:Guid>
    <b:Author>
      <b:Author>
        <b:Corporate>HCPC</b:Corporate>
      </b:Author>
    </b:Author>
    <b:Title>Person-centred care</b:Title>
    <b:Year>2026</b:Year>
    <b:YearAccessed>2026</b:YearAccessed>
    <b:MonthAccessed>July</b:MonthAccessed>
    <b:DayAccessed>21</b:DayAccessed>
    <b:URL>https://www.hcpc-uk.org/standards/meeting-our-standards/person-centred-care/</b:URL>
    <b:RefOrder>2</b:RefOrder>
  </b:Source>
  <b:Source>
    <b:Tag>NHS2611</b:Tag>
    <b:SourceType>InternetSite</b:SourceType>
    <b:Guid>{383A8C66-8577-40D7-96C7-5F804DD2C7A2}</b:Guid>
    <b:Author>
      <b:Author>
        <b:Corporate>NHS England</b:Corporate>
      </b:Author>
    </b:Author>
    <b:Title>What is integrated care?</b:Title>
    <b:Year>2026</b:Year>
    <b:YearAccessed>2026</b:YearAccessed>
    <b:MonthAccessed>July</b:MonthAccessed>
    <b:DayAccessed>21</b:DayAccessed>
    <b:URL>https://www.england.nhs.uk/integratedcare/what-is-integrated-care</b:URL>
    <b:RefOrder>3</b:RefOrder>
  </b:Source>
  <b:Source>
    <b:Tag>Mar2414</b:Tag>
    <b:SourceType>InternetSite</b:SourceType>
    <b:Guid>{69D0DF0B-D132-455F-935B-6AB5C3EE1ADB}</b:Guid>
    <b:Author>
      <b:Author>
        <b:NameList>
          <b:Person>
            <b:Last>Sanderson</b:Last>
            <b:First>Marie</b:First>
          </b:Person>
        </b:NameList>
      </b:Author>
    </b:Author>
    <b:Title>Still early days? The development of Integrated Care Systems</b:Title>
    <b:Year>2024</b:Year>
    <b:YearAccessed>2026</b:YearAccessed>
    <b:MonthAccessed>July</b:MonthAccessed>
    <b:DayAccessed>21</b:DayAccessed>
    <b:URL>https://pru.hssc.ac.uk/outputs/blog/still-early-days-the-development-of-integrated-care-systems.html</b:URL>
    <b:RefOrder>4</b:RefOrder>
  </b:Source>
  <b:Source>
    <b:Tag>GOV2516</b:Tag>
    <b:SourceType>InternetSite</b:SourceType>
    <b:Guid>{0AEAC3F5-C5CE-402B-8A09-DA78395521B6}</b:Guid>
    <b:Author>
      <b:Author>
        <b:Corporate>GOV.UK</b:Corporate>
      </b:Author>
    </b:Author>
    <b:Title>Care and support statutory guidance</b:Title>
    <b:Year>2025</b:Year>
    <b:YearAccessed>2026</b:YearAccessed>
    <b:MonthAccessed>July</b:MonthAccessed>
    <b:DayAccessed>22</b:DayAccessed>
    <b:URL>https://www.gov.uk/government/publications/care-act-statutory-guidance/care-and-support-statutory-guidance</b:URL>
    <b:RefOrder>5</b:RefOrder>
  </b:Source>
  <b:Source>
    <b:Tag>NHS2612</b:Tag>
    <b:SourceType>InternetSite</b:SourceType>
    <b:Guid>{93F88C7B-2181-44C7-B83E-4FDECDDA2A69}</b:Guid>
    <b:Author>
      <b:Author>
        <b:Corporate>NHS England</b:Corporate>
      </b:Author>
    </b:Author>
    <b:Title>Working in partnership with people and communities: Statutory guidance</b:Title>
    <b:Year>2026</b:Year>
    <b:YearAccessed>2026</b:YearAccessed>
    <b:MonthAccessed>July</b:MonthAccessed>
    <b:DayAccessed>22</b:DayAccessed>
    <b:URL>https://www.england.nhs.uk/long-read/working-in-partnership-with-people-and-communities-statutory-guidance/</b:URL>
    <b:RefOrder>6</b:RefOrder>
  </b:Source>
  <b:Source>
    <b:Tag>TWC25</b:Tag>
    <b:SourceType>InternetSite</b:SourceType>
    <b:Guid>{EBF24290-B3E4-464E-8FE3-A96D074907D5}</b:Guid>
    <b:Author>
      <b:Author>
        <b:Corporate>TWC London</b:Corporate>
      </b:Author>
    </b:Author>
    <b:Title>7 Core Principles of Health and Social Care Every Professional Should Know</b:Title>
    <b:Year>2025</b:Year>
    <b:YearAccessed>2026</b:YearAccessed>
    <b:MonthAccessed>July</b:MonthAccessed>
    <b:DayAccessed>21</b:DayAccessed>
    <b:URL>https://www.twclondon.org.uk/blogs/principles-of-health-social-care</b:URL>
    <b:RefOrder>1</b:RefOrder>
  </b:Source>
  <b:Source>
    <b:Tag>Jea26</b:Tag>
    <b:SourceType>InternetSite</b:SourceType>
    <b:Guid>{ABD4D7B6-80CD-424E-8946-7884568AAB91}</b:Guid>
    <b:Author>
      <b:Author>
        <b:Corporate>Jean Watson caring Theory</b:Corporate>
      </b:Author>
    </b:Author>
    <b:Title>What is The Caring Theory</b:Title>
    <b:Year>2026</b:Year>
    <b:YearAccessed>2026</b:YearAccessed>
    <b:MonthAccessed>July</b:MonthAccessed>
    <b:DayAccessed>21</b:DayAccessed>
    <b:URL>https://jeanwatsoncaringtheory.weebly.com/</b:URL>
    <b:RefOrder>2</b:RefOrder>
  </b:Source>
  <b:Source>
    <b:Tag>Fla25</b:Tag>
    <b:SourceType>InternetSite</b:SourceType>
    <b:Guid>{54F3A98E-7E58-4317-8F86-F5EC027A4F5F}</b:Guid>
    <b:Author>
      <b:Author>
        <b:NameList>
          <b:Person>
            <b:Last>Flarey</b:Last>
            <b:First>Dominick</b:First>
          </b:Person>
          <b:Person>
            <b:Last>Katz</b:Last>
            <b:Middle>M.</b:Middle>
            <b:First>James  </b:First>
          </b:Person>
        </b:NameList>
      </b:Author>
    </b:Author>
    <b:Title>The Role of Ethics in Healthcare: A Comprehensive Guide</b:Title>
    <b:Year>2025</b:Year>
    <b:YearAccessed>2026</b:YearAccessed>
    <b:MonthAccessed>July</b:MonthAccessed>
    <b:DayAccessed>21</b:DayAccessed>
    <b:URL>https://aihcp.net/2024/10/15/the-role-of-ethics-in-healthcare-a-comprehensive-guide/</b:URL>
    <b:RefOrder>3</b:RefOrder>
  </b:Source>
  <b:Source>
    <b:Tag>Nik261</b:Tag>
    <b:SourceType>InternetSite</b:SourceType>
    <b:Guid>{1F3389FB-D549-42AB-A027-E12BFBA04511}</b:Guid>
    <b:Author>
      <b:Author>
        <b:NameList>
          <b:Person>
            <b:Last>Fox</b:Last>
            <b:First>Nikki</b:First>
          </b:Person>
        </b:NameList>
      </b:Author>
    </b:Author>
    <b:Title>Can homegrown social workers help to free up NHS beds?</b:Title>
    <b:Year>2026</b:Year>
    <b:YearAccessed>2026</b:YearAccessed>
    <b:MonthAccessed>July</b:MonthAccessed>
    <b:DayAccessed>21</b:DayAccessed>
    <b:URL>https://www.bbc.co.uk/news/articles/c5y8dv1ezrdo</b:URL>
    <b:RefOrder>4</b:RefOrder>
  </b:Source>
</b:Sources>
</file>

<file path=customXml/itemProps1.xml><?xml version="1.0" encoding="utf-8"?>
<ds:datastoreItem xmlns:ds="http://schemas.openxmlformats.org/officeDocument/2006/customXml" ds:itemID="{F1CE60F4-8F86-4591-AD58-0A6E595CD6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3206</Words>
  <Characters>18277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2026-07-24T19:34:00Z</dcterms:created>
  <dcterms:modified xsi:type="dcterms:W3CDTF">2026-07-24T19:34:00Z</dcterms:modified>
</cp:coreProperties>
</file>