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00A2" w:rsidRPr="007300A2" w:rsidRDefault="007300A2" w:rsidP="007300A2">
      <w:pPr>
        <w:shd w:val="clear" w:color="auto" w:fill="FFFFFF"/>
        <w:spacing w:before="100" w:beforeAutospacing="1" w:after="100" w:afterAutospacing="1" w:line="450" w:lineRule="atLeast"/>
        <w:outlineLvl w:val="1"/>
        <w:rPr>
          <w:rFonts w:ascii="Arial" w:eastAsia="Times New Roman" w:hAnsi="Arial" w:cs="Arial"/>
          <w:color w:val="555555"/>
          <w:kern w:val="36"/>
          <w:sz w:val="36"/>
          <w:szCs w:val="36"/>
          <w:lang w:val="en-US" w:eastAsia="en-GB"/>
        </w:rPr>
      </w:pPr>
      <w:r w:rsidRPr="007300A2">
        <w:rPr>
          <w:rFonts w:ascii="Arial" w:eastAsia="Times New Roman" w:hAnsi="Arial" w:cs="Arial"/>
          <w:color w:val="555555"/>
          <w:kern w:val="36"/>
          <w:sz w:val="36"/>
          <w:szCs w:val="36"/>
          <w:lang w:val="en-US" w:eastAsia="en-GB"/>
        </w:rPr>
        <w:t xml:space="preserve">Crosstabs in SPSS: Step by Step </w:t>
      </w:r>
    </w:p>
    <w:p w:rsidR="007300A2" w:rsidRPr="007300A2" w:rsidRDefault="007300A2" w:rsidP="007300A2">
      <w:pPr>
        <w:shd w:val="clear" w:color="auto" w:fill="FFFFFF"/>
        <w:spacing w:before="100" w:beforeAutospacing="1" w:after="225" w:line="300" w:lineRule="atLeast"/>
        <w:rPr>
          <w:rFonts w:ascii="Arial" w:eastAsia="Times New Roman" w:hAnsi="Arial" w:cs="Arial"/>
          <w:color w:val="777777"/>
          <w:sz w:val="28"/>
          <w:szCs w:val="28"/>
          <w:lang w:val="en-US" w:eastAsia="en-GB"/>
        </w:rPr>
      </w:pPr>
      <w:r w:rsidRPr="007300A2">
        <w:rPr>
          <w:rFonts w:ascii="Arial" w:eastAsia="Times New Roman" w:hAnsi="Arial" w:cs="Arial"/>
          <w:color w:val="777777"/>
          <w:sz w:val="28"/>
          <w:szCs w:val="28"/>
          <w:lang w:val="en-US" w:eastAsia="en-GB"/>
        </w:rPr>
        <w:t xml:space="preserve">Crosstabs in SPSS is just another name for </w:t>
      </w:r>
      <w:hyperlink r:id="rId4" w:tgtFrame="_blank" w:history="1">
        <w:r w:rsidRPr="007300A2">
          <w:rPr>
            <w:rFonts w:ascii="Arial" w:eastAsia="Times New Roman" w:hAnsi="Arial" w:cs="Arial"/>
            <w:color w:val="05A9C5"/>
            <w:sz w:val="28"/>
            <w:szCs w:val="28"/>
            <w:lang w:val="en-US" w:eastAsia="en-GB"/>
          </w:rPr>
          <w:t>contingency tables</w:t>
        </w:r>
      </w:hyperlink>
      <w:r w:rsidRPr="007300A2">
        <w:rPr>
          <w:rFonts w:ascii="Arial" w:eastAsia="Times New Roman" w:hAnsi="Arial" w:cs="Arial"/>
          <w:color w:val="777777"/>
          <w:sz w:val="28"/>
          <w:szCs w:val="28"/>
          <w:lang w:val="en-US" w:eastAsia="en-GB"/>
        </w:rPr>
        <w:t xml:space="preserve">, which summarize the relationship between different </w:t>
      </w:r>
      <w:hyperlink r:id="rId5" w:history="1">
        <w:r w:rsidRPr="007300A2">
          <w:rPr>
            <w:rFonts w:ascii="Arial" w:eastAsia="Times New Roman" w:hAnsi="Arial" w:cs="Arial"/>
            <w:color w:val="05A9C5"/>
            <w:sz w:val="28"/>
            <w:szCs w:val="28"/>
            <w:lang w:val="en-US" w:eastAsia="en-GB"/>
          </w:rPr>
          <w:t xml:space="preserve">variables </w:t>
        </w:r>
      </w:hyperlink>
      <w:r w:rsidRPr="007300A2">
        <w:rPr>
          <w:rFonts w:ascii="Arial" w:eastAsia="Times New Roman" w:hAnsi="Arial" w:cs="Arial"/>
          <w:color w:val="777777"/>
          <w:sz w:val="28"/>
          <w:szCs w:val="28"/>
          <w:lang w:val="en-US" w:eastAsia="en-GB"/>
        </w:rPr>
        <w:t xml:space="preserve">of </w:t>
      </w:r>
      <w:hyperlink r:id="rId6" w:tgtFrame="_blank" w:history="1">
        <w:r w:rsidRPr="007300A2">
          <w:rPr>
            <w:rFonts w:ascii="Arial" w:eastAsia="Times New Roman" w:hAnsi="Arial" w:cs="Arial"/>
            <w:color w:val="05A9C5"/>
            <w:sz w:val="28"/>
            <w:szCs w:val="28"/>
            <w:lang w:val="en-US" w:eastAsia="en-GB"/>
          </w:rPr>
          <w:t>categorical data</w:t>
        </w:r>
      </w:hyperlink>
      <w:r w:rsidRPr="007300A2">
        <w:rPr>
          <w:rFonts w:ascii="Arial" w:eastAsia="Times New Roman" w:hAnsi="Arial" w:cs="Arial"/>
          <w:color w:val="777777"/>
          <w:sz w:val="28"/>
          <w:szCs w:val="28"/>
          <w:lang w:val="en-US" w:eastAsia="en-GB"/>
        </w:rPr>
        <w:t xml:space="preserve">. Crosstabs can help you show the proportion of cases in subgroups. The basic crosstabs in SPSS command gives you counts by default (in other words, you’ll get a </w:t>
      </w:r>
      <w:hyperlink r:id="rId7" w:history="1">
        <w:r w:rsidRPr="007300A2">
          <w:rPr>
            <w:rFonts w:ascii="Arial" w:eastAsia="Times New Roman" w:hAnsi="Arial" w:cs="Arial"/>
            <w:color w:val="05A9C5"/>
            <w:sz w:val="28"/>
            <w:szCs w:val="28"/>
            <w:lang w:val="en-US" w:eastAsia="en-GB"/>
          </w:rPr>
          <w:t>frequency distribution table</w:t>
        </w:r>
      </w:hyperlink>
      <w:r w:rsidRPr="007300A2">
        <w:rPr>
          <w:rFonts w:ascii="Arial" w:eastAsia="Times New Roman" w:hAnsi="Arial" w:cs="Arial"/>
          <w:color w:val="777777"/>
          <w:sz w:val="28"/>
          <w:szCs w:val="28"/>
          <w:lang w:val="en-US" w:eastAsia="en-GB"/>
        </w:rPr>
        <w:t xml:space="preserve"> with counts). In order for crosstabs to be useful and produce the information you normally see in a contingency table, you’ll need to specify row-per cents or column-per cents.</w:t>
      </w:r>
    </w:p>
    <w:p w:rsidR="007300A2" w:rsidRPr="007300A2" w:rsidRDefault="007300A2" w:rsidP="007300A2">
      <w:pPr>
        <w:pStyle w:val="NormalWeb"/>
        <w:shd w:val="clear" w:color="auto" w:fill="FFFFFF"/>
        <w:spacing w:line="300" w:lineRule="atLeast"/>
        <w:rPr>
          <w:rFonts w:ascii="PT Sans" w:hAnsi="PT Sans"/>
          <w:color w:val="777777"/>
          <w:sz w:val="28"/>
          <w:szCs w:val="28"/>
          <w:lang w:val="en-US"/>
        </w:rPr>
      </w:pPr>
      <w:r w:rsidRPr="007300A2">
        <w:rPr>
          <w:rStyle w:val="Strong"/>
          <w:rFonts w:ascii="PT Sans" w:hAnsi="PT Sans"/>
          <w:color w:val="777777"/>
          <w:sz w:val="28"/>
          <w:szCs w:val="28"/>
          <w:lang w:val="en-US"/>
        </w:rPr>
        <w:t xml:space="preserve">Sample question: </w:t>
      </w:r>
      <w:r w:rsidRPr="007300A2">
        <w:rPr>
          <w:rFonts w:ascii="PT Sans" w:hAnsi="PT Sans"/>
          <w:color w:val="777777"/>
          <w:sz w:val="28"/>
          <w:szCs w:val="28"/>
          <w:lang w:val="en-US"/>
        </w:rPr>
        <w:t>Make an SPSS Crosstab for age (2,3,4,6,8,44,34,33,45,56,57,57) vs. healthcare type (1,1,2,3,4,5,6,1,2,4,5,5). Show percentages of healthcare type in the contingency table.</w:t>
      </w:r>
    </w:p>
    <w:p w:rsidR="007300A2" w:rsidRPr="007300A2" w:rsidRDefault="007300A2" w:rsidP="007300A2">
      <w:pPr>
        <w:pStyle w:val="NormalWeb"/>
        <w:shd w:val="clear" w:color="auto" w:fill="FFFFFF"/>
        <w:spacing w:line="300" w:lineRule="atLeast"/>
        <w:rPr>
          <w:rFonts w:ascii="PT Sans" w:hAnsi="PT Sans"/>
          <w:color w:val="777777"/>
          <w:sz w:val="28"/>
          <w:szCs w:val="28"/>
          <w:lang w:val="en-US"/>
        </w:rPr>
      </w:pPr>
      <w:r w:rsidRPr="007300A2">
        <w:rPr>
          <w:rFonts w:ascii="PT Sans" w:hAnsi="PT Sans"/>
          <w:color w:val="0000FF"/>
          <w:sz w:val="28"/>
          <w:szCs w:val="28"/>
          <w:lang w:val="en-US"/>
        </w:rPr>
        <w:t xml:space="preserve">Step 1: </w:t>
      </w:r>
      <w:r w:rsidRPr="007300A2">
        <w:rPr>
          <w:rStyle w:val="Strong"/>
          <w:rFonts w:ascii="PT Sans" w:hAnsi="PT Sans"/>
          <w:color w:val="777777"/>
          <w:sz w:val="28"/>
          <w:szCs w:val="28"/>
          <w:lang w:val="en-US"/>
        </w:rPr>
        <w:t xml:space="preserve">Type your data into an </w:t>
      </w:r>
      <w:hyperlink r:id="rId8" w:history="1">
        <w:r w:rsidRPr="007300A2">
          <w:rPr>
            <w:rStyle w:val="Hyperlink"/>
            <w:rFonts w:ascii="PT Sans" w:hAnsi="PT Sans"/>
            <w:b/>
            <w:bCs/>
            <w:sz w:val="28"/>
            <w:szCs w:val="28"/>
            <w:lang w:val="en-US"/>
          </w:rPr>
          <w:t>SPSS</w:t>
        </w:r>
      </w:hyperlink>
      <w:r w:rsidRPr="007300A2">
        <w:rPr>
          <w:rStyle w:val="Strong"/>
          <w:rFonts w:ascii="PT Sans" w:hAnsi="PT Sans"/>
          <w:color w:val="777777"/>
          <w:sz w:val="28"/>
          <w:szCs w:val="28"/>
          <w:lang w:val="en-US"/>
        </w:rPr>
        <w:t xml:space="preserve"> worksheet. </w:t>
      </w:r>
      <w:r w:rsidRPr="007300A2">
        <w:rPr>
          <w:rFonts w:ascii="PT Sans" w:hAnsi="PT Sans"/>
          <w:color w:val="777777"/>
          <w:sz w:val="28"/>
          <w:szCs w:val="28"/>
          <w:lang w:val="en-US"/>
        </w:rPr>
        <w:t>Contingency tables require at least two variables (columns) of data. For this sample question, type ages (2,3,4,6,8,44,34,33,45,56,57,57) into the first column and then type Healthcare type (1,1,2,3,4,5,6,1,2,4,5,5) into the second column. Change the variable names (the column headers) by clicking the “Variable” button at the bottom of the sheet and typing over the variable name.</w:t>
      </w:r>
    </w:p>
    <w:p w:rsidR="007300A2" w:rsidRPr="007300A2" w:rsidRDefault="007300A2" w:rsidP="007300A2">
      <w:pPr>
        <w:pStyle w:val="NormalWeb"/>
        <w:shd w:val="clear" w:color="auto" w:fill="FFFFFF"/>
        <w:spacing w:line="300" w:lineRule="atLeast"/>
        <w:rPr>
          <w:rFonts w:ascii="PT Sans" w:hAnsi="PT Sans"/>
          <w:color w:val="777777"/>
          <w:sz w:val="28"/>
          <w:szCs w:val="28"/>
          <w:lang w:val="en-US"/>
        </w:rPr>
      </w:pPr>
      <w:r w:rsidRPr="007300A2">
        <w:rPr>
          <w:rFonts w:ascii="PT Sans" w:hAnsi="PT Sans"/>
          <w:color w:val="0000FF"/>
          <w:sz w:val="28"/>
          <w:szCs w:val="28"/>
          <w:lang w:val="en-US"/>
        </w:rPr>
        <w:t xml:space="preserve">Step 2: </w:t>
      </w:r>
      <w:r w:rsidRPr="007300A2">
        <w:rPr>
          <w:rStyle w:val="Strong"/>
          <w:rFonts w:ascii="PT Sans" w:hAnsi="PT Sans"/>
          <w:color w:val="777777"/>
          <w:sz w:val="28"/>
          <w:szCs w:val="28"/>
          <w:lang w:val="en-US"/>
        </w:rPr>
        <w:t xml:space="preserve">Click “Analyze,” then hover over “Descriptive Statistics” and then click “Crosstabs.” </w:t>
      </w:r>
      <w:r w:rsidRPr="007300A2">
        <w:rPr>
          <w:rFonts w:ascii="PT Sans" w:hAnsi="PT Sans"/>
          <w:color w:val="777777"/>
          <w:sz w:val="28"/>
          <w:szCs w:val="28"/>
          <w:lang w:val="en-US"/>
        </w:rPr>
        <w:t>The Crosstabs dialog window will open.</w:t>
      </w:r>
    </w:p>
    <w:p w:rsidR="007300A2" w:rsidRPr="007300A2" w:rsidRDefault="007300A2" w:rsidP="007300A2">
      <w:pPr>
        <w:pStyle w:val="NormalWeb"/>
        <w:shd w:val="clear" w:color="auto" w:fill="FFFFFF"/>
        <w:spacing w:line="300" w:lineRule="atLeast"/>
        <w:rPr>
          <w:rFonts w:ascii="PT Sans" w:hAnsi="PT Sans"/>
          <w:color w:val="777777"/>
          <w:sz w:val="28"/>
          <w:szCs w:val="28"/>
          <w:lang w:val="en-US"/>
        </w:rPr>
      </w:pPr>
      <w:r w:rsidRPr="007300A2">
        <w:rPr>
          <w:rFonts w:ascii="PT Sans" w:hAnsi="PT Sans"/>
          <w:color w:val="0000FF"/>
          <w:sz w:val="28"/>
          <w:szCs w:val="28"/>
          <w:lang w:val="en-US"/>
        </w:rPr>
        <w:t xml:space="preserve">Step 3: </w:t>
      </w:r>
      <w:r w:rsidRPr="007300A2">
        <w:rPr>
          <w:rStyle w:val="Strong"/>
          <w:rFonts w:ascii="PT Sans" w:hAnsi="PT Sans"/>
          <w:color w:val="777777"/>
          <w:sz w:val="28"/>
          <w:szCs w:val="28"/>
          <w:lang w:val="en-US"/>
        </w:rPr>
        <w:t xml:space="preserve">Select one variable in the left window </w:t>
      </w:r>
      <w:r w:rsidRPr="007300A2">
        <w:rPr>
          <w:rFonts w:ascii="PT Sans" w:hAnsi="PT Sans"/>
          <w:color w:val="777777"/>
          <w:sz w:val="28"/>
          <w:szCs w:val="28"/>
          <w:lang w:val="en-US"/>
        </w:rPr>
        <w:t>and then click the top arrow to populate the “Row(s)” box. Select a variable to populate the “Column(s)” box and then click the center arrow. For this sample problem, “Age” was selected for “Row(s)” and “Healthcare Type” was selected for “Column(s).” Once you have made your selection, click “Cells.”</w:t>
      </w:r>
    </w:p>
    <w:p w:rsidR="007300A2" w:rsidRPr="007300A2" w:rsidRDefault="007300A2" w:rsidP="007300A2">
      <w:pPr>
        <w:shd w:val="clear" w:color="auto" w:fill="FFFFFF"/>
        <w:spacing w:before="100" w:beforeAutospacing="1" w:after="225" w:line="300" w:lineRule="atLeast"/>
        <w:rPr>
          <w:rFonts w:ascii="Arial" w:eastAsia="Times New Roman" w:hAnsi="Arial" w:cs="Arial"/>
          <w:color w:val="777777"/>
          <w:sz w:val="28"/>
          <w:szCs w:val="28"/>
          <w:lang w:val="en-US" w:eastAsia="en-GB"/>
        </w:rPr>
      </w:pPr>
      <w:bookmarkStart w:id="0" w:name="_GoBack"/>
      <w:r w:rsidRPr="007300A2">
        <w:rPr>
          <w:rFonts w:ascii="Arial" w:eastAsia="Times New Roman" w:hAnsi="Arial" w:cs="Arial"/>
          <w:noProof/>
          <w:color w:val="777777"/>
          <w:sz w:val="28"/>
          <w:szCs w:val="28"/>
          <w:lang w:eastAsia="en-GB"/>
        </w:rPr>
        <w:drawing>
          <wp:inline distT="0" distB="0" distL="0" distR="0">
            <wp:extent cx="2724150" cy="23665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pss.PNG"/>
                    <pic:cNvPicPr/>
                  </pic:nvPicPr>
                  <pic:blipFill>
                    <a:blip r:embed="rId9">
                      <a:extLst>
                        <a:ext uri="{28A0092B-C50C-407E-A947-70E740481C1C}">
                          <a14:useLocalDpi xmlns:a14="http://schemas.microsoft.com/office/drawing/2010/main" val="0"/>
                        </a:ext>
                      </a:extLst>
                    </a:blip>
                    <a:stretch>
                      <a:fillRect/>
                    </a:stretch>
                  </pic:blipFill>
                  <pic:spPr>
                    <a:xfrm>
                      <a:off x="0" y="0"/>
                      <a:ext cx="2737522" cy="2378120"/>
                    </a:xfrm>
                    <a:prstGeom prst="rect">
                      <a:avLst/>
                    </a:prstGeom>
                  </pic:spPr>
                </pic:pic>
              </a:graphicData>
            </a:graphic>
          </wp:inline>
        </w:drawing>
      </w:r>
      <w:bookmarkEnd w:id="0"/>
    </w:p>
    <w:p w:rsidR="007300A2" w:rsidRPr="007300A2" w:rsidRDefault="007300A2" w:rsidP="007300A2">
      <w:pPr>
        <w:shd w:val="clear" w:color="auto" w:fill="FFFFFF"/>
        <w:spacing w:before="100" w:beforeAutospacing="1" w:after="225" w:line="300" w:lineRule="atLeast"/>
        <w:rPr>
          <w:rFonts w:ascii="Arial" w:eastAsia="Times New Roman" w:hAnsi="Arial" w:cs="Arial"/>
          <w:color w:val="777777"/>
          <w:sz w:val="28"/>
          <w:szCs w:val="28"/>
          <w:lang w:val="en-US" w:eastAsia="en-GB"/>
        </w:rPr>
      </w:pPr>
    </w:p>
    <w:p w:rsidR="007300A2" w:rsidRPr="007300A2" w:rsidRDefault="007300A2" w:rsidP="007300A2">
      <w:pPr>
        <w:pStyle w:val="NormalWeb"/>
        <w:shd w:val="clear" w:color="auto" w:fill="FFFFFF"/>
        <w:spacing w:line="300" w:lineRule="atLeast"/>
        <w:rPr>
          <w:rFonts w:ascii="PT Sans" w:hAnsi="PT Sans"/>
          <w:color w:val="777777"/>
          <w:sz w:val="28"/>
          <w:szCs w:val="28"/>
          <w:lang w:val="en-US"/>
        </w:rPr>
      </w:pPr>
      <w:r w:rsidRPr="007300A2">
        <w:rPr>
          <w:rFonts w:ascii="PT Sans" w:hAnsi="PT Sans"/>
          <w:color w:val="0000FF"/>
          <w:sz w:val="28"/>
          <w:szCs w:val="28"/>
          <w:lang w:val="en-US"/>
        </w:rPr>
        <w:t xml:space="preserve">Step 4: </w:t>
      </w:r>
      <w:r w:rsidRPr="007300A2">
        <w:rPr>
          <w:rStyle w:val="Strong"/>
          <w:rFonts w:ascii="PT Sans" w:hAnsi="PT Sans"/>
          <w:color w:val="777777"/>
          <w:sz w:val="28"/>
          <w:szCs w:val="28"/>
          <w:lang w:val="en-US"/>
        </w:rPr>
        <w:t xml:space="preserve">Check which percentages you want to see (rows or columns). </w:t>
      </w:r>
      <w:r w:rsidRPr="007300A2">
        <w:rPr>
          <w:rFonts w:ascii="PT Sans" w:hAnsi="PT Sans"/>
          <w:color w:val="777777"/>
          <w:sz w:val="28"/>
          <w:szCs w:val="28"/>
          <w:lang w:val="en-US"/>
        </w:rPr>
        <w:t xml:space="preserve">What you select will depend upon what variables you put in rows and what you put in columns. For this sample problem, “Healthcare Type” was placed in the columns, so check “Column” under percentages. </w:t>
      </w:r>
    </w:p>
    <w:p w:rsidR="007300A2" w:rsidRPr="007300A2" w:rsidRDefault="007300A2" w:rsidP="007300A2">
      <w:pPr>
        <w:pStyle w:val="NormalWeb"/>
        <w:shd w:val="clear" w:color="auto" w:fill="FFFFFF"/>
        <w:spacing w:line="300" w:lineRule="atLeast"/>
        <w:rPr>
          <w:rFonts w:ascii="PT Sans" w:hAnsi="PT Sans"/>
          <w:color w:val="777777"/>
          <w:sz w:val="28"/>
          <w:szCs w:val="28"/>
          <w:lang w:val="en-US"/>
        </w:rPr>
      </w:pPr>
      <w:r w:rsidRPr="007300A2">
        <w:rPr>
          <w:rFonts w:ascii="PT Sans" w:hAnsi="PT Sans"/>
          <w:color w:val="0000FF"/>
          <w:sz w:val="28"/>
          <w:szCs w:val="28"/>
          <w:lang w:val="en-US"/>
        </w:rPr>
        <w:t xml:space="preserve">Step 5: </w:t>
      </w:r>
      <w:r w:rsidRPr="007300A2">
        <w:rPr>
          <w:rStyle w:val="Strong"/>
          <w:rFonts w:ascii="PT Sans" w:hAnsi="PT Sans"/>
          <w:color w:val="777777"/>
          <w:sz w:val="28"/>
          <w:szCs w:val="28"/>
          <w:lang w:val="en-US"/>
        </w:rPr>
        <w:t>Click “Continue” and then click “OK.”</w:t>
      </w:r>
      <w:r w:rsidRPr="007300A2">
        <w:rPr>
          <w:rFonts w:ascii="PT Sans" w:hAnsi="PT Sans"/>
          <w:color w:val="777777"/>
          <w:sz w:val="28"/>
          <w:szCs w:val="28"/>
          <w:lang w:val="en-US"/>
        </w:rPr>
        <w:t xml:space="preserve"> The Crosstabs window will appear.</w:t>
      </w:r>
    </w:p>
    <w:p w:rsidR="0009766A" w:rsidRPr="007300A2" w:rsidRDefault="007300A2" w:rsidP="007300A2">
      <w:pPr>
        <w:rPr>
          <w:sz w:val="28"/>
          <w:szCs w:val="28"/>
        </w:rPr>
      </w:pPr>
      <w:r w:rsidRPr="007300A2">
        <w:rPr>
          <w:noProof/>
          <w:sz w:val="28"/>
          <w:szCs w:val="28"/>
          <w:lang w:eastAsia="en-GB"/>
        </w:rPr>
        <w:drawing>
          <wp:inline distT="0" distB="0" distL="0" distR="0">
            <wp:extent cx="3181227" cy="26670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osstab.PNG"/>
                    <pic:cNvPicPr/>
                  </pic:nvPicPr>
                  <pic:blipFill>
                    <a:blip r:embed="rId10">
                      <a:extLst>
                        <a:ext uri="{28A0092B-C50C-407E-A947-70E740481C1C}">
                          <a14:useLocalDpi xmlns:a14="http://schemas.microsoft.com/office/drawing/2010/main" val="0"/>
                        </a:ext>
                      </a:extLst>
                    </a:blip>
                    <a:stretch>
                      <a:fillRect/>
                    </a:stretch>
                  </pic:blipFill>
                  <pic:spPr>
                    <a:xfrm>
                      <a:off x="0" y="0"/>
                      <a:ext cx="3192946" cy="2676825"/>
                    </a:xfrm>
                    <a:prstGeom prst="rect">
                      <a:avLst/>
                    </a:prstGeom>
                  </pic:spPr>
                </pic:pic>
              </a:graphicData>
            </a:graphic>
          </wp:inline>
        </w:drawing>
      </w:r>
    </w:p>
    <w:p w:rsidR="007300A2" w:rsidRPr="007300A2" w:rsidRDefault="007300A2" w:rsidP="007300A2">
      <w:pPr>
        <w:rPr>
          <w:sz w:val="28"/>
          <w:szCs w:val="28"/>
        </w:rPr>
      </w:pPr>
    </w:p>
    <w:p w:rsidR="007300A2" w:rsidRDefault="007300A2" w:rsidP="007300A2">
      <w:pPr>
        <w:rPr>
          <w:rFonts w:ascii="PT Sans" w:hAnsi="PT Sans"/>
          <w:color w:val="777777"/>
          <w:sz w:val="28"/>
          <w:szCs w:val="28"/>
          <w:lang w:val="en-US"/>
        </w:rPr>
      </w:pPr>
      <w:r w:rsidRPr="007300A2">
        <w:rPr>
          <w:rStyle w:val="Strong"/>
          <w:rFonts w:ascii="PT Sans" w:hAnsi="PT Sans"/>
          <w:color w:val="777777"/>
          <w:sz w:val="28"/>
          <w:szCs w:val="28"/>
          <w:lang w:val="en-US"/>
        </w:rPr>
        <w:t>Tip</w:t>
      </w:r>
      <w:r w:rsidRPr="007300A2">
        <w:rPr>
          <w:rFonts w:ascii="PT Sans" w:hAnsi="PT Sans"/>
          <w:color w:val="777777"/>
          <w:sz w:val="28"/>
          <w:szCs w:val="28"/>
          <w:lang w:val="en-US"/>
        </w:rPr>
        <w:t>: Typically in a contingency table, the independent variable is placed in rows and the dependent variable is placed in columns. This is just a tradition and has no mathematical basis, so don’t over analyze which variable to place in columns and which to place in rows when you are creating crosstabs in SPSS.</w:t>
      </w:r>
    </w:p>
    <w:p w:rsidR="007300A2" w:rsidRDefault="007300A2" w:rsidP="007300A2">
      <w:pPr>
        <w:rPr>
          <w:rFonts w:ascii="PT Sans" w:hAnsi="PT Sans"/>
          <w:color w:val="777777"/>
          <w:sz w:val="28"/>
          <w:szCs w:val="28"/>
          <w:lang w:val="en-US"/>
        </w:rPr>
      </w:pPr>
      <w:hyperlink r:id="rId11" w:history="1">
        <w:r w:rsidRPr="00AF295A">
          <w:rPr>
            <w:rStyle w:val="Hyperlink"/>
            <w:rFonts w:ascii="PT Sans" w:hAnsi="PT Sans"/>
            <w:sz w:val="28"/>
            <w:szCs w:val="28"/>
            <w:lang w:val="en-US"/>
          </w:rPr>
          <w:t>https://youtu.be/VU9DSfIZrL4</w:t>
        </w:r>
      </w:hyperlink>
    </w:p>
    <w:p w:rsidR="007300A2" w:rsidRDefault="007300A2" w:rsidP="007300A2">
      <w:pPr>
        <w:rPr>
          <w:rFonts w:ascii="PT Sans" w:hAnsi="PT Sans"/>
          <w:color w:val="777777"/>
          <w:sz w:val="28"/>
          <w:szCs w:val="28"/>
          <w:lang w:val="en-US"/>
        </w:rPr>
      </w:pPr>
    </w:p>
    <w:p w:rsidR="007300A2" w:rsidRPr="007300A2" w:rsidRDefault="007300A2" w:rsidP="007300A2"/>
    <w:sectPr w:rsidR="007300A2" w:rsidRPr="007300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PT Sans">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00A2"/>
    <w:rsid w:val="000913F6"/>
    <w:rsid w:val="0009766A"/>
    <w:rsid w:val="000C3932"/>
    <w:rsid w:val="00414F0A"/>
    <w:rsid w:val="00522549"/>
    <w:rsid w:val="007300A2"/>
    <w:rsid w:val="00781D6C"/>
    <w:rsid w:val="00A706B8"/>
    <w:rsid w:val="00D9019E"/>
    <w:rsid w:val="00DA7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103CE1-20AE-499F-ADB3-97EA16BB4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00A2"/>
    <w:rPr>
      <w:strike w:val="0"/>
      <w:dstrike w:val="0"/>
      <w:color w:val="05A9C5"/>
      <w:u w:val="none"/>
      <w:effect w:val="none"/>
    </w:rPr>
  </w:style>
  <w:style w:type="paragraph" w:styleId="NormalWeb">
    <w:name w:val="Normal (Web)"/>
    <w:basedOn w:val="Normal"/>
    <w:uiPriority w:val="99"/>
    <w:semiHidden/>
    <w:unhideWhenUsed/>
    <w:rsid w:val="007300A2"/>
    <w:pPr>
      <w:spacing w:before="100" w:beforeAutospacing="1" w:after="225"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300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2053010">
      <w:bodyDiv w:val="1"/>
      <w:marLeft w:val="0"/>
      <w:marRight w:val="0"/>
      <w:marTop w:val="0"/>
      <w:marBottom w:val="0"/>
      <w:divBdr>
        <w:top w:val="none" w:sz="0" w:space="0" w:color="auto"/>
        <w:left w:val="none" w:sz="0" w:space="0" w:color="auto"/>
        <w:bottom w:val="none" w:sz="0" w:space="0" w:color="auto"/>
        <w:right w:val="none" w:sz="0" w:space="0" w:color="auto"/>
      </w:divBdr>
      <w:divsChild>
        <w:div w:id="424886534">
          <w:marLeft w:val="0"/>
          <w:marRight w:val="0"/>
          <w:marTop w:val="0"/>
          <w:marBottom w:val="0"/>
          <w:divBdr>
            <w:top w:val="none" w:sz="0" w:space="0" w:color="auto"/>
            <w:left w:val="none" w:sz="0" w:space="0" w:color="auto"/>
            <w:bottom w:val="none" w:sz="0" w:space="0" w:color="auto"/>
            <w:right w:val="none" w:sz="0" w:space="0" w:color="auto"/>
          </w:divBdr>
          <w:divsChild>
            <w:div w:id="1899239786">
              <w:marLeft w:val="0"/>
              <w:marRight w:val="0"/>
              <w:marTop w:val="0"/>
              <w:marBottom w:val="0"/>
              <w:divBdr>
                <w:top w:val="none" w:sz="0" w:space="0" w:color="auto"/>
                <w:left w:val="none" w:sz="0" w:space="0" w:color="auto"/>
                <w:bottom w:val="none" w:sz="0" w:space="0" w:color="auto"/>
                <w:right w:val="none" w:sz="0" w:space="0" w:color="auto"/>
              </w:divBdr>
              <w:divsChild>
                <w:div w:id="178197885">
                  <w:marLeft w:val="0"/>
                  <w:marRight w:val="0"/>
                  <w:marTop w:val="0"/>
                  <w:marBottom w:val="0"/>
                  <w:divBdr>
                    <w:top w:val="none" w:sz="0" w:space="0" w:color="auto"/>
                    <w:left w:val="none" w:sz="0" w:space="0" w:color="auto"/>
                    <w:bottom w:val="none" w:sz="0" w:space="0" w:color="auto"/>
                    <w:right w:val="none" w:sz="0" w:space="0" w:color="auto"/>
                  </w:divBdr>
                  <w:divsChild>
                    <w:div w:id="1825972810">
                      <w:marLeft w:val="3"/>
                      <w:marRight w:val="0"/>
                      <w:marTop w:val="0"/>
                      <w:marBottom w:val="0"/>
                      <w:divBdr>
                        <w:top w:val="none" w:sz="0" w:space="0" w:color="auto"/>
                        <w:left w:val="none" w:sz="0" w:space="0" w:color="auto"/>
                        <w:bottom w:val="none" w:sz="0" w:space="0" w:color="auto"/>
                        <w:right w:val="none" w:sz="0" w:space="0" w:color="auto"/>
                      </w:divBdr>
                      <w:divsChild>
                        <w:div w:id="2072654004">
                          <w:marLeft w:val="0"/>
                          <w:marRight w:val="0"/>
                          <w:marTop w:val="0"/>
                          <w:marBottom w:val="0"/>
                          <w:divBdr>
                            <w:top w:val="none" w:sz="0" w:space="0" w:color="auto"/>
                            <w:left w:val="none" w:sz="0" w:space="0" w:color="auto"/>
                            <w:bottom w:val="none" w:sz="0" w:space="0" w:color="auto"/>
                            <w:right w:val="none" w:sz="0" w:space="0" w:color="auto"/>
                          </w:divBdr>
                          <w:divsChild>
                            <w:div w:id="144834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2493152">
      <w:bodyDiv w:val="1"/>
      <w:marLeft w:val="0"/>
      <w:marRight w:val="0"/>
      <w:marTop w:val="0"/>
      <w:marBottom w:val="0"/>
      <w:divBdr>
        <w:top w:val="none" w:sz="0" w:space="0" w:color="auto"/>
        <w:left w:val="none" w:sz="0" w:space="0" w:color="auto"/>
        <w:bottom w:val="none" w:sz="0" w:space="0" w:color="auto"/>
        <w:right w:val="none" w:sz="0" w:space="0" w:color="auto"/>
      </w:divBdr>
      <w:divsChild>
        <w:div w:id="423767721">
          <w:marLeft w:val="0"/>
          <w:marRight w:val="0"/>
          <w:marTop w:val="0"/>
          <w:marBottom w:val="0"/>
          <w:divBdr>
            <w:top w:val="none" w:sz="0" w:space="0" w:color="auto"/>
            <w:left w:val="none" w:sz="0" w:space="0" w:color="auto"/>
            <w:bottom w:val="none" w:sz="0" w:space="0" w:color="auto"/>
            <w:right w:val="none" w:sz="0" w:space="0" w:color="auto"/>
          </w:divBdr>
          <w:divsChild>
            <w:div w:id="478232861">
              <w:marLeft w:val="0"/>
              <w:marRight w:val="0"/>
              <w:marTop w:val="0"/>
              <w:marBottom w:val="0"/>
              <w:divBdr>
                <w:top w:val="none" w:sz="0" w:space="0" w:color="auto"/>
                <w:left w:val="none" w:sz="0" w:space="0" w:color="auto"/>
                <w:bottom w:val="none" w:sz="0" w:space="0" w:color="auto"/>
                <w:right w:val="none" w:sz="0" w:space="0" w:color="auto"/>
              </w:divBdr>
              <w:divsChild>
                <w:div w:id="1609502288">
                  <w:marLeft w:val="0"/>
                  <w:marRight w:val="0"/>
                  <w:marTop w:val="0"/>
                  <w:marBottom w:val="0"/>
                  <w:divBdr>
                    <w:top w:val="none" w:sz="0" w:space="0" w:color="auto"/>
                    <w:left w:val="none" w:sz="0" w:space="0" w:color="auto"/>
                    <w:bottom w:val="none" w:sz="0" w:space="0" w:color="auto"/>
                    <w:right w:val="none" w:sz="0" w:space="0" w:color="auto"/>
                  </w:divBdr>
                  <w:divsChild>
                    <w:div w:id="726681370">
                      <w:marLeft w:val="3"/>
                      <w:marRight w:val="0"/>
                      <w:marTop w:val="0"/>
                      <w:marBottom w:val="0"/>
                      <w:divBdr>
                        <w:top w:val="none" w:sz="0" w:space="0" w:color="auto"/>
                        <w:left w:val="none" w:sz="0" w:space="0" w:color="auto"/>
                        <w:bottom w:val="none" w:sz="0" w:space="0" w:color="auto"/>
                        <w:right w:val="none" w:sz="0" w:space="0" w:color="auto"/>
                      </w:divBdr>
                      <w:divsChild>
                        <w:div w:id="1098065847">
                          <w:marLeft w:val="0"/>
                          <w:marRight w:val="0"/>
                          <w:marTop w:val="0"/>
                          <w:marBottom w:val="0"/>
                          <w:divBdr>
                            <w:top w:val="none" w:sz="0" w:space="0" w:color="auto"/>
                            <w:left w:val="none" w:sz="0" w:space="0" w:color="auto"/>
                            <w:bottom w:val="none" w:sz="0" w:space="0" w:color="auto"/>
                            <w:right w:val="none" w:sz="0" w:space="0" w:color="auto"/>
                          </w:divBdr>
                          <w:divsChild>
                            <w:div w:id="40005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6629518">
      <w:bodyDiv w:val="1"/>
      <w:marLeft w:val="0"/>
      <w:marRight w:val="0"/>
      <w:marTop w:val="0"/>
      <w:marBottom w:val="0"/>
      <w:divBdr>
        <w:top w:val="none" w:sz="0" w:space="0" w:color="auto"/>
        <w:left w:val="none" w:sz="0" w:space="0" w:color="auto"/>
        <w:bottom w:val="none" w:sz="0" w:space="0" w:color="auto"/>
        <w:right w:val="none" w:sz="0" w:space="0" w:color="auto"/>
      </w:divBdr>
      <w:divsChild>
        <w:div w:id="1939754561">
          <w:marLeft w:val="0"/>
          <w:marRight w:val="0"/>
          <w:marTop w:val="0"/>
          <w:marBottom w:val="0"/>
          <w:divBdr>
            <w:top w:val="none" w:sz="0" w:space="0" w:color="auto"/>
            <w:left w:val="none" w:sz="0" w:space="0" w:color="auto"/>
            <w:bottom w:val="none" w:sz="0" w:space="0" w:color="auto"/>
            <w:right w:val="none" w:sz="0" w:space="0" w:color="auto"/>
          </w:divBdr>
          <w:divsChild>
            <w:div w:id="1295137769">
              <w:marLeft w:val="0"/>
              <w:marRight w:val="0"/>
              <w:marTop w:val="0"/>
              <w:marBottom w:val="0"/>
              <w:divBdr>
                <w:top w:val="none" w:sz="0" w:space="0" w:color="auto"/>
                <w:left w:val="none" w:sz="0" w:space="0" w:color="auto"/>
                <w:bottom w:val="none" w:sz="0" w:space="0" w:color="auto"/>
                <w:right w:val="none" w:sz="0" w:space="0" w:color="auto"/>
              </w:divBdr>
              <w:divsChild>
                <w:div w:id="347298908">
                  <w:marLeft w:val="0"/>
                  <w:marRight w:val="0"/>
                  <w:marTop w:val="0"/>
                  <w:marBottom w:val="0"/>
                  <w:divBdr>
                    <w:top w:val="none" w:sz="0" w:space="0" w:color="auto"/>
                    <w:left w:val="none" w:sz="0" w:space="0" w:color="auto"/>
                    <w:bottom w:val="none" w:sz="0" w:space="0" w:color="auto"/>
                    <w:right w:val="none" w:sz="0" w:space="0" w:color="auto"/>
                  </w:divBdr>
                  <w:divsChild>
                    <w:div w:id="1600482802">
                      <w:marLeft w:val="3"/>
                      <w:marRight w:val="0"/>
                      <w:marTop w:val="0"/>
                      <w:marBottom w:val="0"/>
                      <w:divBdr>
                        <w:top w:val="none" w:sz="0" w:space="0" w:color="auto"/>
                        <w:left w:val="none" w:sz="0" w:space="0" w:color="auto"/>
                        <w:bottom w:val="none" w:sz="0" w:space="0" w:color="auto"/>
                        <w:right w:val="none" w:sz="0" w:space="0" w:color="auto"/>
                      </w:divBdr>
                      <w:divsChild>
                        <w:div w:id="396392646">
                          <w:marLeft w:val="0"/>
                          <w:marRight w:val="0"/>
                          <w:marTop w:val="0"/>
                          <w:marBottom w:val="0"/>
                          <w:divBdr>
                            <w:top w:val="none" w:sz="0" w:space="0" w:color="auto"/>
                            <w:left w:val="none" w:sz="0" w:space="0" w:color="auto"/>
                            <w:bottom w:val="none" w:sz="0" w:space="0" w:color="auto"/>
                            <w:right w:val="none" w:sz="0" w:space="0" w:color="auto"/>
                          </w:divBdr>
                          <w:divsChild>
                            <w:div w:id="158086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01.ibm.com/software/analytics/sps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statisticshowto.com/frequency-distribution-tabl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tatisticshowto.com/what-is-a-categorical-variable/" TargetMode="External"/><Relationship Id="rId11" Type="http://schemas.openxmlformats.org/officeDocument/2006/relationships/hyperlink" Target="https://youtu.be/VU9DSfIZrL4" TargetMode="External"/><Relationship Id="rId5" Type="http://schemas.openxmlformats.org/officeDocument/2006/relationships/hyperlink" Target="http://www.statisticshowto.com/variable" TargetMode="External"/><Relationship Id="rId10" Type="http://schemas.openxmlformats.org/officeDocument/2006/relationships/image" Target="media/image2.PNG"/><Relationship Id="rId4" Type="http://schemas.openxmlformats.org/officeDocument/2006/relationships/hyperlink" Target="http://www.statisticshowto.com/what-is-a-contingency-table/" TargetMode="Externa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412</Words>
  <Characters>2349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Christopher (Business)</dc:creator>
  <cp:keywords/>
  <dc:description/>
  <cp:lastModifiedBy>Thomas, Christopher (Business)</cp:lastModifiedBy>
  <cp:revision>1</cp:revision>
  <dcterms:created xsi:type="dcterms:W3CDTF">2018-03-21T10:15:00Z</dcterms:created>
  <dcterms:modified xsi:type="dcterms:W3CDTF">2018-03-21T10:22:00Z</dcterms:modified>
</cp:coreProperties>
</file>