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33CEA9" w14:textId="5EF1996B" w:rsidR="00B144B7" w:rsidRPr="00B144B7" w:rsidRDefault="00B144B7" w:rsidP="00081FAD">
      <w:pPr>
        <w:jc w:val="center"/>
        <w:rPr>
          <w:b/>
        </w:rPr>
      </w:pPr>
      <w:r w:rsidRPr="00B144B7">
        <w:rPr>
          <w:b/>
        </w:rPr>
        <w:t>‘</w:t>
      </w:r>
      <w:r w:rsidR="00425F05">
        <w:rPr>
          <w:rFonts w:ascii="Arial" w:hAnsi="Arial" w:cs="Arial"/>
          <w:b/>
        </w:rPr>
        <w:t>Does the Work of C.G. Jung Contain Gnostic Overtones?</w:t>
      </w:r>
      <w:r w:rsidRPr="00B144B7">
        <w:rPr>
          <w:rFonts w:ascii="Arial" w:hAnsi="Arial" w:cs="Arial"/>
          <w:b/>
        </w:rPr>
        <w:t>’</w:t>
      </w:r>
    </w:p>
    <w:p w14:paraId="058C0DE1" w14:textId="7D800B56" w:rsidR="00B144B7" w:rsidRDefault="00B144B7" w:rsidP="00B144B7">
      <w:pPr>
        <w:jc w:val="center"/>
      </w:pPr>
      <w:r w:rsidRPr="00422C36">
        <w:t xml:space="preserve">Word Count: </w:t>
      </w:r>
      <w:r w:rsidR="009C193E">
        <w:t>2</w:t>
      </w:r>
      <w:r w:rsidR="0018042E">
        <w:t>6</w:t>
      </w:r>
      <w:r w:rsidR="0037668E">
        <w:t>49</w:t>
      </w:r>
    </w:p>
    <w:p w14:paraId="69C8BFF5" w14:textId="55790526" w:rsidR="00B144B7" w:rsidRDefault="00B144B7" w:rsidP="00B144B7">
      <w:pPr>
        <w:jc w:val="center"/>
      </w:pPr>
    </w:p>
    <w:p w14:paraId="1EC77945" w14:textId="352AABDC" w:rsidR="00B144B7" w:rsidRPr="0024198A" w:rsidRDefault="0024198A" w:rsidP="0024198A">
      <w:pPr>
        <w:rPr>
          <w:b/>
          <w:bCs/>
        </w:rPr>
      </w:pPr>
      <w:r>
        <w:rPr>
          <w:b/>
          <w:bCs/>
        </w:rPr>
        <w:t>Introduction</w:t>
      </w:r>
    </w:p>
    <w:p w14:paraId="23E25957" w14:textId="76D14A90" w:rsidR="00753E18" w:rsidRPr="007C159D" w:rsidRDefault="00F7163D" w:rsidP="00B144B7">
      <w:pPr>
        <w:spacing w:after="120" w:line="276" w:lineRule="auto"/>
        <w:rPr>
          <w:i/>
          <w:iCs/>
        </w:rPr>
      </w:pPr>
      <w:r>
        <w:t xml:space="preserve">This essay </w:t>
      </w:r>
      <w:r w:rsidR="00A80AB2">
        <w:t>responds to</w:t>
      </w:r>
      <w:r w:rsidR="0024198A">
        <w:t xml:space="preserve"> the question, </w:t>
      </w:r>
      <w:r w:rsidR="00FE1E52">
        <w:t>“</w:t>
      </w:r>
      <w:r w:rsidR="0024198A">
        <w:t>does the work of C.G. Jung contain Gnostic overtones?</w:t>
      </w:r>
      <w:r w:rsidR="00FE1E52">
        <w:t>”</w:t>
      </w:r>
      <w:r w:rsidR="005F521E">
        <w:t xml:space="preserve">. The examination of this question adopts </w:t>
      </w:r>
      <w:r w:rsidR="00F07D56">
        <w:t>a metaphorical</w:t>
      </w:r>
      <w:r w:rsidR="005F521E">
        <w:t xml:space="preserve"> structure of a </w:t>
      </w:r>
      <w:r w:rsidR="00EC75EB">
        <w:t xml:space="preserve">partial </w:t>
      </w:r>
      <w:r w:rsidR="005F521E">
        <w:t xml:space="preserve">musical </w:t>
      </w:r>
      <w:r w:rsidR="005F521E">
        <w:rPr>
          <w:i/>
          <w:iCs/>
        </w:rPr>
        <w:t xml:space="preserve">tone poem </w:t>
      </w:r>
      <w:r w:rsidR="005F521E">
        <w:t>insofar as it compris</w:t>
      </w:r>
      <w:r w:rsidR="004A4B51">
        <w:t xml:space="preserve">es </w:t>
      </w:r>
      <w:r w:rsidR="00EC75EB">
        <w:t>two</w:t>
      </w:r>
      <w:r w:rsidR="002F473A">
        <w:t xml:space="preserve"> commentaries which serve as </w:t>
      </w:r>
      <w:r w:rsidR="005F521E" w:rsidRPr="002F473A">
        <w:rPr>
          <w:i/>
          <w:iCs/>
        </w:rPr>
        <w:t>harmonics</w:t>
      </w:r>
      <w:r w:rsidR="002F473A">
        <w:rPr>
          <w:i/>
          <w:iCs/>
        </w:rPr>
        <w:t>.</w:t>
      </w:r>
      <w:r w:rsidR="00040E22">
        <w:rPr>
          <w:i/>
          <w:iCs/>
        </w:rPr>
        <w:t xml:space="preserve"> </w:t>
      </w:r>
      <w:r w:rsidR="00040E22">
        <w:t xml:space="preserve">The </w:t>
      </w:r>
      <w:r w:rsidR="001A5458">
        <w:t>t</w:t>
      </w:r>
      <w:r w:rsidR="00EC75EB">
        <w:t>wo</w:t>
      </w:r>
      <w:r w:rsidR="00040E22">
        <w:t xml:space="preserve"> harmonic</w:t>
      </w:r>
      <w:r w:rsidR="001A5458">
        <w:t>s</w:t>
      </w:r>
      <w:r w:rsidR="004A4B51">
        <w:t xml:space="preserve"> </w:t>
      </w:r>
      <w:r w:rsidR="001A5458">
        <w:t>derive from</w:t>
      </w:r>
      <w:r w:rsidR="00040E22">
        <w:t xml:space="preserve"> </w:t>
      </w:r>
      <w:r w:rsidR="001A5458">
        <w:t>two</w:t>
      </w:r>
      <w:r w:rsidR="002F473A">
        <w:t xml:space="preserve"> </w:t>
      </w:r>
      <w:r w:rsidR="005F521E">
        <w:t>specific works of Jung</w:t>
      </w:r>
      <w:r w:rsidR="00C8404E">
        <w:t xml:space="preserve"> (1875-1961)</w:t>
      </w:r>
      <w:r w:rsidR="001A5458">
        <w:t>, namely</w:t>
      </w:r>
      <w:r w:rsidR="00040E22">
        <w:t>:</w:t>
      </w:r>
      <w:r w:rsidR="001A5458">
        <w:t xml:space="preserve"> the</w:t>
      </w:r>
      <w:r w:rsidR="00040E22">
        <w:t xml:space="preserve"> </w:t>
      </w:r>
      <w:r w:rsidR="00040E22" w:rsidRPr="00040E22">
        <w:rPr>
          <w:i/>
          <w:iCs/>
        </w:rPr>
        <w:t xml:space="preserve">Septem Sermones ad Mortuos </w:t>
      </w:r>
      <w:r w:rsidR="00040E22" w:rsidRPr="00040E22">
        <w:t>(Seven Sermons to the Dead)</w:t>
      </w:r>
      <w:r w:rsidR="00EC75EB">
        <w:rPr>
          <w:i/>
          <w:iCs/>
        </w:rPr>
        <w:t xml:space="preserve"> </w:t>
      </w:r>
      <w:r w:rsidR="00EC75EB">
        <w:t xml:space="preserve">which is the </w:t>
      </w:r>
      <w:r w:rsidR="00EC75EB">
        <w:rPr>
          <w:i/>
          <w:iCs/>
        </w:rPr>
        <w:t xml:space="preserve">literary </w:t>
      </w:r>
      <w:r w:rsidR="00EC75EB">
        <w:t>harmonic</w:t>
      </w:r>
      <w:r w:rsidR="00040E22" w:rsidRPr="00040E22">
        <w:rPr>
          <w:i/>
          <w:iCs/>
        </w:rPr>
        <w:t xml:space="preserve"> </w:t>
      </w:r>
      <w:r w:rsidR="00040E22" w:rsidRPr="00040E22">
        <w:t>and</w:t>
      </w:r>
      <w:r w:rsidR="00040E22" w:rsidRPr="00040E22">
        <w:rPr>
          <w:i/>
          <w:iCs/>
        </w:rPr>
        <w:t xml:space="preserve"> </w:t>
      </w:r>
      <w:r w:rsidR="001A5458">
        <w:t xml:space="preserve">the </w:t>
      </w:r>
      <w:r w:rsidR="001A5458">
        <w:rPr>
          <w:i/>
          <w:iCs/>
        </w:rPr>
        <w:t xml:space="preserve">Systema Munditotius </w:t>
      </w:r>
      <w:r w:rsidR="001A5458">
        <w:t>mandala</w:t>
      </w:r>
      <w:r w:rsidR="00EC75EB">
        <w:t xml:space="preserve"> which is the </w:t>
      </w:r>
      <w:r w:rsidR="00EC75EB">
        <w:rPr>
          <w:i/>
          <w:iCs/>
        </w:rPr>
        <w:t xml:space="preserve">illustrative </w:t>
      </w:r>
      <w:r w:rsidR="00EC75EB">
        <w:t>or pictorial harmonic</w:t>
      </w:r>
      <w:r w:rsidR="00040E22">
        <w:t>. Thoug</w:t>
      </w:r>
      <w:r w:rsidR="00277BBF">
        <w:t>h</w:t>
      </w:r>
      <w:r w:rsidR="00040E22">
        <w:t xml:space="preserve"> selected</w:t>
      </w:r>
      <w:r w:rsidR="00707DD2">
        <w:t xml:space="preserve"> from the vast Jungian corpus</w:t>
      </w:r>
      <w:r w:rsidR="00040E22">
        <w:t>, these</w:t>
      </w:r>
      <w:r w:rsidR="004A4B51">
        <w:t xml:space="preserve"> works</w:t>
      </w:r>
      <w:r w:rsidR="00040E22">
        <w:t xml:space="preserve"> are considered</w:t>
      </w:r>
      <w:r w:rsidR="00EC75EB">
        <w:t xml:space="preserve"> here</w:t>
      </w:r>
      <w:r w:rsidR="00040E22">
        <w:t xml:space="preserve"> in their</w:t>
      </w:r>
      <w:r w:rsidR="002F473A">
        <w:t xml:space="preserve"> potential to </w:t>
      </w:r>
      <w:r w:rsidR="004A4B51">
        <w:t>illustrate</w:t>
      </w:r>
      <w:r w:rsidR="002F473A">
        <w:t xml:space="preserve"> </w:t>
      </w:r>
      <w:r w:rsidR="004A4B51">
        <w:t>the</w:t>
      </w:r>
      <w:r w:rsidR="002F473A">
        <w:t xml:space="preserve"> </w:t>
      </w:r>
      <w:r w:rsidR="00040E22">
        <w:t xml:space="preserve">more </w:t>
      </w:r>
      <w:r w:rsidR="002F473A">
        <w:t>fundamental question of whether the</w:t>
      </w:r>
      <w:r w:rsidR="008F23F7">
        <w:t xml:space="preserve"> use of Gnostic motifs</w:t>
      </w:r>
      <w:r w:rsidR="004A4B51">
        <w:t xml:space="preserve"> are</w:t>
      </w:r>
      <w:r w:rsidR="002F473A">
        <w:t xml:space="preserve"> symptomatic of the condition that Jung</w:t>
      </w:r>
      <w:r w:rsidR="00040E22">
        <w:t>’s a</w:t>
      </w:r>
      <w:r w:rsidR="008F23F7">
        <w:t xml:space="preserve">rchetypal approach to </w:t>
      </w:r>
      <w:r w:rsidR="00040E22">
        <w:t>psychology</w:t>
      </w:r>
      <w:r w:rsidR="002F473A">
        <w:t xml:space="preserve"> developed a close</w:t>
      </w:r>
      <w:r w:rsidR="004A4B51">
        <w:t>, explicit</w:t>
      </w:r>
      <w:r w:rsidR="002F473A">
        <w:t xml:space="preserve"> intellectual relationship</w:t>
      </w:r>
      <w:r w:rsidR="004A4B51">
        <w:t xml:space="preserve"> with</w:t>
      </w:r>
      <w:r w:rsidR="002F473A">
        <w:t xml:space="preserve"> Gnostic</w:t>
      </w:r>
      <w:r w:rsidR="00EC75EB">
        <w:t xml:space="preserve"> characters or symbols, </w:t>
      </w:r>
      <w:r w:rsidR="004A4B51">
        <w:t xml:space="preserve">or whether that relationship was </w:t>
      </w:r>
      <w:r w:rsidR="008A5314">
        <w:t>one</w:t>
      </w:r>
      <w:r w:rsidR="00486EB6">
        <w:t xml:space="preserve"> of</w:t>
      </w:r>
      <w:r w:rsidR="007C159D">
        <w:t xml:space="preserve"> subtle</w:t>
      </w:r>
      <w:r w:rsidR="00390DA2">
        <w:t>ty and cautio</w:t>
      </w:r>
      <w:r w:rsidR="001A5458">
        <w:t>us exploration</w:t>
      </w:r>
      <w:r w:rsidR="002F473A">
        <w:t>.</w:t>
      </w:r>
      <w:r w:rsidR="004A4B51">
        <w:t xml:space="preserve"> </w:t>
      </w:r>
      <w:r w:rsidR="0092432F">
        <w:t xml:space="preserve">Within the approach adopted here, </w:t>
      </w:r>
      <w:r w:rsidR="00390DA2">
        <w:t>a close</w:t>
      </w:r>
      <w:r w:rsidR="007C159D">
        <w:t xml:space="preserve"> relationship </w:t>
      </w:r>
      <w:r w:rsidR="001A5458">
        <w:t>with Gnostic</w:t>
      </w:r>
      <w:r w:rsidR="008F23F7">
        <w:t xml:space="preserve"> motifs</w:t>
      </w:r>
      <w:r w:rsidR="001A5458">
        <w:t xml:space="preserve"> </w:t>
      </w:r>
      <w:r w:rsidR="007C159D">
        <w:t xml:space="preserve">would be considered as </w:t>
      </w:r>
      <w:r w:rsidR="001A5458">
        <w:t>a fundamental harmonic, hence</w:t>
      </w:r>
      <w:r w:rsidR="007C159D">
        <w:t xml:space="preserve"> </w:t>
      </w:r>
      <w:r w:rsidR="007C159D">
        <w:rPr>
          <w:i/>
          <w:iCs/>
        </w:rPr>
        <w:t>tonal</w:t>
      </w:r>
      <w:r w:rsidR="001A5458">
        <w:t>;</w:t>
      </w:r>
      <w:r w:rsidR="007C159D">
        <w:rPr>
          <w:i/>
          <w:iCs/>
        </w:rPr>
        <w:t xml:space="preserve"> </w:t>
      </w:r>
      <w:r w:rsidR="007C159D">
        <w:t>the lat</w:t>
      </w:r>
      <w:r w:rsidR="002C48F2">
        <w:t>t</w:t>
      </w:r>
      <w:r w:rsidR="007C159D">
        <w:t>er as</w:t>
      </w:r>
      <w:r w:rsidR="003170DB">
        <w:t xml:space="preserve"> less so, being more </w:t>
      </w:r>
      <w:r w:rsidR="00734C67">
        <w:t xml:space="preserve">illustrative, </w:t>
      </w:r>
      <w:r w:rsidR="008F7704">
        <w:t>interpretive,</w:t>
      </w:r>
      <w:r w:rsidR="003170DB">
        <w:t xml:space="preserve"> and therefore</w:t>
      </w:r>
      <w:r w:rsidR="007C159D">
        <w:t xml:space="preserve"> </w:t>
      </w:r>
      <w:r w:rsidR="004F3847">
        <w:rPr>
          <w:i/>
          <w:iCs/>
        </w:rPr>
        <w:t>over tonal</w:t>
      </w:r>
      <w:r w:rsidR="007C159D">
        <w:rPr>
          <w:i/>
          <w:iCs/>
        </w:rPr>
        <w:t xml:space="preserve">. </w:t>
      </w:r>
    </w:p>
    <w:p w14:paraId="2D2DDF30" w14:textId="7D4717B3" w:rsidR="002D5644" w:rsidRPr="00ED7477" w:rsidRDefault="00226715" w:rsidP="00585522">
      <w:pPr>
        <w:spacing w:after="120" w:line="276" w:lineRule="auto"/>
      </w:pPr>
      <w:r>
        <w:t>In musical theory, the ‘overtone’ is an integer number multiple of any fundamental frequency</w:t>
      </w:r>
      <w:r w:rsidR="007C159D">
        <w:t>, or tone</w:t>
      </w:r>
      <w:r w:rsidR="00753E18">
        <w:t xml:space="preserve">. </w:t>
      </w:r>
      <w:r w:rsidR="009F1B1C" w:rsidRPr="002C48F2">
        <w:rPr>
          <w:i/>
          <w:iCs/>
        </w:rPr>
        <w:t>Oxford Languages</w:t>
      </w:r>
      <w:r w:rsidR="009F1B1C">
        <w:t xml:space="preserve"> defines overtone as ‘a subtle or subsidiary quality, implication, or connotation’</w:t>
      </w:r>
      <w:r w:rsidR="00B96C82">
        <w:t xml:space="preserve"> and this definition guides the use of the word here</w:t>
      </w:r>
      <w:r w:rsidR="009F1B1C">
        <w:t>.</w:t>
      </w:r>
      <w:r w:rsidR="009F1B1C">
        <w:rPr>
          <w:rStyle w:val="FootnoteReference"/>
        </w:rPr>
        <w:footnoteReference w:id="1"/>
      </w:r>
      <w:r w:rsidR="009F1B1C">
        <w:t xml:space="preserve"> </w:t>
      </w:r>
      <w:r w:rsidR="00F07D56">
        <w:t>Upon e</w:t>
      </w:r>
      <w:r w:rsidR="00313CBD">
        <w:t xml:space="preserve">xtending the </w:t>
      </w:r>
      <w:r w:rsidR="00F07D56">
        <w:t xml:space="preserve">tone poem </w:t>
      </w:r>
      <w:r w:rsidR="00313CBD">
        <w:t xml:space="preserve">metaphor to Carl Gustav Jung’s </w:t>
      </w:r>
      <w:r w:rsidR="002C48F2">
        <w:t>works</w:t>
      </w:r>
      <w:r w:rsidR="00313CBD">
        <w:t xml:space="preserve"> </w:t>
      </w:r>
      <w:r w:rsidR="002C48F2">
        <w:t>selected here</w:t>
      </w:r>
      <w:r w:rsidR="00313CBD">
        <w:rPr>
          <w:i/>
          <w:iCs/>
        </w:rPr>
        <w:t>,</w:t>
      </w:r>
      <w:r w:rsidR="0092432F">
        <w:rPr>
          <w:i/>
          <w:iCs/>
        </w:rPr>
        <w:t xml:space="preserve"> </w:t>
      </w:r>
      <w:r w:rsidR="009F1B1C">
        <w:t>an examination of evidential argument</w:t>
      </w:r>
      <w:r w:rsidR="00A0127B">
        <w:t>s</w:t>
      </w:r>
      <w:r w:rsidR="009F1B1C">
        <w:t xml:space="preserve"> with respect to </w:t>
      </w:r>
      <w:r w:rsidR="00313CBD">
        <w:t xml:space="preserve">Jung’s </w:t>
      </w:r>
      <w:r w:rsidR="009F1B1C">
        <w:t xml:space="preserve">work as containing Gnostic overtones </w:t>
      </w:r>
      <w:r w:rsidR="00306BFC">
        <w:t xml:space="preserve">may </w:t>
      </w:r>
      <w:r w:rsidR="00A0127B">
        <w:t xml:space="preserve">necessarily </w:t>
      </w:r>
      <w:r w:rsidR="00F96BE8">
        <w:t xml:space="preserve">consider </w:t>
      </w:r>
      <w:r w:rsidR="00306BFC">
        <w:t>whether</w:t>
      </w:r>
      <w:r w:rsidR="00A0127B">
        <w:t xml:space="preserve"> such evidence </w:t>
      </w:r>
      <w:r w:rsidR="00F96BE8">
        <w:t>be</w:t>
      </w:r>
      <w:r w:rsidR="0092432F">
        <w:t xml:space="preserve"> considered as</w:t>
      </w:r>
      <w:r w:rsidR="00A0127B">
        <w:t xml:space="preserve"> subsidiary,</w:t>
      </w:r>
      <w:r w:rsidR="00921CFB">
        <w:t xml:space="preserve"> </w:t>
      </w:r>
      <w:r w:rsidR="00A0127B">
        <w:t>contestable</w:t>
      </w:r>
      <w:r w:rsidR="00921CFB">
        <w:t xml:space="preserve"> or </w:t>
      </w:r>
      <w:r w:rsidR="00306BFC">
        <w:t>perhaps a distant</w:t>
      </w:r>
      <w:r w:rsidR="00650E03">
        <w:t xml:space="preserve"> echo</w:t>
      </w:r>
      <w:r w:rsidR="00A0127B">
        <w:t xml:space="preserve">. </w:t>
      </w:r>
      <w:r w:rsidR="00503C48">
        <w:t xml:space="preserve">In </w:t>
      </w:r>
      <w:r w:rsidR="0005035B">
        <w:t>addition,</w:t>
      </w:r>
      <w:r w:rsidR="002C48F2">
        <w:t xml:space="preserve"> and </w:t>
      </w:r>
      <w:r w:rsidR="00957C04">
        <w:t>perhaps as a caution</w:t>
      </w:r>
      <w:r w:rsidR="00C8404E">
        <w:t xml:space="preserve"> </w:t>
      </w:r>
      <w:r w:rsidR="00306BFC">
        <w:t>to us</w:t>
      </w:r>
      <w:r w:rsidR="00C8404E">
        <w:t xml:space="preserve"> who may seek after a grail of defining Jung </w:t>
      </w:r>
      <w:r w:rsidR="00C8404E" w:rsidRPr="00C8404E">
        <w:rPr>
          <w:i/>
          <w:iCs/>
        </w:rPr>
        <w:t>as</w:t>
      </w:r>
      <w:r w:rsidR="00C8404E">
        <w:t xml:space="preserve"> Gnostic</w:t>
      </w:r>
      <w:r w:rsidR="00503C48">
        <w:t xml:space="preserve">, </w:t>
      </w:r>
      <w:proofErr w:type="spellStart"/>
      <w:r w:rsidR="00503C48">
        <w:t>Sonu</w:t>
      </w:r>
      <w:proofErr w:type="spellEnd"/>
      <w:r w:rsidR="00503C48">
        <w:t xml:space="preserve"> Shamdasani – editor of the 2009 type edition of Jung’s </w:t>
      </w:r>
      <w:r w:rsidR="00503C48">
        <w:rPr>
          <w:i/>
          <w:iCs/>
        </w:rPr>
        <w:t xml:space="preserve">Liber Novus </w:t>
      </w:r>
      <w:r w:rsidR="00503C48">
        <w:t>(The Red Book) – excoriated certain scholarship about the ‘tendentiousness’ of understanding Jung</w:t>
      </w:r>
      <w:r w:rsidR="00957C04">
        <w:t>,</w:t>
      </w:r>
      <w:r w:rsidR="00503C48">
        <w:t xml:space="preserve"> claiming that ‘C.G. Jung has become completely fictional’.</w:t>
      </w:r>
      <w:r w:rsidR="00503C48">
        <w:rPr>
          <w:rStyle w:val="FootnoteReference"/>
        </w:rPr>
        <w:footnoteReference w:id="2"/>
      </w:r>
      <w:r w:rsidR="00646A63">
        <w:t xml:space="preserve"> Consequently, the arguments presented here do not constitute a separation of fact or fiction about Jung as having embraced Gnosticism, </w:t>
      </w:r>
      <w:r w:rsidR="005942FC">
        <w:t>for he wrote but one essay which explicitly treats of it.</w:t>
      </w:r>
      <w:r w:rsidR="005942FC">
        <w:rPr>
          <w:rStyle w:val="FootnoteReference"/>
        </w:rPr>
        <w:footnoteReference w:id="3"/>
      </w:r>
      <w:r w:rsidR="005942FC">
        <w:t xml:space="preserve"> Here,</w:t>
      </w:r>
      <w:r w:rsidR="00646A63">
        <w:t xml:space="preserve"> evidence</w:t>
      </w:r>
      <w:r w:rsidR="005942FC">
        <w:t xml:space="preserve"> is sought</w:t>
      </w:r>
      <w:r w:rsidR="00646A63">
        <w:t xml:space="preserve"> that </w:t>
      </w:r>
      <w:r w:rsidR="005942FC">
        <w:t>Jung</w:t>
      </w:r>
      <w:r w:rsidR="00646A63">
        <w:t xml:space="preserve"> was listening to the tonal qualities of Gnosticism, </w:t>
      </w:r>
      <w:r w:rsidR="001A197A">
        <w:t xml:space="preserve">that Gnostic themes were foundational to the development of his </w:t>
      </w:r>
      <w:r w:rsidR="005942FC">
        <w:t>thinking</w:t>
      </w:r>
      <w:r w:rsidR="001A197A">
        <w:t>, that he was</w:t>
      </w:r>
      <w:r w:rsidR="005942FC">
        <w:t xml:space="preserve"> </w:t>
      </w:r>
      <w:r w:rsidR="001A197A">
        <w:t>versed in Gnostic texts</w:t>
      </w:r>
      <w:r w:rsidR="001322B8">
        <w:t>,</w:t>
      </w:r>
      <w:r w:rsidR="001A197A">
        <w:t xml:space="preserve"> and</w:t>
      </w:r>
      <w:r w:rsidR="00646A63">
        <w:t xml:space="preserve"> </w:t>
      </w:r>
      <w:r w:rsidR="00650E03">
        <w:t>then us</w:t>
      </w:r>
      <w:r w:rsidR="005942FC">
        <w:t>ed</w:t>
      </w:r>
      <w:r w:rsidR="00650E03">
        <w:t xml:space="preserve"> </w:t>
      </w:r>
      <w:r w:rsidR="001322B8">
        <w:t xml:space="preserve">Gnostic </w:t>
      </w:r>
      <w:r w:rsidR="00650E03">
        <w:t xml:space="preserve">motifs </w:t>
      </w:r>
      <w:r w:rsidR="00306BFC">
        <w:t xml:space="preserve">by </w:t>
      </w:r>
      <w:r w:rsidR="00646A63">
        <w:t>writing about them</w:t>
      </w:r>
      <w:r w:rsidR="00306BFC">
        <w:t>; or drawing them.</w:t>
      </w:r>
    </w:p>
    <w:p w14:paraId="08AFE617" w14:textId="77777777" w:rsidR="00081FAD" w:rsidRDefault="00081FAD">
      <w:pPr>
        <w:rPr>
          <w:b/>
          <w:bCs/>
        </w:rPr>
      </w:pPr>
      <w:r>
        <w:rPr>
          <w:b/>
          <w:bCs/>
        </w:rPr>
        <w:br w:type="page"/>
      </w:r>
    </w:p>
    <w:p w14:paraId="4DF28B37" w14:textId="65F1CF70" w:rsidR="0024198A" w:rsidRDefault="00226715" w:rsidP="00585522">
      <w:pPr>
        <w:spacing w:after="120" w:line="276" w:lineRule="auto"/>
        <w:rPr>
          <w:b/>
          <w:bCs/>
        </w:rPr>
      </w:pPr>
      <w:r>
        <w:rPr>
          <w:b/>
          <w:bCs/>
        </w:rPr>
        <w:lastRenderedPageBreak/>
        <w:t>First Harmonic</w:t>
      </w:r>
      <w:r w:rsidR="0024198A">
        <w:rPr>
          <w:b/>
          <w:bCs/>
        </w:rPr>
        <w:t xml:space="preserve"> –</w:t>
      </w:r>
      <w:r w:rsidR="008B1998">
        <w:rPr>
          <w:b/>
          <w:bCs/>
        </w:rPr>
        <w:t xml:space="preserve"> Jung’s</w:t>
      </w:r>
      <w:r w:rsidR="0024198A">
        <w:rPr>
          <w:b/>
          <w:bCs/>
        </w:rPr>
        <w:t xml:space="preserve"> </w:t>
      </w:r>
      <w:r w:rsidR="0024198A">
        <w:rPr>
          <w:b/>
          <w:bCs/>
          <w:i/>
          <w:iCs/>
        </w:rPr>
        <w:t xml:space="preserve">Septem Sermones ad Mortuos </w:t>
      </w:r>
      <w:r w:rsidR="0024198A">
        <w:rPr>
          <w:b/>
          <w:bCs/>
        </w:rPr>
        <w:t>(Seven Sermons to the Dead)</w:t>
      </w:r>
    </w:p>
    <w:p w14:paraId="2C6222A0" w14:textId="3C51923C" w:rsidR="00EF3A37" w:rsidRDefault="006478EA" w:rsidP="00585522">
      <w:pPr>
        <w:spacing w:after="120" w:line="276" w:lineRule="auto"/>
      </w:pPr>
      <w:r>
        <w:t xml:space="preserve">In his introduction to </w:t>
      </w:r>
      <w:r>
        <w:rPr>
          <w:i/>
          <w:iCs/>
        </w:rPr>
        <w:t xml:space="preserve">The Gnostic Jung, </w:t>
      </w:r>
      <w:r>
        <w:t xml:space="preserve">Robert A. Segal describes Jung’s </w:t>
      </w:r>
      <w:r>
        <w:rPr>
          <w:i/>
          <w:iCs/>
        </w:rPr>
        <w:t xml:space="preserve">Septem Sermones ad Mortuos </w:t>
      </w:r>
      <w:r>
        <w:t xml:space="preserve">(hereafter, </w:t>
      </w:r>
      <w:r w:rsidRPr="006478EA">
        <w:rPr>
          <w:i/>
          <w:iCs/>
        </w:rPr>
        <w:t>Sermones</w:t>
      </w:r>
      <w:r>
        <w:t xml:space="preserve">) </w:t>
      </w:r>
      <w:r w:rsidRPr="006478EA">
        <w:t>as</w:t>
      </w:r>
      <w:r>
        <w:t xml:space="preserve"> both ‘his own Gnostic myth’ and ‘the most entrancing expression of Jung’s attraction to Gnosticism’.</w:t>
      </w:r>
      <w:r>
        <w:rPr>
          <w:rStyle w:val="FootnoteReference"/>
        </w:rPr>
        <w:footnoteReference w:id="4"/>
      </w:r>
      <w:r>
        <w:t xml:space="preserve"> </w:t>
      </w:r>
      <w:r w:rsidR="00333FE3">
        <w:t xml:space="preserve">Priscilla Costello </w:t>
      </w:r>
      <w:r w:rsidR="003F06C6">
        <w:t xml:space="preserve">– a contemporary of Segal </w:t>
      </w:r>
      <w:r w:rsidR="004C4221">
        <w:t>–</w:t>
      </w:r>
      <w:r w:rsidR="003F06C6">
        <w:t xml:space="preserve"> </w:t>
      </w:r>
      <w:r w:rsidR="004C4221">
        <w:t xml:space="preserve">claimed that </w:t>
      </w:r>
      <w:r w:rsidR="00333FE3">
        <w:t xml:space="preserve"> </w:t>
      </w:r>
      <w:r w:rsidR="004C4221">
        <w:t xml:space="preserve">‘C.G. </w:t>
      </w:r>
      <w:r w:rsidR="003F06C6">
        <w:t>Jung</w:t>
      </w:r>
      <w:r w:rsidR="004C4221">
        <w:t xml:space="preserve"> transmits and transforms Gnostic ideas into modern terminology, such as the pleroma, the aeons, the Demiurge, and [his own] concepts of the collective unconscious, the archetypes and the opposites.’</w:t>
      </w:r>
      <w:r w:rsidR="004C4221" w:rsidRPr="004C4221">
        <w:rPr>
          <w:rStyle w:val="FootnoteReference"/>
        </w:rPr>
        <w:t xml:space="preserve"> </w:t>
      </w:r>
      <w:r w:rsidR="004C4221">
        <w:rPr>
          <w:rStyle w:val="FootnoteReference"/>
        </w:rPr>
        <w:footnoteReference w:id="5"/>
      </w:r>
      <w:r w:rsidR="00333FE3">
        <w:t>.</w:t>
      </w:r>
      <w:r w:rsidR="00323416">
        <w:t xml:space="preserve"> </w:t>
      </w:r>
      <w:r w:rsidR="00624AFA">
        <w:t xml:space="preserve">Costello devotes a significant portion of her dissertation to ‘Gnostic elements’ in </w:t>
      </w:r>
      <w:r w:rsidR="00624AFA">
        <w:t xml:space="preserve">the </w:t>
      </w:r>
      <w:r w:rsidR="00624AFA" w:rsidRPr="00040E22">
        <w:rPr>
          <w:i/>
          <w:iCs/>
        </w:rPr>
        <w:t>Sermones</w:t>
      </w:r>
      <w:r w:rsidR="00624AFA">
        <w:rPr>
          <w:i/>
          <w:iCs/>
        </w:rPr>
        <w:t>.</w:t>
      </w:r>
      <w:r w:rsidR="00624AFA">
        <w:rPr>
          <w:rStyle w:val="FootnoteReference"/>
          <w:i/>
          <w:iCs/>
        </w:rPr>
        <w:footnoteReference w:id="6"/>
      </w:r>
      <w:r w:rsidR="00624AFA">
        <w:rPr>
          <w:i/>
          <w:iCs/>
        </w:rPr>
        <w:t xml:space="preserve"> </w:t>
      </w:r>
      <w:r w:rsidR="00624AFA" w:rsidRPr="00040E22">
        <w:rPr>
          <w:i/>
          <w:iCs/>
        </w:rPr>
        <w:t xml:space="preserve"> </w:t>
      </w:r>
      <w:r>
        <w:t xml:space="preserve">Considering </w:t>
      </w:r>
      <w:r w:rsidR="00B01058">
        <w:t>the</w:t>
      </w:r>
      <w:r>
        <w:t xml:space="preserve"> turn of phrase</w:t>
      </w:r>
      <w:r w:rsidR="001B693A">
        <w:t xml:space="preserve"> involving </w:t>
      </w:r>
      <w:r w:rsidR="001B693A" w:rsidRPr="00EE60FE">
        <w:rPr>
          <w:i/>
          <w:iCs/>
        </w:rPr>
        <w:t>entrancement</w:t>
      </w:r>
      <w:r>
        <w:t>,</w:t>
      </w:r>
      <w:r w:rsidR="00B01058">
        <w:t xml:space="preserve"> Segal reminds us</w:t>
      </w:r>
      <w:r>
        <w:t xml:space="preserve"> </w:t>
      </w:r>
      <w:r w:rsidR="00B01058">
        <w:t xml:space="preserve">that </w:t>
      </w:r>
      <w:r>
        <w:t>i</w:t>
      </w:r>
      <w:r w:rsidR="00EF3A37">
        <w:t xml:space="preserve">n </w:t>
      </w:r>
      <w:r w:rsidR="00EF3A37">
        <w:rPr>
          <w:i/>
          <w:iCs/>
        </w:rPr>
        <w:t xml:space="preserve">Memories, Dreams, Reflections, </w:t>
      </w:r>
      <w:r w:rsidR="00EF3A37">
        <w:t>Jung</w:t>
      </w:r>
      <w:r w:rsidR="00341ED7">
        <w:t>’</w:t>
      </w:r>
      <w:r w:rsidR="00EE60FE">
        <w:t>s</w:t>
      </w:r>
      <w:r w:rsidR="00341ED7">
        <w:t xml:space="preserve"> autobiographical account</w:t>
      </w:r>
      <w:r w:rsidR="00EF3A37">
        <w:t xml:space="preserve"> vividly recounts a parapsychological event </w:t>
      </w:r>
      <w:r w:rsidR="00E00D41">
        <w:t xml:space="preserve">or phenomenon </w:t>
      </w:r>
      <w:r w:rsidR="00EF3A37">
        <w:t xml:space="preserve">which occurred at his home </w:t>
      </w:r>
      <w:r w:rsidR="00341ED7">
        <w:t>on January 30, 1916</w:t>
      </w:r>
      <w:r w:rsidR="00EF3A37">
        <w:t xml:space="preserve">. </w:t>
      </w:r>
      <w:r w:rsidR="00341ED7">
        <w:t>Jung</w:t>
      </w:r>
      <w:r w:rsidR="00EF3A37">
        <w:t xml:space="preserve"> </w:t>
      </w:r>
      <w:r w:rsidR="00EE60FE">
        <w:t>recalls</w:t>
      </w:r>
      <w:r w:rsidR="00EF3A37">
        <w:t>:</w:t>
      </w:r>
    </w:p>
    <w:p w14:paraId="684FEFEA" w14:textId="08611F3D" w:rsidR="00EF3A37" w:rsidRDefault="00EF3A37" w:rsidP="00EF3A37">
      <w:pPr>
        <w:spacing w:after="0" w:line="276" w:lineRule="auto"/>
      </w:pPr>
      <w:r>
        <w:tab/>
        <w:t>The whole house was filled as if there were a crowd present, crammed full of spirits.</w:t>
      </w:r>
    </w:p>
    <w:p w14:paraId="10F811CC" w14:textId="7C043411" w:rsidR="00EF3A37" w:rsidRDefault="00EF3A37" w:rsidP="00EF3A37">
      <w:pPr>
        <w:spacing w:after="0" w:line="276" w:lineRule="auto"/>
      </w:pPr>
      <w:r>
        <w:tab/>
        <w:t xml:space="preserve">As for myself, I was all a-quiver with the question: </w:t>
      </w:r>
      <w:r w:rsidR="00A71E7B">
        <w:t>“</w:t>
      </w:r>
      <w:r>
        <w:t>For God’s sake, what i</w:t>
      </w:r>
      <w:r w:rsidR="00304017">
        <w:t>n</w:t>
      </w:r>
      <w:r>
        <w:t xml:space="preserve"> the world</w:t>
      </w:r>
    </w:p>
    <w:p w14:paraId="1487AE54" w14:textId="65BA1E3C" w:rsidR="00EF3A37" w:rsidRDefault="00EF3A37" w:rsidP="00EF3A37">
      <w:pPr>
        <w:spacing w:after="0" w:line="276" w:lineRule="auto"/>
      </w:pPr>
      <w:r>
        <w:tab/>
      </w:r>
      <w:r w:rsidR="00304017">
        <w:t>i</w:t>
      </w:r>
      <w:r>
        <w:t>s this?</w:t>
      </w:r>
      <w:r w:rsidR="00A71E7B">
        <w:t>”</w:t>
      </w:r>
      <w:r>
        <w:t xml:space="preserve"> Then they cried out in chorus, </w:t>
      </w:r>
      <w:r w:rsidR="00A71E7B">
        <w:t>“</w:t>
      </w:r>
      <w:r>
        <w:t>We have come back from Jerusalem where we</w:t>
      </w:r>
    </w:p>
    <w:p w14:paraId="5ADF075B" w14:textId="796CBE29" w:rsidR="00EF3A37" w:rsidRPr="00413BE4" w:rsidRDefault="00EF3A37" w:rsidP="00E00D41">
      <w:pPr>
        <w:spacing w:after="120" w:line="276" w:lineRule="auto"/>
      </w:pPr>
      <w:r>
        <w:tab/>
      </w:r>
      <w:r w:rsidR="00304017">
        <w:t>f</w:t>
      </w:r>
      <w:r w:rsidR="00413BE4">
        <w:t>ound not what we sought</w:t>
      </w:r>
      <w:r w:rsidR="00A71E7B">
        <w:t>”</w:t>
      </w:r>
      <w:r w:rsidR="00413BE4">
        <w:t xml:space="preserve">. This is the beginning of </w:t>
      </w:r>
      <w:r w:rsidR="00413BE4">
        <w:rPr>
          <w:i/>
          <w:iCs/>
        </w:rPr>
        <w:t>Septem Sermones.</w:t>
      </w:r>
      <w:r w:rsidR="00413BE4" w:rsidRPr="00413BE4">
        <w:rPr>
          <w:rStyle w:val="FootnoteReference"/>
        </w:rPr>
        <w:footnoteReference w:id="7"/>
      </w:r>
    </w:p>
    <w:p w14:paraId="5C470964" w14:textId="6B3F624E" w:rsidR="006478EA" w:rsidRPr="00EF4A8D" w:rsidRDefault="00E75EB2" w:rsidP="00E00D41">
      <w:pPr>
        <w:spacing w:after="120" w:line="276" w:lineRule="auto"/>
      </w:pPr>
      <w:r>
        <w:t xml:space="preserve">In </w:t>
      </w:r>
      <w:proofErr w:type="spellStart"/>
      <w:r>
        <w:rPr>
          <w:i/>
          <w:iCs/>
        </w:rPr>
        <w:t>Sermo</w:t>
      </w:r>
      <w:proofErr w:type="spellEnd"/>
      <w:r>
        <w:rPr>
          <w:i/>
          <w:iCs/>
        </w:rPr>
        <w:t xml:space="preserve"> I </w:t>
      </w:r>
      <w:r>
        <w:t xml:space="preserve">of </w:t>
      </w:r>
      <w:r>
        <w:rPr>
          <w:i/>
          <w:iCs/>
        </w:rPr>
        <w:t xml:space="preserve">Sermones, </w:t>
      </w:r>
      <w:r>
        <w:t xml:space="preserve">Jung begins with ‘the dead came back from Jerusalem, where they found not what they sought. They prayed me let them in and besought my word, and thus I began my teaching’; a distant echo </w:t>
      </w:r>
      <w:r w:rsidR="00C2436E">
        <w:t>of</w:t>
      </w:r>
      <w:r w:rsidR="00652459">
        <w:t xml:space="preserve"> his later recollections.</w:t>
      </w:r>
      <w:r w:rsidR="00652459">
        <w:rPr>
          <w:rStyle w:val="FootnoteReference"/>
        </w:rPr>
        <w:footnoteReference w:id="8"/>
      </w:r>
      <w:r>
        <w:rPr>
          <w:i/>
          <w:iCs/>
        </w:rPr>
        <w:t xml:space="preserve">  </w:t>
      </w:r>
      <w:r w:rsidR="00E00D41">
        <w:t xml:space="preserve">Whether fantasy or hallucination, this event amidst disembodied spirits </w:t>
      </w:r>
      <w:r w:rsidR="00C2436E">
        <w:t>suggests</w:t>
      </w:r>
      <w:r w:rsidR="00E00D41">
        <w:t xml:space="preserve"> an early, embryonic expression of Jung’s development of ideas related to the </w:t>
      </w:r>
      <w:r w:rsidR="00C2436E">
        <w:t xml:space="preserve">collective </w:t>
      </w:r>
      <w:r w:rsidR="00E00D41">
        <w:t>unconscious</w:t>
      </w:r>
      <w:r w:rsidR="009F2862">
        <w:t>.</w:t>
      </w:r>
      <w:r w:rsidR="00E00D41">
        <w:t xml:space="preserve"> </w:t>
      </w:r>
      <w:r w:rsidR="00EF4A8D">
        <w:t>Perhaps these spirits sought</w:t>
      </w:r>
      <w:r w:rsidR="00326393">
        <w:t xml:space="preserve"> after (unsuccessfully)</w:t>
      </w:r>
      <w:r w:rsidR="00EF4A8D">
        <w:t xml:space="preserve"> the</w:t>
      </w:r>
      <w:r w:rsidR="00326393">
        <w:t>ir</w:t>
      </w:r>
      <w:r w:rsidR="00EF4A8D">
        <w:t xml:space="preserve"> </w:t>
      </w:r>
      <w:proofErr w:type="spellStart"/>
      <w:r w:rsidR="00EF4A8D">
        <w:rPr>
          <w:i/>
          <w:iCs/>
        </w:rPr>
        <w:t>soter</w:t>
      </w:r>
      <w:proofErr w:type="spellEnd"/>
      <w:r w:rsidR="00EF4A8D">
        <w:rPr>
          <w:i/>
          <w:iCs/>
        </w:rPr>
        <w:t xml:space="preserve">, </w:t>
      </w:r>
      <w:r w:rsidR="00EF4A8D">
        <w:t>the</w:t>
      </w:r>
      <w:r w:rsidR="00C2436E">
        <w:t>ir</w:t>
      </w:r>
      <w:r w:rsidR="00EF4A8D">
        <w:t xml:space="preserve"> saviour</w:t>
      </w:r>
      <w:r w:rsidR="00C2436E">
        <w:t>,</w:t>
      </w:r>
      <w:r w:rsidR="00EF4A8D">
        <w:t xml:space="preserve"> </w:t>
      </w:r>
      <w:r w:rsidR="00054E39">
        <w:t>or a teacher</w:t>
      </w:r>
      <w:r w:rsidR="00054E39">
        <w:rPr>
          <w:i/>
          <w:iCs/>
        </w:rPr>
        <w:t xml:space="preserve"> </w:t>
      </w:r>
      <w:r w:rsidR="00EF4A8D">
        <w:t>as we read ‘now the dead howled and raged, for they were unperfected’.</w:t>
      </w:r>
      <w:r w:rsidR="00EF4A8D">
        <w:rPr>
          <w:rStyle w:val="FootnoteReference"/>
        </w:rPr>
        <w:footnoteReference w:id="9"/>
      </w:r>
    </w:p>
    <w:p w14:paraId="121D40DC" w14:textId="347B67B3" w:rsidR="00B966B5" w:rsidRPr="004F44C5" w:rsidRDefault="009F2862" w:rsidP="007E668B">
      <w:pPr>
        <w:spacing w:after="120" w:line="276" w:lineRule="auto"/>
      </w:pPr>
      <w:r>
        <w:t xml:space="preserve">There are recent arguments </w:t>
      </w:r>
      <w:r w:rsidR="00C929D6">
        <w:t>considering that</w:t>
      </w:r>
      <w:r>
        <w:t xml:space="preserve"> Jung</w:t>
      </w:r>
      <w:r w:rsidR="00547F03">
        <w:t xml:space="preserve">’s </w:t>
      </w:r>
      <w:r w:rsidR="00547F03">
        <w:rPr>
          <w:i/>
          <w:iCs/>
        </w:rPr>
        <w:t xml:space="preserve">Sermones </w:t>
      </w:r>
      <w:r w:rsidR="00547F03">
        <w:t>‘</w:t>
      </w:r>
      <w:r w:rsidRPr="00263797">
        <w:rPr>
          <w:rFonts w:eastAsia="Times New Roman" w:cstheme="minorHAnsi"/>
          <w:color w:val="000000"/>
          <w:lang w:eastAsia="en-CA"/>
        </w:rPr>
        <w:t xml:space="preserve">formed a prelude to everything he was to communicate about the unconscious. In other words, </w:t>
      </w:r>
      <w:r>
        <w:rPr>
          <w:rFonts w:eastAsia="Times New Roman" w:cstheme="minorHAnsi"/>
          <w:color w:val="000000"/>
          <w:lang w:eastAsia="en-CA"/>
        </w:rPr>
        <w:t>a</w:t>
      </w:r>
      <w:r w:rsidRPr="00263797">
        <w:rPr>
          <w:rFonts w:eastAsia="Times New Roman" w:cstheme="minorHAnsi"/>
          <w:color w:val="000000"/>
          <w:lang w:eastAsia="en-CA"/>
        </w:rPr>
        <w:t xml:space="preserve"> form of the principal tenets of analytical psychology can be found in a Gnostic-inspired text.</w:t>
      </w:r>
      <w:r>
        <w:rPr>
          <w:rStyle w:val="FootnoteReference"/>
          <w:rFonts w:eastAsia="Times New Roman" w:cstheme="minorHAnsi"/>
          <w:color w:val="000000"/>
          <w:lang w:eastAsia="en-CA"/>
        </w:rPr>
        <w:footnoteReference w:id="10"/>
      </w:r>
      <w:r>
        <w:rPr>
          <w:rFonts w:eastAsia="Times New Roman" w:cstheme="minorHAnsi"/>
          <w:color w:val="000000"/>
          <w:lang w:eastAsia="en-CA"/>
        </w:rPr>
        <w:t xml:space="preserve"> </w:t>
      </w:r>
      <w:r w:rsidR="0056791E">
        <w:t xml:space="preserve">In addition, some writers consider the events which precipitated the writing of </w:t>
      </w:r>
      <w:r w:rsidR="0056791E">
        <w:rPr>
          <w:i/>
          <w:iCs/>
        </w:rPr>
        <w:t xml:space="preserve">Sermones </w:t>
      </w:r>
      <w:r w:rsidR="0056791E">
        <w:t>as</w:t>
      </w:r>
      <w:r w:rsidR="00E00D41">
        <w:t xml:space="preserve"> </w:t>
      </w:r>
      <w:r w:rsidR="00D034E9">
        <w:t>possibly symptomatic of how</w:t>
      </w:r>
      <w:r w:rsidR="00E00D41">
        <w:t xml:space="preserve"> </w:t>
      </w:r>
      <w:r w:rsidR="0056791E">
        <w:t>Jung</w:t>
      </w:r>
      <w:r w:rsidR="00E00D41">
        <w:t xml:space="preserve"> may</w:t>
      </w:r>
      <w:r w:rsidR="008619CC">
        <w:t xml:space="preserve"> have been dealing with his ‘period of disorientation and inner uncertainty that followed his break with Freud in 1912’.</w:t>
      </w:r>
      <w:r w:rsidR="008619CC">
        <w:rPr>
          <w:rStyle w:val="FootnoteReference"/>
        </w:rPr>
        <w:footnoteReference w:id="11"/>
      </w:r>
      <w:r w:rsidR="00E00D41">
        <w:t xml:space="preserve"> </w:t>
      </w:r>
      <w:r w:rsidR="004F44C5">
        <w:lastRenderedPageBreak/>
        <w:t xml:space="preserve">Curiously, Gilles </w:t>
      </w:r>
      <w:proofErr w:type="spellStart"/>
      <w:r w:rsidR="004F44C5">
        <w:t>Quispel</w:t>
      </w:r>
      <w:proofErr w:type="spellEnd"/>
      <w:r w:rsidR="004F44C5">
        <w:t xml:space="preserve"> in his 1968 essay, </w:t>
      </w:r>
      <w:r w:rsidR="004F44C5">
        <w:rPr>
          <w:i/>
          <w:iCs/>
        </w:rPr>
        <w:t xml:space="preserve">C.G. Jung und die Gnosis, </w:t>
      </w:r>
      <w:r w:rsidR="004F44C5">
        <w:t xml:space="preserve">muses about the Latin title of the </w:t>
      </w:r>
      <w:r w:rsidR="004F44C5">
        <w:rPr>
          <w:i/>
          <w:iCs/>
        </w:rPr>
        <w:t xml:space="preserve">Sermones </w:t>
      </w:r>
      <w:r w:rsidR="004F44C5">
        <w:t xml:space="preserve">and </w:t>
      </w:r>
      <w:r w:rsidR="007E668B">
        <w:t>recollects</w:t>
      </w:r>
      <w:r w:rsidR="004F44C5">
        <w:t xml:space="preserve"> what he called</w:t>
      </w:r>
      <w:r w:rsidR="007E668B">
        <w:t xml:space="preserve"> as</w:t>
      </w:r>
      <w:r w:rsidR="004F44C5">
        <w:t xml:space="preserve"> ‘an oral tradition which reached me, it is said that at the time Jung’s father was a priest in Basel, one occasionally gave sermons to the dead’.</w:t>
      </w:r>
      <w:r w:rsidR="004F44C5">
        <w:rPr>
          <w:rStyle w:val="FootnoteReference"/>
        </w:rPr>
        <w:footnoteReference w:id="12"/>
      </w:r>
      <w:r w:rsidR="007E668B">
        <w:t xml:space="preserve"> If true, this offers a clue that Jung may have been predisposed to an acceptance of sermonizing to the dead</w:t>
      </w:r>
      <w:r w:rsidR="0025437E">
        <w:t xml:space="preserve"> as therapeutic.</w:t>
      </w:r>
      <w:r w:rsidR="004F44C5">
        <w:rPr>
          <w:i/>
          <w:iCs/>
        </w:rPr>
        <w:t xml:space="preserve"> </w:t>
      </w:r>
      <w:proofErr w:type="spellStart"/>
      <w:r w:rsidR="009278D4">
        <w:t>Jef</w:t>
      </w:r>
      <w:proofErr w:type="spellEnd"/>
      <w:r w:rsidR="009278D4">
        <w:t xml:space="preserve"> </w:t>
      </w:r>
      <w:proofErr w:type="spellStart"/>
      <w:r w:rsidR="009278D4">
        <w:t>Dehing’s</w:t>
      </w:r>
      <w:proofErr w:type="spellEnd"/>
      <w:r w:rsidR="009278D4">
        <w:t xml:space="preserve"> p</w:t>
      </w:r>
      <w:r w:rsidR="00484105">
        <w:t>erspectives</w:t>
      </w:r>
      <w:r w:rsidR="009278D4">
        <w:t xml:space="preserve"> </w:t>
      </w:r>
      <w:r w:rsidR="00484105">
        <w:t>are</w:t>
      </w:r>
      <w:r w:rsidR="009278D4">
        <w:t xml:space="preserve"> explicit in this regard by declaring the </w:t>
      </w:r>
      <w:r w:rsidR="009278D4">
        <w:rPr>
          <w:i/>
          <w:iCs/>
        </w:rPr>
        <w:t xml:space="preserve">Sermones </w:t>
      </w:r>
      <w:r w:rsidR="009278D4">
        <w:t>was ‘an attempt at self-therapy</w:t>
      </w:r>
      <w:r w:rsidR="005648CB">
        <w:t>’ (Jung’s crisis)</w:t>
      </w:r>
      <w:r w:rsidR="00484105">
        <w:t>, ‘a period of restlessness, inner uncertainty, disorientation, constant inner pressure and delusional phenomena’;</w:t>
      </w:r>
      <w:r w:rsidR="005648CB">
        <w:t xml:space="preserve"> and that ‘it</w:t>
      </w:r>
      <w:r w:rsidR="00484105">
        <w:t xml:space="preserve"> (the </w:t>
      </w:r>
      <w:r w:rsidR="00484105">
        <w:rPr>
          <w:i/>
          <w:iCs/>
        </w:rPr>
        <w:t>Sermones</w:t>
      </w:r>
      <w:r w:rsidR="00484105">
        <w:t>)</w:t>
      </w:r>
      <w:r w:rsidR="005648CB">
        <w:t xml:space="preserve"> was a gnostic text that inaugurated the solution of Jung’s major </w:t>
      </w:r>
      <w:proofErr w:type="gramStart"/>
      <w:r w:rsidR="005648CB">
        <w:t>crisis’</w:t>
      </w:r>
      <w:proofErr w:type="gramEnd"/>
      <w:r w:rsidR="00484105">
        <w:t xml:space="preserve">. </w:t>
      </w:r>
      <w:proofErr w:type="spellStart"/>
      <w:r w:rsidR="00484105">
        <w:t>Dehing</w:t>
      </w:r>
      <w:proofErr w:type="spellEnd"/>
      <w:r w:rsidR="00484105">
        <w:t xml:space="preserve"> </w:t>
      </w:r>
      <w:r w:rsidR="00D73DE9">
        <w:t xml:space="preserve">further </w:t>
      </w:r>
      <w:r w:rsidR="00484105">
        <w:t xml:space="preserve">claims that </w:t>
      </w:r>
      <w:r w:rsidR="00D73DE9">
        <w:t>‘</w:t>
      </w:r>
      <w:r w:rsidR="00484105">
        <w:t>r</w:t>
      </w:r>
      <w:r w:rsidR="005648CB">
        <w:t xml:space="preserve">eferences to Gnosticism appear in </w:t>
      </w:r>
      <w:r w:rsidR="00484105">
        <w:t>Jung’s</w:t>
      </w:r>
      <w:r w:rsidR="005648CB">
        <w:t xml:space="preserve"> work from 1912 on’.</w:t>
      </w:r>
      <w:r w:rsidR="005648CB">
        <w:rPr>
          <w:rStyle w:val="FootnoteReference"/>
        </w:rPr>
        <w:footnoteReference w:id="13"/>
      </w:r>
      <w:r w:rsidR="009278D4">
        <w:t xml:space="preserve">  </w:t>
      </w:r>
      <w:r w:rsidR="00D034E9">
        <w:t xml:space="preserve">Over a period of three nights, the </w:t>
      </w:r>
      <w:r w:rsidR="00D034E9">
        <w:rPr>
          <w:i/>
          <w:iCs/>
        </w:rPr>
        <w:t xml:space="preserve">Sermones </w:t>
      </w:r>
      <w:r w:rsidR="00D034E9">
        <w:t>was written</w:t>
      </w:r>
      <w:r w:rsidR="00B966B5">
        <w:t xml:space="preserve">, but </w:t>
      </w:r>
      <w:r w:rsidR="00FF61A2">
        <w:t xml:space="preserve">Jung </w:t>
      </w:r>
      <w:r w:rsidR="00B966B5">
        <w:t xml:space="preserve">denied publication </w:t>
      </w:r>
      <w:r w:rsidR="00F64BA0">
        <w:t xml:space="preserve">of this ‘sin of my youth’ </w:t>
      </w:r>
      <w:r w:rsidR="00B966B5">
        <w:t>until 1957</w:t>
      </w:r>
      <w:r w:rsidR="00FF61A2">
        <w:t xml:space="preserve"> and had it excluded from the </w:t>
      </w:r>
      <w:r w:rsidR="006F4132">
        <w:rPr>
          <w:i/>
          <w:iCs/>
        </w:rPr>
        <w:t>Collected Works</w:t>
      </w:r>
      <w:r w:rsidR="00D034E9">
        <w:t>.</w:t>
      </w:r>
      <w:r w:rsidR="006F4132">
        <w:rPr>
          <w:rStyle w:val="FootnoteReference"/>
        </w:rPr>
        <w:footnoteReference w:id="14"/>
      </w:r>
      <w:r w:rsidR="00D034E9">
        <w:t xml:space="preserve"> </w:t>
      </w:r>
      <w:r w:rsidR="00533FFE">
        <w:t>Was Jung embarrassed by this work? Were the events on t</w:t>
      </w:r>
      <w:r w:rsidR="00AC333F">
        <w:t>hat evening in</w:t>
      </w:r>
      <w:r w:rsidR="00533FFE">
        <w:t xml:space="preserve"> 1916 indicative of a Freud-precipitated psychosis?</w:t>
      </w:r>
      <w:r w:rsidR="006C4850">
        <w:t xml:space="preserve"> This remains undetermined, but it seems that ‘when he finished writing, the atmosphere returned to normal’</w:t>
      </w:r>
      <w:r w:rsidR="004F44C5">
        <w:t xml:space="preserve"> and that ‘</w:t>
      </w:r>
      <w:r w:rsidR="001F6D55">
        <w:t xml:space="preserve">Jung shows that even today there are experiences which lead man to make use of Gnostic symbols </w:t>
      </w:r>
      <w:proofErr w:type="gramStart"/>
      <w:r w:rsidR="001F6D55">
        <w:t>in order to</w:t>
      </w:r>
      <w:proofErr w:type="gramEnd"/>
      <w:r w:rsidR="001F6D55">
        <w:t xml:space="preserve"> make himself understood</w:t>
      </w:r>
      <w:r w:rsidR="004F44C5">
        <w:t>’</w:t>
      </w:r>
      <w:r w:rsidR="006C4850">
        <w:t>.</w:t>
      </w:r>
      <w:r w:rsidR="006C4850">
        <w:rPr>
          <w:rStyle w:val="FootnoteReference"/>
        </w:rPr>
        <w:footnoteReference w:id="15"/>
      </w:r>
      <w:r w:rsidR="004F44C5">
        <w:rPr>
          <w:vertAlign w:val="superscript"/>
        </w:rPr>
        <w:t>,</w:t>
      </w:r>
      <w:r w:rsidR="004F44C5">
        <w:rPr>
          <w:rStyle w:val="FootnoteReference"/>
        </w:rPr>
        <w:footnoteReference w:id="16"/>
      </w:r>
    </w:p>
    <w:p w14:paraId="2115FF70" w14:textId="5B6D7000" w:rsidR="005F2E88" w:rsidRDefault="00054E39" w:rsidP="00585522">
      <w:pPr>
        <w:spacing w:after="120" w:line="276" w:lineRule="auto"/>
        <w:rPr>
          <w:i/>
          <w:iCs/>
        </w:rPr>
      </w:pPr>
      <w:r>
        <w:t>W</w:t>
      </w:r>
      <w:r w:rsidR="004B096D">
        <w:t>as the</w:t>
      </w:r>
      <w:r>
        <w:t>re a</w:t>
      </w:r>
      <w:r w:rsidR="004B096D">
        <w:t xml:space="preserve"> </w:t>
      </w:r>
      <w:r>
        <w:rPr>
          <w:i/>
          <w:iCs/>
        </w:rPr>
        <w:t>teacher</w:t>
      </w:r>
      <w:r w:rsidR="009F2862">
        <w:t xml:space="preserve"> in </w:t>
      </w:r>
      <w:r w:rsidR="00533FFE">
        <w:t xml:space="preserve">the </w:t>
      </w:r>
      <w:r w:rsidR="00533FFE">
        <w:rPr>
          <w:i/>
          <w:iCs/>
        </w:rPr>
        <w:t>Sermones</w:t>
      </w:r>
      <w:r w:rsidR="004B096D">
        <w:t>?</w:t>
      </w:r>
      <w:r w:rsidR="00B966B5">
        <w:t xml:space="preserve"> Jung is explicit </w:t>
      </w:r>
      <w:r w:rsidR="0035073C">
        <w:t xml:space="preserve">on this </w:t>
      </w:r>
      <w:r w:rsidR="00B966B5">
        <w:t xml:space="preserve">in identifying the </w:t>
      </w:r>
      <w:r w:rsidR="00B966B5">
        <w:rPr>
          <w:i/>
          <w:iCs/>
        </w:rPr>
        <w:t xml:space="preserve">Sermones </w:t>
      </w:r>
      <w:r w:rsidR="00B966B5">
        <w:t>as ‘written by Basilides in Alexandria</w:t>
      </w:r>
      <w:r w:rsidR="004D3CD9">
        <w:t>, the city where the East toucheth the West’.</w:t>
      </w:r>
      <w:r w:rsidR="004D3CD9">
        <w:rPr>
          <w:rStyle w:val="FootnoteReference"/>
        </w:rPr>
        <w:footnoteReference w:id="17"/>
      </w:r>
      <w:r w:rsidR="004D3CD9">
        <w:t xml:space="preserve"> According to Brenner, Basilides was a pseudonym Jung </w:t>
      </w:r>
      <w:r w:rsidR="004D3CD9" w:rsidRPr="00C062DB">
        <w:rPr>
          <w:i/>
          <w:iCs/>
        </w:rPr>
        <w:t xml:space="preserve">chose </w:t>
      </w:r>
      <w:r w:rsidR="004D3CD9">
        <w:t>- ‘a Gnostic who taught in Alexandria between AD 117-161’ and ‘only one of many Gnostic writers whom Jung could have read before writing the Seven Sermons’.</w:t>
      </w:r>
      <w:r w:rsidR="004D3CD9">
        <w:rPr>
          <w:rStyle w:val="FootnoteReference"/>
        </w:rPr>
        <w:footnoteReference w:id="18"/>
      </w:r>
      <w:r w:rsidR="009F2862">
        <w:t xml:space="preserve"> </w:t>
      </w:r>
      <w:r w:rsidR="00C062DB">
        <w:t xml:space="preserve">Of what does Basilides the Gnostic ‘teacher’ refer, arguably acting on Jung’s behalf? This is made clear in </w:t>
      </w:r>
      <w:proofErr w:type="spellStart"/>
      <w:r w:rsidR="00C062DB">
        <w:rPr>
          <w:i/>
          <w:iCs/>
        </w:rPr>
        <w:t>Sermo</w:t>
      </w:r>
      <w:proofErr w:type="spellEnd"/>
      <w:r w:rsidR="00C062DB">
        <w:rPr>
          <w:i/>
          <w:iCs/>
        </w:rPr>
        <w:t xml:space="preserve"> 1 </w:t>
      </w:r>
      <w:r w:rsidR="00C062DB">
        <w:t>when Basilides makes three fundamental statements: 1) ‘</w:t>
      </w:r>
      <w:r w:rsidR="008B75EC">
        <w:t xml:space="preserve">Harken: </w:t>
      </w:r>
      <w:r w:rsidR="00C062DB">
        <w:t xml:space="preserve">I begin with nothingness….[this] nothingness or fullness we name the PLEROMA’; 2) ‘CREATURA is not in the pleroma…[our] essence as creatura is confined within time and space’, and; 3) </w:t>
      </w:r>
      <w:r w:rsidR="00F66420">
        <w:t xml:space="preserve">‘the natural striving of the creature [is] called the </w:t>
      </w:r>
      <w:r w:rsidR="00F66420">
        <w:rPr>
          <w:i/>
          <w:iCs/>
        </w:rPr>
        <w:t>principium individuationis’.</w:t>
      </w:r>
      <w:r w:rsidR="00F66420" w:rsidRPr="003E76D9">
        <w:rPr>
          <w:rStyle w:val="FootnoteReference"/>
        </w:rPr>
        <w:footnoteReference w:id="19"/>
      </w:r>
      <w:r w:rsidR="003E76D9">
        <w:rPr>
          <w:i/>
          <w:iCs/>
        </w:rPr>
        <w:t xml:space="preserve"> </w:t>
      </w:r>
      <w:r w:rsidR="0035473C">
        <w:t>Jung</w:t>
      </w:r>
      <w:r w:rsidR="0035073C">
        <w:t xml:space="preserve"> further</w:t>
      </w:r>
      <w:r w:rsidR="0035473C">
        <w:t xml:space="preserve"> clarifies his use of such Gnostic symbolism </w:t>
      </w:r>
      <w:r w:rsidR="004C02A1">
        <w:t xml:space="preserve">in </w:t>
      </w:r>
      <w:proofErr w:type="spellStart"/>
      <w:r w:rsidR="004C02A1">
        <w:rPr>
          <w:i/>
          <w:iCs/>
        </w:rPr>
        <w:t>Sermo</w:t>
      </w:r>
      <w:proofErr w:type="spellEnd"/>
      <w:r w:rsidR="004C02A1">
        <w:rPr>
          <w:i/>
          <w:iCs/>
        </w:rPr>
        <w:t xml:space="preserve"> II </w:t>
      </w:r>
      <w:r w:rsidR="00226242">
        <w:t>in three parts</w:t>
      </w:r>
      <w:r w:rsidR="0035473C">
        <w:t xml:space="preserve">: </w:t>
      </w:r>
      <w:r w:rsidR="00D27B40">
        <w:t>F</w:t>
      </w:r>
      <w:r w:rsidR="00226242">
        <w:t xml:space="preserve">irst, </w:t>
      </w:r>
      <w:r w:rsidR="004C02A1">
        <w:t>‘god and devil are the first manifestations of nothingness, which we call the</w:t>
      </w:r>
      <w:r w:rsidR="0035473C">
        <w:t xml:space="preserve"> </w:t>
      </w:r>
      <w:r w:rsidR="0035473C">
        <w:rPr>
          <w:i/>
          <w:iCs/>
        </w:rPr>
        <w:t>pleroma</w:t>
      </w:r>
      <w:r w:rsidR="004C02A1">
        <w:t>’</w:t>
      </w:r>
      <w:r w:rsidR="00226242">
        <w:t xml:space="preserve">. </w:t>
      </w:r>
      <w:r w:rsidR="00226242">
        <w:rPr>
          <w:i/>
          <w:iCs/>
        </w:rPr>
        <w:t xml:space="preserve"> </w:t>
      </w:r>
      <w:r w:rsidR="00226242">
        <w:t>Second, the cosmogony continues with the</w:t>
      </w:r>
      <w:r w:rsidR="004C02A1">
        <w:t xml:space="preserve"> created order </w:t>
      </w:r>
      <w:r w:rsidR="007F1E0A">
        <w:t>as</w:t>
      </w:r>
      <w:r w:rsidR="004C02A1">
        <w:t xml:space="preserve"> </w:t>
      </w:r>
      <w:r w:rsidR="004C02A1">
        <w:rPr>
          <w:i/>
          <w:iCs/>
        </w:rPr>
        <w:t>creatura</w:t>
      </w:r>
      <w:r w:rsidR="00226242">
        <w:rPr>
          <w:i/>
          <w:iCs/>
        </w:rPr>
        <w:t>,</w:t>
      </w:r>
      <w:r w:rsidR="004C02A1">
        <w:rPr>
          <w:i/>
          <w:iCs/>
        </w:rPr>
        <w:t xml:space="preserve"> </w:t>
      </w:r>
      <w:r w:rsidR="004C02A1">
        <w:t>compris</w:t>
      </w:r>
      <w:r w:rsidR="00226242">
        <w:t>ing</w:t>
      </w:r>
      <w:r w:rsidR="004C02A1">
        <w:t xml:space="preserve"> </w:t>
      </w:r>
      <w:r w:rsidR="004814D0">
        <w:t xml:space="preserve">an </w:t>
      </w:r>
      <w:r w:rsidR="004814D0" w:rsidRPr="007F1E0A">
        <w:t>enantiodromia</w:t>
      </w:r>
      <w:r w:rsidR="004814D0">
        <w:rPr>
          <w:i/>
          <w:iCs/>
        </w:rPr>
        <w:t xml:space="preserve"> </w:t>
      </w:r>
      <w:r w:rsidR="004814D0">
        <w:t xml:space="preserve">of </w:t>
      </w:r>
      <w:r w:rsidR="004C02A1">
        <w:t>pairs of opposites (e.g., light and darkness, force and matter, good and evil</w:t>
      </w:r>
      <w:r w:rsidR="004814D0">
        <w:t>, etc.</w:t>
      </w:r>
      <w:r w:rsidR="004C02A1">
        <w:t xml:space="preserve">) which are subsumed by the </w:t>
      </w:r>
      <w:r w:rsidR="004C02A1">
        <w:rPr>
          <w:i/>
          <w:iCs/>
        </w:rPr>
        <w:t>pleroma</w:t>
      </w:r>
      <w:r w:rsidR="005F2E88">
        <w:rPr>
          <w:i/>
          <w:iCs/>
        </w:rPr>
        <w:t xml:space="preserve">, </w:t>
      </w:r>
      <w:proofErr w:type="gramStart"/>
      <w:r w:rsidR="004C02A1">
        <w:t>and</w:t>
      </w:r>
      <w:r w:rsidR="005F2E88">
        <w:t>;</w:t>
      </w:r>
      <w:proofErr w:type="gramEnd"/>
      <w:r w:rsidR="004C02A1">
        <w:t xml:space="preserve"> </w:t>
      </w:r>
      <w:r w:rsidR="00226242">
        <w:t xml:space="preserve">third, </w:t>
      </w:r>
      <w:r w:rsidR="004C02A1">
        <w:t xml:space="preserve">the </w:t>
      </w:r>
      <w:r w:rsidR="004C02A1">
        <w:rPr>
          <w:i/>
          <w:iCs/>
        </w:rPr>
        <w:t>principium individuationis</w:t>
      </w:r>
      <w:r w:rsidR="005F2E88">
        <w:rPr>
          <w:i/>
          <w:iCs/>
        </w:rPr>
        <w:t xml:space="preserve"> </w:t>
      </w:r>
      <w:r w:rsidR="005F2E88">
        <w:t xml:space="preserve">equates to Jung’s notion of individuation which has its culminating moment when the dead have ascended, each travelling to their own particular star. It is </w:t>
      </w:r>
      <w:r w:rsidR="00D27B40">
        <w:t>of interest</w:t>
      </w:r>
      <w:r w:rsidR="005F2E88">
        <w:t xml:space="preserve"> that th</w:t>
      </w:r>
      <w:r w:rsidR="004814D0">
        <w:t>e culminating ‘star’</w:t>
      </w:r>
      <w:r w:rsidR="005F2E88">
        <w:t xml:space="preserve"> occurs in </w:t>
      </w:r>
      <w:proofErr w:type="spellStart"/>
      <w:r w:rsidR="005F2E88">
        <w:rPr>
          <w:i/>
          <w:iCs/>
        </w:rPr>
        <w:t>Sermo</w:t>
      </w:r>
      <w:proofErr w:type="spellEnd"/>
      <w:r w:rsidR="005F2E88">
        <w:rPr>
          <w:i/>
          <w:iCs/>
        </w:rPr>
        <w:t xml:space="preserve"> VII</w:t>
      </w:r>
      <w:r w:rsidR="009B6E3B">
        <w:rPr>
          <w:i/>
          <w:iCs/>
        </w:rPr>
        <w:t xml:space="preserve">, </w:t>
      </w:r>
      <w:r w:rsidR="009B6E3B">
        <w:t xml:space="preserve">providing echoes of a </w:t>
      </w:r>
      <w:r w:rsidR="00A90887">
        <w:t xml:space="preserve">seven-planet </w:t>
      </w:r>
      <w:r w:rsidR="009B6E3B">
        <w:lastRenderedPageBreak/>
        <w:t xml:space="preserve">Ptolemaic cosmogony, </w:t>
      </w:r>
      <w:r w:rsidR="00A90887">
        <w:t>the</w:t>
      </w:r>
      <w:r w:rsidR="009B6E3B">
        <w:t xml:space="preserve"> theosophical </w:t>
      </w:r>
      <w:r w:rsidR="00A90887">
        <w:t>‘star’</w:t>
      </w:r>
      <w:r w:rsidR="009B6E3B">
        <w:t xml:space="preserve"> of Alan Leo, </w:t>
      </w:r>
      <w:r w:rsidR="00A90887">
        <w:t xml:space="preserve">the </w:t>
      </w:r>
      <w:r w:rsidR="00425A3E">
        <w:t xml:space="preserve">fulfillment of the </w:t>
      </w:r>
      <w:r w:rsidR="00A90887">
        <w:t>seven sacraments of Catholicism, the</w:t>
      </w:r>
      <w:r w:rsidR="009B6E3B">
        <w:t xml:space="preserve"> theurgy of </w:t>
      </w:r>
      <w:r w:rsidR="00A90887">
        <w:t xml:space="preserve">the </w:t>
      </w:r>
      <w:proofErr w:type="spellStart"/>
      <w:r w:rsidR="00A90887">
        <w:t>neo-</w:t>
      </w:r>
      <w:r w:rsidR="009B6E3B">
        <w:t>Plato</w:t>
      </w:r>
      <w:r w:rsidR="00A90887">
        <w:t>nists</w:t>
      </w:r>
      <w:proofErr w:type="spellEnd"/>
      <w:r w:rsidR="00425A3E">
        <w:t>, and the evil half-artisan Demiurge of Plato’s</w:t>
      </w:r>
      <w:r w:rsidR="005E5292">
        <w:t xml:space="preserve"> seven-sphere</w:t>
      </w:r>
      <w:r w:rsidR="00425A3E">
        <w:t xml:space="preserve"> </w:t>
      </w:r>
      <w:r w:rsidR="00425A3E">
        <w:rPr>
          <w:i/>
          <w:iCs/>
        </w:rPr>
        <w:t>Timaeus</w:t>
      </w:r>
      <w:r w:rsidR="005F2E88">
        <w:rPr>
          <w:i/>
          <w:iCs/>
        </w:rPr>
        <w:t>:</w:t>
      </w:r>
    </w:p>
    <w:p w14:paraId="5117B922" w14:textId="516C1C79" w:rsidR="005F2E88" w:rsidRDefault="005F2E88" w:rsidP="009B6E3B">
      <w:pPr>
        <w:spacing w:after="0"/>
        <w:ind w:left="720"/>
      </w:pPr>
      <w:r>
        <w:t xml:space="preserve">At immeasurable distance standeth one single Star in the zenith. This is the one </w:t>
      </w:r>
      <w:proofErr w:type="gramStart"/>
      <w:r>
        <w:t>god</w:t>
      </w:r>
      <w:proofErr w:type="gramEnd"/>
      <w:r>
        <w:t xml:space="preserve"> of this one man. This is his world, his pleroma, his divinity. In this world is man Abraxas, the creator and</w:t>
      </w:r>
    </w:p>
    <w:p w14:paraId="3B8D1CA2" w14:textId="5FD87940" w:rsidR="005F2E88" w:rsidRPr="005F2E88" w:rsidRDefault="009B6E3B" w:rsidP="009B6E3B">
      <w:pPr>
        <w:spacing w:after="0"/>
        <w:ind w:left="720"/>
      </w:pPr>
      <w:r>
        <w:t>d</w:t>
      </w:r>
      <w:r w:rsidR="005F2E88">
        <w:t>estroyer of his own world. This Star is the god and the goal of man</w:t>
      </w:r>
      <w:r>
        <w:t>.</w:t>
      </w:r>
      <w:r>
        <w:rPr>
          <w:rStyle w:val="FootnoteReference"/>
        </w:rPr>
        <w:footnoteReference w:id="20"/>
      </w:r>
    </w:p>
    <w:p w14:paraId="136D508D" w14:textId="77777777" w:rsidR="006D508D" w:rsidRDefault="005F2E88" w:rsidP="00585522">
      <w:pPr>
        <w:spacing w:after="120" w:line="276" w:lineRule="auto"/>
      </w:pPr>
      <w:r>
        <w:rPr>
          <w:i/>
          <w:iCs/>
        </w:rPr>
        <w:t xml:space="preserve">  </w:t>
      </w:r>
      <w:r w:rsidR="004C02A1">
        <w:rPr>
          <w:i/>
          <w:iCs/>
        </w:rPr>
        <w:t xml:space="preserve"> </w:t>
      </w:r>
      <w:r w:rsidR="004C02A1">
        <w:t xml:space="preserve"> </w:t>
      </w:r>
    </w:p>
    <w:p w14:paraId="0DB975CE" w14:textId="1916A94B" w:rsidR="004631EF" w:rsidRPr="00CB7D40" w:rsidRDefault="00677D58" w:rsidP="00585522">
      <w:pPr>
        <w:spacing w:after="120" w:line="276" w:lineRule="auto"/>
      </w:pPr>
      <w:r>
        <w:t>With the introduction of the character of Abraxas in</w:t>
      </w:r>
      <w:r>
        <w:rPr>
          <w:i/>
          <w:iCs/>
        </w:rPr>
        <w:t xml:space="preserve"> </w:t>
      </w:r>
      <w:proofErr w:type="spellStart"/>
      <w:r w:rsidR="004E2A55">
        <w:rPr>
          <w:i/>
          <w:iCs/>
        </w:rPr>
        <w:t>Sermo</w:t>
      </w:r>
      <w:proofErr w:type="spellEnd"/>
      <w:r w:rsidR="004E2A55">
        <w:rPr>
          <w:i/>
          <w:iCs/>
        </w:rPr>
        <w:t xml:space="preserve"> II </w:t>
      </w:r>
      <w:r w:rsidR="004E2A55">
        <w:t xml:space="preserve">and </w:t>
      </w:r>
      <w:r w:rsidR="004E2A55">
        <w:rPr>
          <w:i/>
          <w:iCs/>
        </w:rPr>
        <w:t>III</w:t>
      </w:r>
      <w:r>
        <w:rPr>
          <w:i/>
          <w:iCs/>
        </w:rPr>
        <w:t>,</w:t>
      </w:r>
      <w:r w:rsidR="004E2A55">
        <w:rPr>
          <w:i/>
          <w:iCs/>
        </w:rPr>
        <w:t xml:space="preserve"> </w:t>
      </w:r>
      <w:r w:rsidR="004E2A55">
        <w:t>Jung’s appeal to Gnostic themes</w:t>
      </w:r>
      <w:r>
        <w:t xml:space="preserve"> is now solidified</w:t>
      </w:r>
      <w:r w:rsidR="004E2A55">
        <w:t>, declaring that ‘this (Abraxas) is a god whom ye knew not’ as the ‘dead now raised a great tumult, for they were Christians’.</w:t>
      </w:r>
      <w:r w:rsidR="004E2A55">
        <w:rPr>
          <w:rStyle w:val="FootnoteReference"/>
        </w:rPr>
        <w:footnoteReference w:id="21"/>
      </w:r>
      <w:r w:rsidR="004E2A55">
        <w:rPr>
          <w:i/>
          <w:iCs/>
        </w:rPr>
        <w:t xml:space="preserve"> </w:t>
      </w:r>
      <w:r w:rsidR="008F7392">
        <w:t xml:space="preserve">Here is Jung apparently making overt references to </w:t>
      </w:r>
      <w:proofErr w:type="spellStart"/>
      <w:r w:rsidR="000979E3">
        <w:t>Basilidian</w:t>
      </w:r>
      <w:proofErr w:type="spellEnd"/>
      <w:r w:rsidR="000979E3">
        <w:t xml:space="preserve"> </w:t>
      </w:r>
      <w:r w:rsidR="008F7392">
        <w:t>Gnostic themes and</w:t>
      </w:r>
      <w:r w:rsidR="000979E3">
        <w:t xml:space="preserve"> weaving these into his</w:t>
      </w:r>
      <w:r w:rsidR="002533FC">
        <w:t xml:space="preserve"> early-stage</w:t>
      </w:r>
      <w:r w:rsidR="000979E3">
        <w:t xml:space="preserve"> development of the concept</w:t>
      </w:r>
      <w:r w:rsidR="004A5200">
        <w:t>s</w:t>
      </w:r>
      <w:r w:rsidR="000979E3">
        <w:t xml:space="preserve"> of individuation and the unconscious.</w:t>
      </w:r>
      <w:r w:rsidR="008F7392">
        <w:t xml:space="preserve"> </w:t>
      </w:r>
      <w:r w:rsidR="008B75EC">
        <w:t xml:space="preserve">Douglas has alluded to </w:t>
      </w:r>
      <w:r w:rsidR="004A5200">
        <w:t>such an</w:t>
      </w:r>
      <w:r w:rsidR="000979E3">
        <w:t xml:space="preserve"> hypothesis when he writes: ‘</w:t>
      </w:r>
      <w:r w:rsidR="000979E3" w:rsidRPr="00263797">
        <w:rPr>
          <w:rFonts w:eastAsia="Times New Roman" w:cstheme="minorHAnsi"/>
          <w:color w:val="000000"/>
          <w:lang w:eastAsia="en-CA"/>
        </w:rPr>
        <w:t>Gnostic philosophy appears to be the inspiration and is the crucial link that confirms the</w:t>
      </w:r>
      <w:r w:rsidR="000979E3">
        <w:rPr>
          <w:rFonts w:eastAsia="Times New Roman" w:cstheme="minorHAnsi"/>
          <w:color w:val="000000"/>
          <w:lang w:eastAsia="en-CA"/>
        </w:rPr>
        <w:t xml:space="preserve"> </w:t>
      </w:r>
      <w:r w:rsidR="000979E3" w:rsidRPr="00263797">
        <w:rPr>
          <w:rFonts w:eastAsia="Times New Roman" w:cstheme="minorHAnsi"/>
          <w:color w:val="000000"/>
          <w:lang w:eastAsia="en-CA"/>
        </w:rPr>
        <w:t>relationship</w:t>
      </w:r>
      <w:r w:rsidR="000979E3">
        <w:rPr>
          <w:rFonts w:eastAsia="Times New Roman" w:cstheme="minorHAnsi"/>
          <w:color w:val="000000"/>
          <w:lang w:eastAsia="en-CA"/>
        </w:rPr>
        <w:t xml:space="preserve">; </w:t>
      </w:r>
      <w:r w:rsidR="000979E3" w:rsidRPr="00263797">
        <w:rPr>
          <w:rFonts w:eastAsia="Times New Roman" w:cstheme="minorHAnsi"/>
          <w:color w:val="000000"/>
          <w:lang w:eastAsia="en-CA"/>
        </w:rPr>
        <w:t xml:space="preserve">correspondences between both </w:t>
      </w:r>
      <w:r w:rsidR="000979E3">
        <w:rPr>
          <w:rFonts w:eastAsia="Times New Roman" w:cstheme="minorHAnsi"/>
          <w:color w:val="000000"/>
          <w:lang w:eastAsia="en-CA"/>
        </w:rPr>
        <w:t>Jung’s</w:t>
      </w:r>
      <w:r w:rsidR="000979E3" w:rsidRPr="00263797">
        <w:rPr>
          <w:rFonts w:eastAsia="Times New Roman" w:cstheme="minorHAnsi"/>
          <w:color w:val="000000"/>
          <w:lang w:eastAsia="en-CA"/>
        </w:rPr>
        <w:t> works with</w:t>
      </w:r>
      <w:r w:rsidR="000979E3" w:rsidRPr="00123BBB">
        <w:rPr>
          <w:rFonts w:eastAsia="Times New Roman" w:cstheme="minorHAnsi"/>
          <w:color w:val="000000"/>
          <w:lang w:eastAsia="en-CA"/>
        </w:rPr>
        <w:t xml:space="preserve"> the classic Gnostic texts of the Nag Hammadi </w:t>
      </w:r>
      <w:r w:rsidR="000979E3">
        <w:rPr>
          <w:rFonts w:eastAsia="Times New Roman" w:cstheme="minorHAnsi"/>
          <w:color w:val="000000"/>
          <w:lang w:eastAsia="en-CA"/>
        </w:rPr>
        <w:t>l</w:t>
      </w:r>
      <w:r w:rsidR="000979E3" w:rsidRPr="00123BBB">
        <w:rPr>
          <w:rFonts w:eastAsia="Times New Roman" w:cstheme="minorHAnsi"/>
          <w:color w:val="000000"/>
          <w:lang w:eastAsia="en-CA"/>
        </w:rPr>
        <w:t>ibrary, paying particular attention to the theme of the opposites.</w:t>
      </w:r>
      <w:r w:rsidR="000979E3">
        <w:rPr>
          <w:rFonts w:eastAsia="Times New Roman" w:cstheme="minorHAnsi"/>
          <w:color w:val="000000"/>
          <w:lang w:eastAsia="en-CA"/>
        </w:rPr>
        <w:t>’</w:t>
      </w:r>
      <w:r w:rsidR="000979E3">
        <w:rPr>
          <w:rStyle w:val="FootnoteReference"/>
          <w:rFonts w:eastAsia="Times New Roman" w:cstheme="minorHAnsi"/>
          <w:color w:val="000000"/>
          <w:lang w:eastAsia="en-CA"/>
        </w:rPr>
        <w:footnoteReference w:id="22"/>
      </w:r>
      <w:r w:rsidR="000979E3">
        <w:t xml:space="preserve"> </w:t>
      </w:r>
      <w:r w:rsidR="004E2A55">
        <w:t xml:space="preserve">In the metaphor of the harmonics, the </w:t>
      </w:r>
      <w:r w:rsidR="004E2A55">
        <w:rPr>
          <w:i/>
          <w:iCs/>
        </w:rPr>
        <w:t xml:space="preserve">Sermones </w:t>
      </w:r>
      <w:r w:rsidR="004E2A55">
        <w:t xml:space="preserve">can reasonably be considered foundational to Jung’s emerging analytical psychology, and is therefore </w:t>
      </w:r>
      <w:r w:rsidR="004E2A55">
        <w:rPr>
          <w:i/>
          <w:iCs/>
        </w:rPr>
        <w:t xml:space="preserve">tonal </w:t>
      </w:r>
      <w:r w:rsidR="004E2A55">
        <w:t xml:space="preserve">not subtle, subsidiary, or </w:t>
      </w:r>
      <w:r w:rsidR="00C50EF5">
        <w:t xml:space="preserve">merely an echo or </w:t>
      </w:r>
      <w:r w:rsidR="004E2A55">
        <w:t xml:space="preserve">an </w:t>
      </w:r>
      <w:r w:rsidR="004E2A55">
        <w:rPr>
          <w:i/>
          <w:iCs/>
        </w:rPr>
        <w:t>overtone.</w:t>
      </w:r>
      <w:r w:rsidR="000979E3">
        <w:t xml:space="preserve"> </w:t>
      </w:r>
    </w:p>
    <w:p w14:paraId="1E53BC44" w14:textId="4611FA63" w:rsidR="00493EDB" w:rsidRPr="000C3DB1" w:rsidRDefault="0024198A" w:rsidP="00493EDB">
      <w:pPr>
        <w:spacing w:after="120" w:line="276" w:lineRule="auto"/>
        <w:rPr>
          <w:b/>
          <w:bCs/>
          <w:i/>
          <w:iCs/>
        </w:rPr>
      </w:pPr>
      <w:r>
        <w:rPr>
          <w:b/>
          <w:bCs/>
        </w:rPr>
        <w:t xml:space="preserve">Second </w:t>
      </w:r>
      <w:r w:rsidR="00226715">
        <w:rPr>
          <w:b/>
          <w:bCs/>
        </w:rPr>
        <w:t xml:space="preserve">Harmonic </w:t>
      </w:r>
      <w:r w:rsidR="006C6AE4">
        <w:rPr>
          <w:b/>
          <w:bCs/>
        </w:rPr>
        <w:t>–</w:t>
      </w:r>
      <w:r>
        <w:rPr>
          <w:b/>
          <w:bCs/>
        </w:rPr>
        <w:t xml:space="preserve"> </w:t>
      </w:r>
      <w:r w:rsidR="00650E03">
        <w:rPr>
          <w:b/>
          <w:bCs/>
        </w:rPr>
        <w:t xml:space="preserve">Jung’s </w:t>
      </w:r>
      <w:r w:rsidR="00650E03">
        <w:rPr>
          <w:b/>
          <w:bCs/>
          <w:i/>
          <w:iCs/>
        </w:rPr>
        <w:t xml:space="preserve">Systema Munditotius </w:t>
      </w:r>
      <w:r w:rsidR="00650E03">
        <w:rPr>
          <w:b/>
          <w:bCs/>
        </w:rPr>
        <w:t>Mandala</w:t>
      </w:r>
    </w:p>
    <w:p w14:paraId="28DD804C" w14:textId="0C0200C1" w:rsidR="00FD0217" w:rsidRPr="0095757A" w:rsidRDefault="0095757A" w:rsidP="003F131B">
      <w:pPr>
        <w:spacing w:after="120" w:line="276" w:lineRule="auto"/>
      </w:pPr>
      <w:r>
        <w:t xml:space="preserve">While struggling with the symptoms of his paroxysmal rupture with </w:t>
      </w:r>
      <w:r w:rsidR="00DC28F4">
        <w:t xml:space="preserve">Sigmund </w:t>
      </w:r>
      <w:r>
        <w:t>Freud</w:t>
      </w:r>
      <w:r w:rsidR="00DC28F4">
        <w:t xml:space="preserve"> (1856-1939)</w:t>
      </w:r>
      <w:r>
        <w:t xml:space="preserve">, </w:t>
      </w:r>
      <w:r w:rsidR="00FD0217">
        <w:t xml:space="preserve">it was </w:t>
      </w:r>
      <w:r>
        <w:t xml:space="preserve">noted </w:t>
      </w:r>
      <w:r w:rsidR="00FD0217">
        <w:t>of</w:t>
      </w:r>
      <w:r>
        <w:t xml:space="preserve"> Jung</w:t>
      </w:r>
      <w:r w:rsidR="00FD0217">
        <w:t xml:space="preserve"> that he</w:t>
      </w:r>
      <w:r>
        <w:t xml:space="preserve"> </w:t>
      </w:r>
      <w:r w:rsidR="00FD0217">
        <w:t>‘</w:t>
      </w:r>
      <w:r>
        <w:t xml:space="preserve">turned to mythology’ </w:t>
      </w:r>
      <w:proofErr w:type="gramStart"/>
      <w:r>
        <w:t>in order to</w:t>
      </w:r>
      <w:proofErr w:type="gramEnd"/>
      <w:r>
        <w:t xml:space="preserve"> find external confirmation of his inner experiences and that ‘he (Jung) was never to cease in this quest; all his life he scrutinized mythology, Christianity, Gnosticism and alchemy.</w:t>
      </w:r>
      <w:r>
        <w:rPr>
          <w:rStyle w:val="FootnoteReference"/>
        </w:rPr>
        <w:footnoteReference w:id="23"/>
      </w:r>
      <w:r>
        <w:t xml:space="preserve"> </w:t>
      </w:r>
      <w:r w:rsidR="00650E03">
        <w:t>Jung also</w:t>
      </w:r>
      <w:r w:rsidR="00D70069">
        <w:t xml:space="preserve"> </w:t>
      </w:r>
      <w:r w:rsidR="00650E03">
        <w:t>chose to paint his mytholog</w:t>
      </w:r>
      <w:r w:rsidR="00D70069">
        <w:t>ies</w:t>
      </w:r>
      <w:r w:rsidR="00DC28F4">
        <w:t xml:space="preserve"> -</w:t>
      </w:r>
      <w:r w:rsidR="00841A66">
        <w:t xml:space="preserve"> as </w:t>
      </w:r>
      <w:r w:rsidR="00841A66" w:rsidRPr="00D70069">
        <w:rPr>
          <w:i/>
          <w:iCs/>
        </w:rPr>
        <w:t>mandala</w:t>
      </w:r>
      <w:r w:rsidR="00D70069" w:rsidRPr="00D70069">
        <w:rPr>
          <w:i/>
          <w:iCs/>
        </w:rPr>
        <w:t>s</w:t>
      </w:r>
      <w:r w:rsidR="00841A66">
        <w:t>.</w:t>
      </w:r>
      <w:r w:rsidR="003D12B4">
        <w:t xml:space="preserve"> </w:t>
      </w:r>
      <w:r w:rsidR="003D12B4">
        <w:t>In this sec</w:t>
      </w:r>
      <w:r w:rsidR="003D12B4">
        <w:t>ond harmonic</w:t>
      </w:r>
      <w:r w:rsidR="003D12B4">
        <w:t xml:space="preserve">, one Jungian mandala </w:t>
      </w:r>
      <w:proofErr w:type="gramStart"/>
      <w:r w:rsidR="003D12B4">
        <w:t>in particular will</w:t>
      </w:r>
      <w:proofErr w:type="gramEnd"/>
      <w:r w:rsidR="003D12B4">
        <w:t xml:space="preserve"> be examined – the </w:t>
      </w:r>
      <w:r w:rsidR="003D12B4">
        <w:softHyphen/>
      </w:r>
      <w:r w:rsidR="003D12B4">
        <w:rPr>
          <w:i/>
          <w:iCs/>
        </w:rPr>
        <w:t xml:space="preserve">Systema Munditotius </w:t>
      </w:r>
      <w:r w:rsidR="003D12B4">
        <w:t>(A Complete World System).</w:t>
      </w:r>
    </w:p>
    <w:p w14:paraId="59567B63" w14:textId="5881617E" w:rsidR="0024198A" w:rsidRPr="00841A66" w:rsidRDefault="00CB5D94" w:rsidP="00841A66">
      <w:pPr>
        <w:rPr>
          <w:b/>
          <w:bCs/>
        </w:rPr>
      </w:pPr>
      <w:r>
        <w:t xml:space="preserve">In his essay </w:t>
      </w:r>
      <w:r>
        <w:rPr>
          <w:i/>
          <w:iCs/>
        </w:rPr>
        <w:t xml:space="preserve">Gnostic Inner Illumination, </w:t>
      </w:r>
      <w:r>
        <w:t xml:space="preserve">John </w:t>
      </w:r>
      <w:proofErr w:type="spellStart"/>
      <w:r>
        <w:t>Pennachio</w:t>
      </w:r>
      <w:proofErr w:type="spellEnd"/>
      <w:r>
        <w:t xml:space="preserve"> states that ‘Jung’s work with his patients and his own unconscious led him to an exploration of Gnosticism’</w:t>
      </w:r>
      <w:r w:rsidR="00795AE6">
        <w:t xml:space="preserve"> and that ‘Jung understood many Gnostic images as an aspect of inner experiences in connection with individuation’.</w:t>
      </w:r>
      <w:r w:rsidR="00795AE6">
        <w:rPr>
          <w:rStyle w:val="FootnoteReference"/>
        </w:rPr>
        <w:footnoteReference w:id="24"/>
      </w:r>
      <w:r w:rsidR="00795AE6">
        <w:t xml:space="preserve"> Though the chronology of Jung’s works suggest that it was the exploration of Gnosticism which </w:t>
      </w:r>
      <w:r w:rsidR="00795AE6">
        <w:rPr>
          <w:i/>
          <w:iCs/>
        </w:rPr>
        <w:t xml:space="preserve">preceded </w:t>
      </w:r>
      <w:r w:rsidR="00795AE6">
        <w:t>its therapeutic usefulness, or was contemporaneous with it, there is a not</w:t>
      </w:r>
      <w:r w:rsidR="003D12B4">
        <w:t>eworthy</w:t>
      </w:r>
      <w:r w:rsidR="00795AE6">
        <w:t xml:space="preserve"> and visual set of representations which are evident in Jung’s work. These representations are the many and varied instances of Jung expressing his </w:t>
      </w:r>
      <w:r w:rsidR="00956234">
        <w:t xml:space="preserve">ideational </w:t>
      </w:r>
      <w:r w:rsidR="00795AE6">
        <w:t xml:space="preserve">abstractions through </w:t>
      </w:r>
      <w:r w:rsidR="00956234">
        <w:t xml:space="preserve">sketched or </w:t>
      </w:r>
      <w:r w:rsidR="00795AE6">
        <w:t xml:space="preserve">painted mandalas. </w:t>
      </w:r>
      <w:r w:rsidR="00956234">
        <w:t xml:space="preserve">As the word ‘mandala’ is Sanskrit for ‘circle’, such images are circular in aspect and often contain a multitude of nested circles in </w:t>
      </w:r>
      <w:r w:rsidR="00956234">
        <w:lastRenderedPageBreak/>
        <w:t>order to characterize the themes which the mandala is intended to convey.</w:t>
      </w:r>
      <w:r w:rsidR="00B15489">
        <w:rPr>
          <w:rStyle w:val="FootnoteReference"/>
        </w:rPr>
        <w:footnoteReference w:id="25"/>
      </w:r>
      <w:r w:rsidR="00956234">
        <w:t xml:space="preserve"> </w:t>
      </w:r>
      <w:r w:rsidR="00C2194B">
        <w:t>Donald Harms states that ‘the mandala as a psychic phenomenon is familiar to anyone who has experienced its imagery in dreams or visions; and brought into contemporary consciousness by C.G. Jung, who spent considerable time painting his own mandalas’.</w:t>
      </w:r>
      <w:r w:rsidR="00C2194B">
        <w:rPr>
          <w:rStyle w:val="FootnoteReference"/>
        </w:rPr>
        <w:footnoteReference w:id="26"/>
      </w:r>
      <w:r w:rsidR="00C2194B">
        <w:t xml:space="preserve"> </w:t>
      </w:r>
      <w:r w:rsidR="00EA2AA0">
        <w:t>An</w:t>
      </w:r>
      <w:r w:rsidR="00956234">
        <w:t xml:space="preserve"> examination of </w:t>
      </w:r>
      <w:r w:rsidR="007B5E4D">
        <w:t>the geometrical properties of the mandala</w:t>
      </w:r>
      <w:r w:rsidR="00EA2AA0">
        <w:t xml:space="preserve"> contained in the </w:t>
      </w:r>
      <w:r w:rsidR="00EA2AA0">
        <w:softHyphen/>
      </w:r>
      <w:r w:rsidR="00EA2AA0">
        <w:rPr>
          <w:i/>
          <w:iCs/>
        </w:rPr>
        <w:t>Systema Munditotius</w:t>
      </w:r>
      <w:r w:rsidR="007B5E4D">
        <w:t xml:space="preserve"> is germane to Jung’s use of this symbolism as a ‘basic motif</w:t>
      </w:r>
      <w:r w:rsidR="002C5D5F">
        <w:t>,</w:t>
      </w:r>
      <w:r w:rsidR="007B5E4D">
        <w:t xml:space="preserve"> as a premonition of a centre of personality, a kind of central point within the psyche, to which everything is related’.</w:t>
      </w:r>
      <w:r w:rsidR="007B5E4D">
        <w:rPr>
          <w:rStyle w:val="FootnoteReference"/>
        </w:rPr>
        <w:footnoteReference w:id="27"/>
      </w:r>
      <w:r w:rsidR="007B5E4D">
        <w:t xml:space="preserve"> </w:t>
      </w:r>
    </w:p>
    <w:p w14:paraId="1847A461" w14:textId="0F79E180" w:rsidR="00D14BAC" w:rsidRDefault="006925B3" w:rsidP="00CB5D94">
      <w:pPr>
        <w:spacing w:after="120" w:line="276" w:lineRule="auto"/>
      </w:pPr>
      <w:r>
        <w:t xml:space="preserve">In terms of </w:t>
      </w:r>
      <w:r w:rsidR="00EA2AA0">
        <w:t>that</w:t>
      </w:r>
      <w:r>
        <w:t xml:space="preserve"> geometric conception, Jung </w:t>
      </w:r>
      <w:r w:rsidR="00B6462F">
        <w:t xml:space="preserve">maintained – echoing the </w:t>
      </w:r>
      <w:r w:rsidR="00B6462F">
        <w:rPr>
          <w:i/>
          <w:iCs/>
        </w:rPr>
        <w:t xml:space="preserve">Enneads </w:t>
      </w:r>
      <w:r w:rsidR="00B6462F">
        <w:t>of Plotinus (ca. 205-270 CE) – that ‘the soul’s natural movement is not in a straight line; on the contrary, it circles around something interior, around a centre’.</w:t>
      </w:r>
      <w:r w:rsidR="00B6462F">
        <w:rPr>
          <w:rStyle w:val="FootnoteReference"/>
        </w:rPr>
        <w:footnoteReference w:id="28"/>
      </w:r>
      <w:r w:rsidR="00C2194B">
        <w:t xml:space="preserve"> </w:t>
      </w:r>
      <w:r w:rsidR="00730FE4">
        <w:t xml:space="preserve">The </w:t>
      </w:r>
      <w:r w:rsidR="00730FE4">
        <w:rPr>
          <w:i/>
          <w:iCs/>
        </w:rPr>
        <w:t xml:space="preserve">Systema Munditotius </w:t>
      </w:r>
      <w:r w:rsidR="00730FE4">
        <w:t xml:space="preserve">mandala comprises three nested systems with the figure of the Abraxas – as </w:t>
      </w:r>
      <w:r w:rsidR="00730FE4">
        <w:rPr>
          <w:i/>
          <w:iCs/>
        </w:rPr>
        <w:t xml:space="preserve">dominus mundi </w:t>
      </w:r>
      <w:r w:rsidR="00730FE4">
        <w:t>(Lord of the World) – in a kind of exterior nether-world</w:t>
      </w:r>
      <w:r w:rsidR="00D14BAC">
        <w:t xml:space="preserve">. </w:t>
      </w:r>
      <w:r w:rsidR="00730FE4">
        <w:t xml:space="preserve">Opposing Jung’s “Frog god” Abraxas is the “Lord of Light” – </w:t>
      </w:r>
      <w:proofErr w:type="spellStart"/>
      <w:r w:rsidR="00730FE4" w:rsidRPr="00427966">
        <w:rPr>
          <w:i/>
          <w:iCs/>
        </w:rPr>
        <w:t>Φάνης</w:t>
      </w:r>
      <w:proofErr w:type="spellEnd"/>
      <w:r w:rsidR="00730FE4">
        <w:t xml:space="preserve"> or </w:t>
      </w:r>
      <w:proofErr w:type="spellStart"/>
      <w:r w:rsidR="00730FE4">
        <w:t>Phanes</w:t>
      </w:r>
      <w:proofErr w:type="spellEnd"/>
      <w:r w:rsidR="00730FE4">
        <w:t xml:space="preserve"> </w:t>
      </w:r>
      <w:proofErr w:type="gramStart"/>
      <w:r w:rsidR="00730FE4">
        <w:t>and also</w:t>
      </w:r>
      <w:proofErr w:type="gramEnd"/>
      <w:r w:rsidR="00730FE4">
        <w:t xml:space="preserve"> </w:t>
      </w:r>
      <w:proofErr w:type="spellStart"/>
      <w:r w:rsidR="00730FE4" w:rsidRPr="00427966">
        <w:rPr>
          <w:i/>
          <w:iCs/>
        </w:rPr>
        <w:t>Ἠρικ</w:t>
      </w:r>
      <w:proofErr w:type="spellEnd"/>
      <w:r w:rsidR="00730FE4" w:rsidRPr="00427966">
        <w:rPr>
          <w:i/>
          <w:iCs/>
        </w:rPr>
        <w:t>απαῖος</w:t>
      </w:r>
      <w:r w:rsidR="00730FE4">
        <w:rPr>
          <w:i/>
          <w:iCs/>
        </w:rPr>
        <w:t xml:space="preserve"> </w:t>
      </w:r>
      <w:r w:rsidR="00730FE4">
        <w:t xml:space="preserve">or </w:t>
      </w:r>
      <w:proofErr w:type="spellStart"/>
      <w:r w:rsidR="00730FE4">
        <w:t>Erikapaios</w:t>
      </w:r>
      <w:proofErr w:type="spellEnd"/>
      <w:r w:rsidR="00730FE4">
        <w:t xml:space="preserve"> – who is the golden-winged hermaphroditic Son.</w:t>
      </w:r>
      <w:r w:rsidR="00730FE4">
        <w:rPr>
          <w:rStyle w:val="FootnoteReference"/>
        </w:rPr>
        <w:footnoteReference w:id="29"/>
      </w:r>
      <w:r w:rsidR="00D14BAC">
        <w:t xml:space="preserve"> </w:t>
      </w:r>
      <w:r w:rsidR="00D14BAC">
        <w:t>(see Appendix ‘A’).</w:t>
      </w:r>
      <w:r w:rsidR="00D14BAC">
        <w:rPr>
          <w:rStyle w:val="FootnoteReference"/>
        </w:rPr>
        <w:footnoteReference w:id="30"/>
      </w:r>
      <w:r w:rsidR="00D14BAC">
        <w:t xml:space="preserve">  </w:t>
      </w:r>
    </w:p>
    <w:p w14:paraId="5B3E4F8D" w14:textId="6FF6E449" w:rsidR="00F36ABD" w:rsidRDefault="00C2194B" w:rsidP="00CB5D94">
      <w:pPr>
        <w:spacing w:after="120" w:line="276" w:lineRule="auto"/>
      </w:pPr>
      <w:r>
        <w:t xml:space="preserve">Apparently, at the time Jung was writing the </w:t>
      </w:r>
      <w:r>
        <w:rPr>
          <w:i/>
          <w:iCs/>
        </w:rPr>
        <w:t xml:space="preserve">Sermones, </w:t>
      </w:r>
      <w:r>
        <w:t xml:space="preserve">the </w:t>
      </w:r>
      <w:r w:rsidR="00D14BAC">
        <w:t xml:space="preserve">characters and </w:t>
      </w:r>
      <w:r>
        <w:t xml:space="preserve">phenomena of the </w:t>
      </w:r>
      <w:r>
        <w:rPr>
          <w:i/>
          <w:iCs/>
        </w:rPr>
        <w:t xml:space="preserve">pleroma </w:t>
      </w:r>
      <w:r>
        <w:t xml:space="preserve">were </w:t>
      </w:r>
      <w:r w:rsidR="00B65DBB">
        <w:t xml:space="preserve">being </w:t>
      </w:r>
      <w:r>
        <w:t>drawn</w:t>
      </w:r>
      <w:r w:rsidR="00B65DBB">
        <w:t xml:space="preserve"> </w:t>
      </w:r>
      <w:r>
        <w:t>in</w:t>
      </w:r>
      <w:r w:rsidR="00B65DBB">
        <w:t>to</w:t>
      </w:r>
      <w:r>
        <w:t xml:space="preserve"> the </w:t>
      </w:r>
      <w:r w:rsidR="00EA2AA0">
        <w:softHyphen/>
      </w:r>
      <w:r w:rsidR="00EA2AA0">
        <w:rPr>
          <w:i/>
          <w:iCs/>
        </w:rPr>
        <w:t xml:space="preserve">Systema Munditotius </w:t>
      </w:r>
      <w:r w:rsidR="00EA2AA0">
        <w:t xml:space="preserve">and </w:t>
      </w:r>
      <w:r w:rsidR="00B65DBB">
        <w:t xml:space="preserve">these were placed </w:t>
      </w:r>
      <w:r w:rsidR="00EA2AA0">
        <w:t xml:space="preserve">in the </w:t>
      </w:r>
      <w:r w:rsidR="007079F3">
        <w:t>outer</w:t>
      </w:r>
      <w:r>
        <w:t xml:space="preserve"> circle </w:t>
      </w:r>
      <w:r w:rsidR="00EA2AA0">
        <w:t>in</w:t>
      </w:r>
      <w:r>
        <w:t xml:space="preserve"> which he was sketching</w:t>
      </w:r>
      <w:r w:rsidR="00B65DBB">
        <w:t xml:space="preserve"> the ‘nested worlds’</w:t>
      </w:r>
      <w:r>
        <w:t xml:space="preserve"> at the time.</w:t>
      </w:r>
      <w:r>
        <w:rPr>
          <w:rStyle w:val="FootnoteReference"/>
        </w:rPr>
        <w:footnoteReference w:id="31"/>
      </w:r>
      <w:r>
        <w:t xml:space="preserve"> </w:t>
      </w:r>
      <w:r w:rsidR="003248D1">
        <w:t>Harms describes this outermost</w:t>
      </w:r>
      <w:r>
        <w:t xml:space="preserve"> section of the circle </w:t>
      </w:r>
      <w:r w:rsidR="003248D1">
        <w:t xml:space="preserve">as </w:t>
      </w:r>
      <w:r>
        <w:t xml:space="preserve">considered by Jung </w:t>
      </w:r>
      <w:r w:rsidR="001E5492">
        <w:t>to be</w:t>
      </w:r>
      <w:r>
        <w:t xml:space="preserve"> outside of sense perception and related to the unconscious</w:t>
      </w:r>
      <w:r w:rsidR="003248D1">
        <w:t xml:space="preserve"> and is the </w:t>
      </w:r>
      <w:r w:rsidR="003248D1">
        <w:rPr>
          <w:i/>
          <w:iCs/>
        </w:rPr>
        <w:t>logos</w:t>
      </w:r>
      <w:r w:rsidR="003248D1">
        <w:t xml:space="preserve"> (reason)</w:t>
      </w:r>
      <w:r>
        <w:t>.</w:t>
      </w:r>
      <w:r w:rsidR="00B65DBB">
        <w:t xml:space="preserve"> </w:t>
      </w:r>
      <w:r w:rsidR="00D61339">
        <w:t xml:space="preserve">The innermost, </w:t>
      </w:r>
      <w:proofErr w:type="gramStart"/>
      <w:r w:rsidR="00D61339">
        <w:t>geometrically</w:t>
      </w:r>
      <w:proofErr w:type="gramEnd"/>
      <w:r w:rsidR="00D61339">
        <w:t xml:space="preserve"> and visually dense </w:t>
      </w:r>
      <w:r w:rsidR="003248D1">
        <w:t>circle constitut</w:t>
      </w:r>
      <w:r w:rsidR="001E5492">
        <w:t>es a</w:t>
      </w:r>
      <w:r w:rsidR="003248D1">
        <w:t xml:space="preserve"> similarly dense and tumultuous Self; the intermediary circle </w:t>
      </w:r>
      <w:r w:rsidR="001E5492">
        <w:t>is</w:t>
      </w:r>
      <w:r w:rsidR="003248D1">
        <w:t xml:space="preserve"> that of </w:t>
      </w:r>
      <w:r w:rsidR="003248D1" w:rsidRPr="00652B89">
        <w:rPr>
          <w:i/>
          <w:iCs/>
        </w:rPr>
        <w:t>eros</w:t>
      </w:r>
      <w:r w:rsidR="003248D1">
        <w:t>, natural love and</w:t>
      </w:r>
      <w:r w:rsidR="00652B89">
        <w:t xml:space="preserve"> </w:t>
      </w:r>
      <w:proofErr w:type="spellStart"/>
      <w:r w:rsidR="00652B89">
        <w:rPr>
          <w:i/>
          <w:iCs/>
        </w:rPr>
        <w:t>scientia</w:t>
      </w:r>
      <w:proofErr w:type="spellEnd"/>
      <w:r w:rsidR="00652B89">
        <w:rPr>
          <w:i/>
          <w:iCs/>
        </w:rPr>
        <w:t xml:space="preserve"> </w:t>
      </w:r>
      <w:r w:rsidR="00652B89">
        <w:t>(knowledge).</w:t>
      </w:r>
      <w:r w:rsidR="00652B89">
        <w:rPr>
          <w:rStyle w:val="FootnoteReference"/>
        </w:rPr>
        <w:footnoteReference w:id="32"/>
      </w:r>
      <w:r w:rsidR="003248D1">
        <w:t xml:space="preserve"> </w:t>
      </w:r>
      <w:r w:rsidR="00B65DBB">
        <w:t xml:space="preserve">It appears as if the </w:t>
      </w:r>
      <w:r w:rsidR="00B65DBB">
        <w:rPr>
          <w:i/>
          <w:iCs/>
        </w:rPr>
        <w:t xml:space="preserve">Systema Munditotius </w:t>
      </w:r>
      <w:r w:rsidR="00B65DBB">
        <w:t>is the pictorial representation of the</w:t>
      </w:r>
      <w:r w:rsidR="00730FE4">
        <w:t xml:space="preserve"> cosmos of the</w:t>
      </w:r>
      <w:r w:rsidR="00B65DBB">
        <w:t xml:space="preserve"> seven</w:t>
      </w:r>
      <w:r w:rsidR="001E5492">
        <w:t>-part</w:t>
      </w:r>
      <w:r w:rsidR="00B65DBB">
        <w:t xml:space="preserve"> </w:t>
      </w:r>
      <w:r w:rsidR="00B65DBB">
        <w:rPr>
          <w:i/>
          <w:iCs/>
        </w:rPr>
        <w:t>Sermones</w:t>
      </w:r>
      <w:r w:rsidR="001E5492">
        <w:rPr>
          <w:i/>
          <w:iCs/>
        </w:rPr>
        <w:t>.</w:t>
      </w:r>
      <w:r w:rsidR="00B65DBB">
        <w:rPr>
          <w:i/>
          <w:iCs/>
        </w:rPr>
        <w:t xml:space="preserve"> </w:t>
      </w:r>
      <w:r w:rsidR="001E5492">
        <w:t xml:space="preserve">Visually, this mandala </w:t>
      </w:r>
      <w:r w:rsidR="00B65DBB">
        <w:t>contains much of the imaginary cosmogony as depicted in the mandalas of the</w:t>
      </w:r>
      <w:r w:rsidR="00927FF3">
        <w:t xml:space="preserve"> twelfth-century</w:t>
      </w:r>
      <w:r w:rsidR="00B65DBB">
        <w:t xml:space="preserve"> mystic</w:t>
      </w:r>
      <w:r w:rsidR="00927FF3">
        <w:t xml:space="preserve"> and Benedictine</w:t>
      </w:r>
      <w:r w:rsidR="00B65DBB">
        <w:t xml:space="preserve"> abbess Hildegard of </w:t>
      </w:r>
      <w:proofErr w:type="spellStart"/>
      <w:r w:rsidR="00B65DBB">
        <w:t>Bingen</w:t>
      </w:r>
      <w:proofErr w:type="spellEnd"/>
      <w:r w:rsidR="00927FF3">
        <w:t xml:space="preserve"> (1098-1179 CE)</w:t>
      </w:r>
      <w:r w:rsidR="00B65DBB">
        <w:t xml:space="preserve">. </w:t>
      </w:r>
      <w:r w:rsidR="00927FF3">
        <w:t xml:space="preserve">It could be conjectured that Jung had some familiarity with Hildegard’s art, theology, music, and mystical revelations for there are </w:t>
      </w:r>
      <w:r w:rsidR="00927FF3">
        <w:rPr>
          <w:i/>
          <w:iCs/>
        </w:rPr>
        <w:t xml:space="preserve">seven </w:t>
      </w:r>
      <w:r w:rsidR="00927FF3">
        <w:t xml:space="preserve">references to her among seven different volumes of his </w:t>
      </w:r>
      <w:r w:rsidR="00927FF3">
        <w:rPr>
          <w:i/>
          <w:iCs/>
        </w:rPr>
        <w:t>Collected Works.</w:t>
      </w:r>
      <w:r w:rsidR="00927FF3" w:rsidRPr="000C3DB1">
        <w:rPr>
          <w:rStyle w:val="FootnoteReference"/>
        </w:rPr>
        <w:footnoteReference w:id="33"/>
      </w:r>
      <w:r w:rsidR="00425348">
        <w:rPr>
          <w:i/>
          <w:iCs/>
        </w:rPr>
        <w:t xml:space="preserve"> </w:t>
      </w:r>
      <w:r w:rsidR="00425348">
        <w:t>An argument can be put forward that Jung has not merely juxtaposed</w:t>
      </w:r>
      <w:r w:rsidR="00FB0E49">
        <w:t xml:space="preserve"> the Gnostic symbols of the </w:t>
      </w:r>
      <w:r w:rsidR="00FB0E49">
        <w:rPr>
          <w:i/>
          <w:iCs/>
        </w:rPr>
        <w:t xml:space="preserve">Sermones </w:t>
      </w:r>
      <w:r w:rsidR="00FB0E49">
        <w:t xml:space="preserve">into his mandalas – especially the </w:t>
      </w:r>
      <w:r w:rsidR="00FB0E49">
        <w:rPr>
          <w:i/>
          <w:iCs/>
        </w:rPr>
        <w:t xml:space="preserve">Systema Munditotius – </w:t>
      </w:r>
      <w:r w:rsidR="00FB0E49">
        <w:t xml:space="preserve">but has demonstrated an artistic and cosmogonic synthesis which pulls together Gnostic themes, the Medieval scholasticism of </w:t>
      </w:r>
      <w:r w:rsidR="00FB0E49">
        <w:lastRenderedPageBreak/>
        <w:t xml:space="preserve">Hildegard’s period, and his notions of where the </w:t>
      </w:r>
      <w:r w:rsidR="001E5492">
        <w:t>S</w:t>
      </w:r>
      <w:r w:rsidR="00FB0E49">
        <w:t xml:space="preserve">elf is centred and where the ultimate refuge is for the unconscious. To illustrate this point, in </w:t>
      </w:r>
      <w:r w:rsidR="00FB0E49">
        <w:rPr>
          <w:i/>
          <w:iCs/>
        </w:rPr>
        <w:t xml:space="preserve">Concerning Mandala Symbolism, </w:t>
      </w:r>
      <w:r w:rsidR="00FB0E49">
        <w:t xml:space="preserve">Jung provides no less than fifty-four examples of mandalas from a variety of his analysands and from cultures </w:t>
      </w:r>
      <w:r w:rsidR="00B54C8A">
        <w:t>spanning</w:t>
      </w:r>
      <w:r w:rsidR="00FB0E49">
        <w:t xml:space="preserve"> Egypt to the Navajo to the great rose windows of the Gothic cathedrals</w:t>
      </w:r>
      <w:r w:rsidR="000754F8">
        <w:t>.</w:t>
      </w:r>
      <w:r w:rsidR="00B54C8A">
        <w:t xml:space="preserve"> </w:t>
      </w:r>
      <w:r w:rsidR="000754F8">
        <w:t>Moreover, Jung</w:t>
      </w:r>
      <w:r w:rsidR="00B54C8A">
        <w:t xml:space="preserve"> connects these to the sacred geometry of antiquity</w:t>
      </w:r>
      <w:r w:rsidR="000754F8">
        <w:t xml:space="preserve"> (e.g., squaring the circle)</w:t>
      </w:r>
      <w:r w:rsidR="005647A5">
        <w:t xml:space="preserve"> and to Hildegard of </w:t>
      </w:r>
      <w:proofErr w:type="spellStart"/>
      <w:r w:rsidR="005647A5">
        <w:t>Bingen</w:t>
      </w:r>
      <w:proofErr w:type="spellEnd"/>
      <w:r w:rsidR="000754F8">
        <w:t xml:space="preserve"> herself</w:t>
      </w:r>
      <w:r w:rsidR="00FB0E49">
        <w:t>.</w:t>
      </w:r>
      <w:r w:rsidR="005647A5">
        <w:rPr>
          <w:rStyle w:val="FootnoteReference"/>
        </w:rPr>
        <w:footnoteReference w:id="34"/>
      </w:r>
      <w:r w:rsidR="00FB0E49">
        <w:t xml:space="preserve"> </w:t>
      </w:r>
      <w:r w:rsidR="00B54C8A">
        <w:t>In his own words:</w:t>
      </w:r>
    </w:p>
    <w:p w14:paraId="1F950196" w14:textId="5E4DF798" w:rsidR="00B54C8A" w:rsidRDefault="00B54C8A" w:rsidP="00B54C8A">
      <w:pPr>
        <w:spacing w:after="0"/>
      </w:pPr>
      <w:r>
        <w:tab/>
        <w:t xml:space="preserve">There are innumerable variants of the motif shown here, but they are all based on the </w:t>
      </w:r>
    </w:p>
    <w:p w14:paraId="70206B7E" w14:textId="37703BBA" w:rsidR="00B54C8A" w:rsidRDefault="00B54C8A" w:rsidP="00B54C8A">
      <w:pPr>
        <w:spacing w:after="0"/>
      </w:pPr>
      <w:r>
        <w:tab/>
        <w:t>squaring of the circle. Their basic motif is the premonition of a centre of personality, a</w:t>
      </w:r>
    </w:p>
    <w:p w14:paraId="67B00D6F" w14:textId="0B3E1F1F" w:rsidR="00B54C8A" w:rsidRDefault="00B54C8A" w:rsidP="00B54C8A">
      <w:pPr>
        <w:spacing w:after="0"/>
      </w:pPr>
      <w:r>
        <w:tab/>
        <w:t>kind of central point within the psyche, to which everything is related, by which everything</w:t>
      </w:r>
    </w:p>
    <w:p w14:paraId="693CAB9F" w14:textId="060AE6E8" w:rsidR="00B54C8A" w:rsidRDefault="00B54C8A" w:rsidP="00B54C8A">
      <w:pPr>
        <w:spacing w:after="0"/>
      </w:pPr>
      <w:r>
        <w:tab/>
        <w:t>is arranged, and which is itself a source of energy. The energy of the central point is</w:t>
      </w:r>
    </w:p>
    <w:p w14:paraId="27304714" w14:textId="55C6DEDE" w:rsidR="005647A5" w:rsidRDefault="00B54C8A" w:rsidP="001E5492">
      <w:pPr>
        <w:spacing w:after="120"/>
        <w:ind w:left="720"/>
      </w:pPr>
      <w:r>
        <w:t xml:space="preserve">manifested in the almost irresistible compulsion and urge to </w:t>
      </w:r>
      <w:r>
        <w:rPr>
          <w:i/>
          <w:iCs/>
        </w:rPr>
        <w:t xml:space="preserve">become what one is, </w:t>
      </w:r>
      <w:r>
        <w:t>just as every organism is driven to assume the form that is characteristic of its nature.</w:t>
      </w:r>
      <w:r>
        <w:rPr>
          <w:rStyle w:val="FootnoteReference"/>
        </w:rPr>
        <w:footnoteReference w:id="35"/>
      </w:r>
    </w:p>
    <w:p w14:paraId="3315FE6A" w14:textId="6832EDA1" w:rsidR="00962C71" w:rsidRPr="00CB7D40" w:rsidRDefault="005647A5" w:rsidP="001E5492">
      <w:pPr>
        <w:spacing w:after="120" w:line="276" w:lineRule="auto"/>
      </w:pPr>
      <w:r w:rsidRPr="005647A5">
        <w:t xml:space="preserve">Jung was </w:t>
      </w:r>
      <w:r>
        <w:t>‘astonished to see how these symbols are governed by the same fundamental laws observed in individual mandalas</w:t>
      </w:r>
      <w:r w:rsidR="00A718CC">
        <w:t>, and are driven to the conclusion that there must be a transconscious disposition in every individual … [to] produce very similar symbols at all times and in all places…</w:t>
      </w:r>
      <w:r w:rsidR="00BB73FA">
        <w:t>I</w:t>
      </w:r>
      <w:r w:rsidR="00A718CC">
        <w:t xml:space="preserve"> postulate </w:t>
      </w:r>
      <w:r w:rsidR="00C86CFF">
        <w:t xml:space="preserve">the existence of primordial images, the </w:t>
      </w:r>
      <w:r w:rsidR="00C86CFF">
        <w:rPr>
          <w:i/>
          <w:iCs/>
        </w:rPr>
        <w:t>archetypes.</w:t>
      </w:r>
      <w:r w:rsidR="00C86CFF" w:rsidRPr="00520EF6">
        <w:rPr>
          <w:rStyle w:val="FootnoteReference"/>
        </w:rPr>
        <w:footnoteReference w:id="36"/>
      </w:r>
      <w:r w:rsidR="002810F5">
        <w:rPr>
          <w:i/>
          <w:iCs/>
        </w:rPr>
        <w:t xml:space="preserve"> </w:t>
      </w:r>
      <w:r w:rsidR="00962C71">
        <w:t xml:space="preserve">In the metaphor of the harmonics, the mandala </w:t>
      </w:r>
      <w:r w:rsidR="00104372">
        <w:t>acts as a</w:t>
      </w:r>
      <w:r w:rsidR="00962C71">
        <w:t xml:space="preserve"> representation of the cosmic realm of the psyche </w:t>
      </w:r>
      <w:r w:rsidR="00BB73FA">
        <w:t xml:space="preserve">and </w:t>
      </w:r>
      <w:r w:rsidR="00962C71">
        <w:t xml:space="preserve">are to be considered as imaginative, elegantly drawn </w:t>
      </w:r>
      <w:r w:rsidR="00962C71">
        <w:rPr>
          <w:i/>
          <w:iCs/>
        </w:rPr>
        <w:t xml:space="preserve">overtones </w:t>
      </w:r>
      <w:r w:rsidR="00232149">
        <w:t>of Gnostic themes</w:t>
      </w:r>
      <w:r w:rsidR="00BB73FA">
        <w:t xml:space="preserve">. </w:t>
      </w:r>
      <w:r w:rsidR="00104372">
        <w:t>A</w:t>
      </w:r>
      <w:r w:rsidR="00BB73FA">
        <w:t>n overtone</w:t>
      </w:r>
      <w:r w:rsidR="00104372">
        <w:t xml:space="preserve"> such as </w:t>
      </w:r>
      <w:r w:rsidR="00104372">
        <w:t xml:space="preserve">the </w:t>
      </w:r>
      <w:r w:rsidR="00104372">
        <w:rPr>
          <w:i/>
          <w:iCs/>
        </w:rPr>
        <w:t>Systema Munditotius</w:t>
      </w:r>
      <w:r w:rsidR="00BB73FA">
        <w:t>, however, is</w:t>
      </w:r>
      <w:r w:rsidR="00232149">
        <w:t xml:space="preserve"> </w:t>
      </w:r>
      <w:r w:rsidR="00104372">
        <w:t xml:space="preserve">deemed </w:t>
      </w:r>
      <w:r w:rsidR="00232149">
        <w:t>rooted firmly in the</w:t>
      </w:r>
      <w:r w:rsidR="00104372">
        <w:t xml:space="preserve"> tone of the</w:t>
      </w:r>
      <w:r w:rsidR="00232149">
        <w:t xml:space="preserve"> </w:t>
      </w:r>
      <w:r w:rsidR="00232149">
        <w:rPr>
          <w:i/>
          <w:iCs/>
        </w:rPr>
        <w:t>Septem Sermones ad Mortuos</w:t>
      </w:r>
      <w:r w:rsidR="00BB73FA">
        <w:rPr>
          <w:i/>
          <w:iCs/>
        </w:rPr>
        <w:t xml:space="preserve">, </w:t>
      </w:r>
      <w:r w:rsidR="00BB73FA">
        <w:t>the teachings of Basilides, and paints</w:t>
      </w:r>
      <w:r w:rsidR="00386D81">
        <w:t xml:space="preserve"> three gnostic ‘chronological worlds’ which are the three eras of human experience</w:t>
      </w:r>
      <w:r w:rsidR="00962C71">
        <w:rPr>
          <w:i/>
          <w:iCs/>
        </w:rPr>
        <w:t>.</w:t>
      </w:r>
      <w:r w:rsidR="00386D81" w:rsidRPr="00104372">
        <w:rPr>
          <w:rStyle w:val="FootnoteReference"/>
        </w:rPr>
        <w:footnoteReference w:id="37"/>
      </w:r>
      <w:r w:rsidR="00232149" w:rsidRPr="00104372">
        <w:t xml:space="preserve"> </w:t>
      </w:r>
      <w:r w:rsidR="00962C71" w:rsidRPr="00104372">
        <w:t xml:space="preserve"> </w:t>
      </w:r>
    </w:p>
    <w:p w14:paraId="0ADF2901" w14:textId="7AD0203C" w:rsidR="00DE3A4F" w:rsidRDefault="00AF6D56" w:rsidP="00585522">
      <w:pPr>
        <w:spacing w:after="120" w:line="276" w:lineRule="auto"/>
        <w:rPr>
          <w:b/>
          <w:bCs/>
        </w:rPr>
      </w:pPr>
      <w:r>
        <w:rPr>
          <w:b/>
          <w:bCs/>
        </w:rPr>
        <w:t>Concluding Remarks</w:t>
      </w:r>
    </w:p>
    <w:p w14:paraId="6D8378AC" w14:textId="4160F1F3" w:rsidR="00AF6D56" w:rsidRPr="00302488" w:rsidRDefault="00476570" w:rsidP="00585522">
      <w:pPr>
        <w:spacing w:after="120" w:line="276" w:lineRule="auto"/>
      </w:pPr>
      <w:r>
        <w:t>This essay respond</w:t>
      </w:r>
      <w:r>
        <w:t>ed</w:t>
      </w:r>
      <w:r>
        <w:t xml:space="preserve"> to the question, ‘does the work of C.G. Jung contain Gnostic overtones?’</w:t>
      </w:r>
      <w:r>
        <w:t xml:space="preserve"> by juxtaposing </w:t>
      </w:r>
      <w:r w:rsidR="00DB261F">
        <w:t xml:space="preserve">two works: </w:t>
      </w:r>
      <w:r>
        <w:t>a</w:t>
      </w:r>
      <w:r w:rsidR="00D02E26">
        <w:t xml:space="preserve"> </w:t>
      </w:r>
      <w:r>
        <w:t>literary mythology of C.G. Jung</w:t>
      </w:r>
      <w:r w:rsidR="00792E9A">
        <w:t xml:space="preserve">, </w:t>
      </w:r>
      <w:r>
        <w:t xml:space="preserve">the </w:t>
      </w:r>
      <w:r>
        <w:rPr>
          <w:i/>
          <w:iCs/>
        </w:rPr>
        <w:t>Septem Sermones ad Mortuo</w:t>
      </w:r>
      <w:r w:rsidR="00D02E26">
        <w:rPr>
          <w:i/>
          <w:iCs/>
        </w:rPr>
        <w:t>s</w:t>
      </w:r>
      <w:r w:rsidR="00792E9A">
        <w:rPr>
          <w:i/>
          <w:iCs/>
        </w:rPr>
        <w:t xml:space="preserve"> </w:t>
      </w:r>
      <w:proofErr w:type="gramStart"/>
      <w:r w:rsidR="00792E9A">
        <w:rPr>
          <w:i/>
          <w:iCs/>
        </w:rPr>
        <w:t>and</w:t>
      </w:r>
      <w:r w:rsidR="00DB261F">
        <w:t>;</w:t>
      </w:r>
      <w:proofErr w:type="gramEnd"/>
      <w:r w:rsidR="00DB261F">
        <w:t xml:space="preserve"> </w:t>
      </w:r>
      <w:r w:rsidR="00D02E26">
        <w:t xml:space="preserve">a </w:t>
      </w:r>
      <w:r w:rsidR="008F23F7">
        <w:t>corresponding</w:t>
      </w:r>
      <w:r w:rsidR="00D02E26">
        <w:t xml:space="preserve"> Jungian example of the geometrical artform of the mandala – his </w:t>
      </w:r>
      <w:r w:rsidR="00D02E26">
        <w:rPr>
          <w:i/>
          <w:iCs/>
        </w:rPr>
        <w:t xml:space="preserve">Systema Munditotius. </w:t>
      </w:r>
      <w:r w:rsidR="00D02E26">
        <w:t>These two complementary</w:t>
      </w:r>
      <w:r w:rsidR="00C50EF5">
        <w:t xml:space="preserve"> and contemporaneous</w:t>
      </w:r>
      <w:r w:rsidR="00D02E26">
        <w:t xml:space="preserve"> works of Jung</w:t>
      </w:r>
      <w:r>
        <w:t xml:space="preserve"> </w:t>
      </w:r>
      <w:r w:rsidR="00D02E26">
        <w:t xml:space="preserve">were described metaphorically </w:t>
      </w:r>
      <w:r>
        <w:t xml:space="preserve">as </w:t>
      </w:r>
      <w:r w:rsidRPr="002F473A">
        <w:rPr>
          <w:i/>
          <w:iCs/>
        </w:rPr>
        <w:t>harmonics</w:t>
      </w:r>
      <w:r w:rsidR="00BD4F0E">
        <w:rPr>
          <w:i/>
          <w:iCs/>
        </w:rPr>
        <w:t>,</w:t>
      </w:r>
      <w:r w:rsidR="00D02E26">
        <w:rPr>
          <w:i/>
          <w:iCs/>
        </w:rPr>
        <w:t xml:space="preserve"> </w:t>
      </w:r>
      <w:r w:rsidR="00D02E26">
        <w:rPr>
          <w:i/>
          <w:iCs/>
        </w:rPr>
        <w:softHyphen/>
      </w:r>
      <w:r w:rsidR="00D02E26">
        <w:t>imply</w:t>
      </w:r>
      <w:r w:rsidR="00BD4F0E">
        <w:t>ing</w:t>
      </w:r>
      <w:r w:rsidR="00D02E26">
        <w:t xml:space="preserve"> that there exists in them a</w:t>
      </w:r>
      <w:r w:rsidR="00C50EF5">
        <w:t xml:space="preserve">n appeal to </w:t>
      </w:r>
      <w:r w:rsidR="008F23F7">
        <w:t>some</w:t>
      </w:r>
      <w:r w:rsidR="00D02E26">
        <w:t xml:space="preserve"> foundational theme</w:t>
      </w:r>
      <w:r w:rsidR="00C50EF5">
        <w:t>. That foundational theme is Jung’s use of Gnostic motifs</w:t>
      </w:r>
      <w:r w:rsidR="00BD4F0E">
        <w:t xml:space="preserve"> and </w:t>
      </w:r>
      <w:r w:rsidR="00BD4F0E">
        <w:t xml:space="preserve">is </w:t>
      </w:r>
      <w:r w:rsidR="00BD4F0E">
        <w:rPr>
          <w:i/>
          <w:iCs/>
        </w:rPr>
        <w:t xml:space="preserve">not </w:t>
      </w:r>
      <w:r w:rsidR="00BD4F0E">
        <w:t>a claim that Jung himself was a gnostic nor ever considered himself as so</w:t>
      </w:r>
      <w:r w:rsidR="00C50EF5">
        <w:t>.</w:t>
      </w:r>
      <w:r w:rsidR="00BD4F0E">
        <w:t xml:space="preserve"> It is preferred that Jung demonstrated an orientation to Gnostic themes and </w:t>
      </w:r>
      <w:r w:rsidR="00302488">
        <w:t>this is made evident in the two works examined here</w:t>
      </w:r>
      <w:r w:rsidR="00BD4F0E">
        <w:t>.</w:t>
      </w:r>
      <w:r w:rsidR="00463661">
        <w:t xml:space="preserve"> </w:t>
      </w:r>
      <w:r w:rsidR="00A85079">
        <w:t>In</w:t>
      </w:r>
      <w:r w:rsidR="00515CFF">
        <w:t xml:space="preserve"> the musical metaphor</w:t>
      </w:r>
      <w:r w:rsidR="00515CFF">
        <w:t>,</w:t>
      </w:r>
      <w:r w:rsidR="00515CFF">
        <w:t xml:space="preserve"> </w:t>
      </w:r>
      <w:r w:rsidR="00515CFF">
        <w:t>t</w:t>
      </w:r>
      <w:r w:rsidR="00463661">
        <w:t xml:space="preserve">he </w:t>
      </w:r>
      <w:r w:rsidR="00463661">
        <w:rPr>
          <w:i/>
          <w:iCs/>
        </w:rPr>
        <w:t xml:space="preserve">tone, </w:t>
      </w:r>
      <w:r w:rsidR="00463661">
        <w:t xml:space="preserve">or fundamental </w:t>
      </w:r>
      <w:r w:rsidR="00A85079">
        <w:t>frequency (harmonic)</w:t>
      </w:r>
      <w:r w:rsidR="00DB261F">
        <w:t xml:space="preserve"> is the </w:t>
      </w:r>
      <w:r w:rsidR="00DB261F">
        <w:rPr>
          <w:i/>
          <w:iCs/>
        </w:rPr>
        <w:t xml:space="preserve">Septem Sermones; </w:t>
      </w:r>
      <w:r w:rsidR="00DB261F">
        <w:t xml:space="preserve">the second harmonic, or </w:t>
      </w:r>
      <w:r w:rsidR="00DB261F" w:rsidRPr="00A85079">
        <w:rPr>
          <w:i/>
          <w:iCs/>
        </w:rPr>
        <w:t>overtone</w:t>
      </w:r>
      <w:r w:rsidR="00DB261F">
        <w:t xml:space="preserve">, is the illustration </w:t>
      </w:r>
      <w:r w:rsidR="00A85079">
        <w:t>and</w:t>
      </w:r>
      <w:r w:rsidR="00DB261F">
        <w:t xml:space="preserve"> pictorial representation </w:t>
      </w:r>
      <w:r w:rsidR="00DB261F" w:rsidRPr="00A85079">
        <w:rPr>
          <w:i/>
          <w:iCs/>
        </w:rPr>
        <w:t>of</w:t>
      </w:r>
      <w:r w:rsidR="00DB261F">
        <w:t xml:space="preserve"> that fundamental frequency and characterizes the </w:t>
      </w:r>
      <w:r w:rsidR="00A85079">
        <w:t xml:space="preserve">structure and characters in the </w:t>
      </w:r>
      <w:r w:rsidR="00DB261F">
        <w:t xml:space="preserve">mandala </w:t>
      </w:r>
      <w:r w:rsidR="00DB261F">
        <w:rPr>
          <w:i/>
          <w:iCs/>
        </w:rPr>
        <w:t>Systema Munditotius.</w:t>
      </w:r>
    </w:p>
    <w:p w14:paraId="1190BE17" w14:textId="664DCCD6" w:rsidR="00B144B7" w:rsidRDefault="001060EE" w:rsidP="009C193E">
      <w:pPr>
        <w:spacing w:after="120" w:line="276" w:lineRule="auto"/>
      </w:pPr>
      <w:r>
        <w:t xml:space="preserve">By situating the origin of the </w:t>
      </w:r>
      <w:r>
        <w:rPr>
          <w:i/>
          <w:iCs/>
        </w:rPr>
        <w:t>Septem Sermones</w:t>
      </w:r>
      <w:r>
        <w:rPr>
          <w:i/>
          <w:iCs/>
        </w:rPr>
        <w:t xml:space="preserve"> </w:t>
      </w:r>
      <w:r>
        <w:t xml:space="preserve">at the cultural, philosophical, and cosmological crossroads of Alexandria in Egypt and adopting pseudonymously as </w:t>
      </w:r>
      <w:r w:rsidR="00BB3F46">
        <w:t>the</w:t>
      </w:r>
      <w:r>
        <w:t xml:space="preserve"> “teacher” the character of Basilides, Jung explicitly</w:t>
      </w:r>
      <w:r w:rsidR="00BB3F46">
        <w:t xml:space="preserve"> addresses</w:t>
      </w:r>
      <w:r>
        <w:t xml:space="preserve"> both the living</w:t>
      </w:r>
      <w:r w:rsidR="00046178">
        <w:t xml:space="preserve"> (us?)</w:t>
      </w:r>
      <w:r>
        <w:t xml:space="preserve"> and the dead</w:t>
      </w:r>
      <w:r w:rsidR="00046178">
        <w:t xml:space="preserve"> (us?)</w:t>
      </w:r>
      <w:r>
        <w:t xml:space="preserve"> through Gnostic </w:t>
      </w:r>
      <w:r w:rsidRPr="00302488">
        <w:t>motifs</w:t>
      </w:r>
      <w:r w:rsidR="00046178">
        <w:t xml:space="preserve">. If the notion of motif is interpreted as imagery which is decorative, </w:t>
      </w:r>
      <w:r w:rsidR="004728A6">
        <w:t>intentionally</w:t>
      </w:r>
      <w:r w:rsidR="00046178">
        <w:t xml:space="preserve"> designed, or recurs in </w:t>
      </w:r>
      <w:r w:rsidR="00046178">
        <w:lastRenderedPageBreak/>
        <w:t xml:space="preserve">different forms </w:t>
      </w:r>
      <w:r w:rsidR="004728A6">
        <w:t>it is proposed</w:t>
      </w:r>
      <w:r w:rsidR="00046178">
        <w:t xml:space="preserve"> that the </w:t>
      </w:r>
      <w:r w:rsidR="00046178">
        <w:rPr>
          <w:i/>
          <w:iCs/>
        </w:rPr>
        <w:t>Systema Munditotius</w:t>
      </w:r>
      <w:r w:rsidR="00046178">
        <w:rPr>
          <w:i/>
          <w:iCs/>
        </w:rPr>
        <w:t xml:space="preserve"> </w:t>
      </w:r>
      <w:r w:rsidR="00046178">
        <w:t xml:space="preserve">provides a non-Euclidean </w:t>
      </w:r>
      <w:r w:rsidR="00302488">
        <w:t xml:space="preserve">instance of </w:t>
      </w:r>
      <w:r w:rsidR="004728A6">
        <w:t xml:space="preserve">a </w:t>
      </w:r>
      <w:r w:rsidR="00046178">
        <w:t>numinous artform</w:t>
      </w:r>
      <w:r w:rsidR="00302488">
        <w:t xml:space="preserve"> -</w:t>
      </w:r>
      <w:r w:rsidR="00046178">
        <w:t xml:space="preserve"> </w:t>
      </w:r>
      <w:r w:rsidR="008F43CA">
        <w:t xml:space="preserve">a Gnostic </w:t>
      </w:r>
      <w:r w:rsidR="008F43CA">
        <w:rPr>
          <w:i/>
          <w:iCs/>
        </w:rPr>
        <w:t xml:space="preserve">heuristic </w:t>
      </w:r>
      <w:r w:rsidR="008F43CA">
        <w:t xml:space="preserve">device. </w:t>
      </w:r>
      <w:r w:rsidR="00212155">
        <w:t>I</w:t>
      </w:r>
      <w:r w:rsidR="008F43CA">
        <w:t xml:space="preserve">f the two works examined here are viewed as complementary and indistinguishable from one another, there is an expectation of </w:t>
      </w:r>
      <w:r w:rsidR="006B1561">
        <w:t xml:space="preserve">synthesis and </w:t>
      </w:r>
      <w:r w:rsidR="008F43CA">
        <w:t>harmony; the tone and the overtone are heard (and</w:t>
      </w:r>
      <w:r w:rsidR="00212155">
        <w:t>/or</w:t>
      </w:r>
      <w:r w:rsidR="008F43CA">
        <w:t xml:space="preserve"> seen) together</w:t>
      </w:r>
      <w:r w:rsidR="006B1561">
        <w:t xml:space="preserve"> as one in both time and space. Only C.G. Jung knows if these works are truly Gnostic in origin a</w:t>
      </w:r>
      <w:r w:rsidR="004728A6">
        <w:t>nd embedded in</w:t>
      </w:r>
      <w:r w:rsidR="00212155">
        <w:t xml:space="preserve"> a new era of</w:t>
      </w:r>
      <w:r w:rsidR="006B1561">
        <w:t xml:space="preserve"> </w:t>
      </w:r>
      <w:r w:rsidR="006B1561">
        <w:rPr>
          <w:i/>
          <w:iCs/>
        </w:rPr>
        <w:t>gnosis</w:t>
      </w:r>
      <w:r w:rsidR="006B1561">
        <w:t xml:space="preserve">. We are left </w:t>
      </w:r>
      <w:r w:rsidR="009C193E">
        <w:t>with the speculat</w:t>
      </w:r>
      <w:r w:rsidR="00A43830">
        <w:t xml:space="preserve">ive task </w:t>
      </w:r>
      <w:r w:rsidR="009C193E">
        <w:t>of deciding among tones and overtones.</w:t>
      </w:r>
      <w:r w:rsidR="006B1561">
        <w:t xml:space="preserve"> </w:t>
      </w:r>
    </w:p>
    <w:p w14:paraId="20B09B22" w14:textId="77777777" w:rsidR="004728A6" w:rsidRDefault="004728A6" w:rsidP="007B3857">
      <w:pPr>
        <w:jc w:val="center"/>
        <w:rPr>
          <w:b/>
          <w:bCs/>
          <w:u w:val="single"/>
        </w:rPr>
      </w:pPr>
    </w:p>
    <w:p w14:paraId="48F6415F" w14:textId="51B826AD" w:rsidR="00216A2B" w:rsidRPr="005A7A17" w:rsidRDefault="005A7A17" w:rsidP="007B3857">
      <w:pPr>
        <w:jc w:val="center"/>
      </w:pPr>
      <w:r w:rsidRPr="005A7A17">
        <w:rPr>
          <w:b/>
          <w:bCs/>
          <w:u w:val="single"/>
        </w:rPr>
        <w:t>References</w:t>
      </w:r>
    </w:p>
    <w:p w14:paraId="21F3122D" w14:textId="77777777" w:rsidR="007B3857" w:rsidRDefault="007B3857" w:rsidP="007B3857">
      <w:pPr>
        <w:rPr>
          <w:b/>
          <w:bCs/>
        </w:rPr>
      </w:pPr>
    </w:p>
    <w:p w14:paraId="050D0E7C" w14:textId="77777777" w:rsidR="007B3857" w:rsidRDefault="007B3857" w:rsidP="007B3857">
      <w:pPr>
        <w:rPr>
          <w:rFonts w:ascii="Times New Roman" w:eastAsia="Times New Roman" w:hAnsi="Times New Roman" w:cs="Times New Roman"/>
          <w:sz w:val="24"/>
          <w:szCs w:val="24"/>
          <w:lang w:eastAsia="en-CA"/>
        </w:rPr>
      </w:pPr>
      <w:r>
        <w:t xml:space="preserve">Brenner, E.M., ‘Gnosticism and Psychology: Jung’s </w:t>
      </w:r>
      <w:r w:rsidRPr="00747C27">
        <w:t>Septem Sermones ad Mortuos</w:t>
      </w:r>
      <w:r>
        <w:t>’</w:t>
      </w:r>
      <w:r>
        <w:rPr>
          <w:i/>
          <w:iCs/>
        </w:rPr>
        <w:t xml:space="preserve">, Journal of Analytical Psychology, </w:t>
      </w:r>
      <w:r>
        <w:t xml:space="preserve">35 (4) (1990), pp. 397-419. </w:t>
      </w:r>
      <w:hyperlink r:id="rId7" w:history="1">
        <w:r w:rsidRPr="00FF0CF4">
          <w:rPr>
            <w:rFonts w:eastAsia="Times New Roman" w:cstheme="minorHAnsi"/>
            <w:color w:val="0000FF"/>
            <w:sz w:val="20"/>
            <w:szCs w:val="20"/>
            <w:u w:val="single"/>
            <w:lang w:eastAsia="en-CA"/>
          </w:rPr>
          <w:t>https://doi.org/10.1111/j.1465-5922.1990.00397.x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CA"/>
        </w:rPr>
        <w:t xml:space="preserve"> .</w:t>
      </w:r>
    </w:p>
    <w:p w14:paraId="60F15F1F" w14:textId="77777777" w:rsidR="007B3857" w:rsidRPr="004D513B" w:rsidRDefault="007B3857" w:rsidP="007B3857">
      <w:r w:rsidRPr="004D513B">
        <w:rPr>
          <w:rFonts w:eastAsia="Times New Roman" w:cstheme="minorHAnsi"/>
          <w:lang w:eastAsia="en-CA"/>
        </w:rPr>
        <w:t xml:space="preserve">Clendenen, Avis, ‘Encounter with the Unconscious: Hildegard in Jung’, </w:t>
      </w:r>
      <w:r w:rsidRPr="004D513B"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 w:rsidRPr="004D513B">
        <w:rPr>
          <w:rFonts w:eastAsia="Times New Roman" w:cstheme="minorHAnsi"/>
          <w:lang w:eastAsia="en-CA"/>
        </w:rPr>
        <w:t>3 (1) (2009), pp. 39-56.</w:t>
      </w:r>
      <w:r w:rsidRPr="004D513B">
        <w:t xml:space="preserve"> </w:t>
      </w:r>
    </w:p>
    <w:p w14:paraId="26DB0B52" w14:textId="77777777" w:rsidR="007B3857" w:rsidRPr="0096471D" w:rsidRDefault="007B3857" w:rsidP="007B3857">
      <w:pPr>
        <w:rPr>
          <w:rFonts w:cstheme="minorHAnsi"/>
          <w:i/>
          <w:iCs/>
        </w:rPr>
      </w:pPr>
      <w:r w:rsidRPr="0096471D">
        <w:rPr>
          <w:rFonts w:cstheme="minorHAnsi"/>
        </w:rPr>
        <w:t>Costello, Priscilla A.</w:t>
      </w:r>
      <w:r>
        <w:rPr>
          <w:rFonts w:cstheme="minorHAnsi"/>
        </w:rPr>
        <w:t>,</w:t>
      </w:r>
      <w:r w:rsidRPr="0096471D">
        <w:rPr>
          <w:rFonts w:cstheme="minorHAnsi"/>
        </w:rPr>
        <w:t xml:space="preserve"> ‘Gnosticism then and Now: From the First Centuries A.D. to the Psychology of C. G. Jung’, </w:t>
      </w:r>
      <w:r>
        <w:rPr>
          <w:rFonts w:eastAsia="Times New Roman" w:cstheme="minorHAnsi"/>
          <w:lang w:eastAsia="en-CA"/>
        </w:rPr>
        <w:t xml:space="preserve">(unpublished doctoral thesis, Toronto ON: </w:t>
      </w:r>
      <w:r w:rsidRPr="0096471D">
        <w:rPr>
          <w:rFonts w:cstheme="minorHAnsi"/>
        </w:rPr>
        <w:t>York University, 1993</w:t>
      </w:r>
      <w:r>
        <w:rPr>
          <w:rFonts w:cstheme="minorHAnsi"/>
        </w:rPr>
        <w:t>)</w:t>
      </w:r>
      <w:r w:rsidRPr="0096471D">
        <w:rPr>
          <w:rFonts w:cstheme="minorHAnsi"/>
          <w:i/>
          <w:iCs/>
        </w:rPr>
        <w:t>. ProQuest</w:t>
      </w:r>
      <w:r w:rsidRPr="0096471D">
        <w:rPr>
          <w:rFonts w:cstheme="minorHAnsi"/>
        </w:rPr>
        <w:t xml:space="preserve">, </w:t>
      </w:r>
      <w:hyperlink r:id="rId8" w:tgtFrame="_blank" w:history="1">
        <w:r w:rsidRPr="00FF0CF4">
          <w:rPr>
            <w:rStyle w:val="Hyperlink"/>
            <w:rFonts w:cstheme="minorHAnsi"/>
            <w:color w:val="0000FF"/>
            <w:sz w:val="20"/>
            <w:szCs w:val="20"/>
          </w:rPr>
          <w:t>https://www.proquest.com/dissertations-theses/gnosticism-then-now-first-centuries-d-psychology/docview/304067910/se-2?accountid=130472</w:t>
        </w:r>
      </w:hyperlink>
      <w:r w:rsidRPr="00FF0CF4">
        <w:rPr>
          <w:rFonts w:cstheme="minorHAnsi"/>
          <w:color w:val="555555"/>
          <w:sz w:val="20"/>
          <w:szCs w:val="20"/>
        </w:rPr>
        <w:t>.</w:t>
      </w:r>
      <w:r>
        <w:rPr>
          <w:rFonts w:ascii="Verdana" w:hAnsi="Verdana"/>
          <w:color w:val="555555"/>
          <w:sz w:val="18"/>
          <w:szCs w:val="18"/>
        </w:rPr>
        <w:t> </w:t>
      </w:r>
    </w:p>
    <w:p w14:paraId="3C4E0136" w14:textId="77777777" w:rsidR="007B3857" w:rsidRDefault="007B3857" w:rsidP="007B3857">
      <w:pPr>
        <w:spacing w:after="120"/>
      </w:pPr>
      <w:bookmarkStart w:id="1" w:name="_Hlk88671480"/>
      <w:proofErr w:type="spellStart"/>
      <w:r>
        <w:t>Dehing</w:t>
      </w:r>
      <w:proofErr w:type="spellEnd"/>
      <w:r>
        <w:t xml:space="preserve">, </w:t>
      </w:r>
      <w:proofErr w:type="spellStart"/>
      <w:r>
        <w:t>Jef</w:t>
      </w:r>
      <w:proofErr w:type="spellEnd"/>
      <w:r>
        <w:t>, ‘Jung and Knowledge: From Gnosis to Praxis’</w:t>
      </w:r>
      <w:r>
        <w:rPr>
          <w:i/>
          <w:iCs/>
        </w:rPr>
        <w:t xml:space="preserve">, Journal of Analytical Psychology, </w:t>
      </w:r>
      <w:r>
        <w:t>35 (4) (1990), pp. 377</w:t>
      </w:r>
      <w:bookmarkEnd w:id="1"/>
      <w:r>
        <w:t>-396.</w:t>
      </w:r>
    </w:p>
    <w:p w14:paraId="179145D8" w14:textId="77777777" w:rsidR="007B3857" w:rsidRDefault="007B3857" w:rsidP="007B3857">
      <w:pPr>
        <w:spacing w:after="120"/>
        <w:rPr>
          <w:rFonts w:eastAsia="Times New Roman" w:cstheme="minorHAnsi"/>
          <w:color w:val="555555"/>
          <w:lang w:eastAsia="en-CA"/>
        </w:rPr>
      </w:pPr>
      <w:bookmarkStart w:id="2" w:name="_Hlk88672299"/>
      <w:r w:rsidRPr="00BE70ED">
        <w:rPr>
          <w:rFonts w:eastAsia="Times New Roman" w:cstheme="minorHAnsi"/>
          <w:lang w:eastAsia="en-CA"/>
        </w:rPr>
        <w:t xml:space="preserve">Douglas, Clyde S. ‘The Seven Sermons to the Dead" and the Transcendent Function: The Gnostic Roots of Jungian Psychology’, </w:t>
      </w:r>
      <w:r>
        <w:rPr>
          <w:rFonts w:eastAsia="Times New Roman" w:cstheme="minorHAnsi"/>
          <w:lang w:eastAsia="en-CA"/>
        </w:rPr>
        <w:t xml:space="preserve">(unpublished doctoral thesis, </w:t>
      </w:r>
      <w:r w:rsidRPr="00BE70ED">
        <w:rPr>
          <w:rFonts w:eastAsia="Times New Roman" w:cstheme="minorHAnsi"/>
          <w:lang w:eastAsia="en-CA"/>
        </w:rPr>
        <w:t>Sofia University, 2015</w:t>
      </w:r>
      <w:r>
        <w:rPr>
          <w:rFonts w:eastAsia="Times New Roman" w:cstheme="minorHAnsi"/>
          <w:lang w:eastAsia="en-CA"/>
        </w:rPr>
        <w:t>)</w:t>
      </w:r>
      <w:r w:rsidRPr="00BE70ED">
        <w:rPr>
          <w:rFonts w:eastAsia="Times New Roman" w:cstheme="minorHAnsi"/>
          <w:i/>
          <w:iCs/>
          <w:lang w:eastAsia="en-CA"/>
        </w:rPr>
        <w:t xml:space="preserve">. </w:t>
      </w:r>
      <w:bookmarkEnd w:id="2"/>
      <w:r w:rsidRPr="00BE70ED">
        <w:rPr>
          <w:rFonts w:eastAsia="Times New Roman" w:cstheme="minorHAnsi"/>
          <w:i/>
          <w:iCs/>
          <w:lang w:eastAsia="en-CA"/>
        </w:rPr>
        <w:t>ProQuest</w:t>
      </w:r>
      <w:r w:rsidRPr="00BE70ED">
        <w:rPr>
          <w:rFonts w:eastAsia="Times New Roman" w:cstheme="minorHAnsi"/>
          <w:lang w:eastAsia="en-CA"/>
        </w:rPr>
        <w:t xml:space="preserve">, </w:t>
      </w:r>
      <w:hyperlink r:id="rId9" w:tgtFrame="_blank" w:history="1">
        <w:r w:rsidRPr="00FF0CF4">
          <w:rPr>
            <w:rFonts w:eastAsia="Times New Roman" w:cstheme="minorHAnsi"/>
            <w:color w:val="0000FF"/>
            <w:sz w:val="20"/>
            <w:szCs w:val="20"/>
            <w:u w:val="single"/>
            <w:lang w:eastAsia="en-CA"/>
          </w:rPr>
          <w:t>https://www.proquest.com/dissertations-theses/seven-sermons-dead-transcendent-function-gnostic/docview/1904332865/se-2?accountid=130472</w:t>
        </w:r>
      </w:hyperlink>
      <w:r w:rsidRPr="00FF0CF4">
        <w:rPr>
          <w:rFonts w:eastAsia="Times New Roman" w:cstheme="minorHAnsi"/>
          <w:color w:val="555555"/>
          <w:sz w:val="20"/>
          <w:szCs w:val="20"/>
          <w:lang w:eastAsia="en-CA"/>
        </w:rPr>
        <w:t>.</w:t>
      </w:r>
      <w:r w:rsidRPr="00BE70ED">
        <w:rPr>
          <w:rFonts w:eastAsia="Times New Roman" w:cstheme="minorHAnsi"/>
          <w:color w:val="555555"/>
          <w:lang w:eastAsia="en-CA"/>
        </w:rPr>
        <w:t> </w:t>
      </w:r>
    </w:p>
    <w:p w14:paraId="3B311F0D" w14:textId="3E57C2A9" w:rsidR="007B3857" w:rsidRDefault="007B3857" w:rsidP="007B3857">
      <w:r w:rsidRPr="004D513B">
        <w:rPr>
          <w:rFonts w:eastAsia="Times New Roman" w:cstheme="minorHAnsi"/>
          <w:lang w:eastAsia="en-CA"/>
        </w:rPr>
        <w:t xml:space="preserve">Harms, Donald, ‘The Geometry of C.G. Jung’s </w:t>
      </w:r>
      <w:r w:rsidRPr="004D513B">
        <w:rPr>
          <w:rFonts w:eastAsia="Times New Roman" w:cstheme="minorHAnsi"/>
          <w:i/>
          <w:iCs/>
          <w:lang w:eastAsia="en-CA"/>
        </w:rPr>
        <w:t xml:space="preserve">Systema Munditotius </w:t>
      </w:r>
      <w:r w:rsidRPr="004D513B">
        <w:rPr>
          <w:rFonts w:eastAsia="Times New Roman" w:cstheme="minorHAnsi"/>
          <w:lang w:eastAsia="en-CA"/>
        </w:rPr>
        <w:t>Mandala’,</w:t>
      </w:r>
      <w:r>
        <w:rPr>
          <w:rFonts w:eastAsia="Times New Roman" w:cstheme="minorHAnsi"/>
          <w:color w:val="555555"/>
          <w:lang w:eastAsia="en-CA"/>
        </w:rPr>
        <w:t xml:space="preserve"> </w:t>
      </w:r>
      <w:r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>
        <w:rPr>
          <w:rFonts w:eastAsia="Times New Roman" w:cstheme="minorHAnsi"/>
          <w:lang w:eastAsia="en-CA"/>
        </w:rPr>
        <w:t>5 (3) (2011), pp. 145-159.</w:t>
      </w:r>
      <w:r>
        <w:t xml:space="preserve"> </w:t>
      </w:r>
      <w:hyperlink r:id="rId10" w:history="1">
        <w:r w:rsidR="00C57138" w:rsidRPr="00C57138">
          <w:rPr>
            <w:rStyle w:val="Hyperlink"/>
            <w:color w:val="0000FF"/>
            <w:sz w:val="20"/>
            <w:szCs w:val="20"/>
          </w:rPr>
          <w:t>https://www.jstor.org/stable/10.1525/jung.2011.5.3.145</w:t>
        </w:r>
      </w:hyperlink>
      <w:r w:rsidR="00C57138" w:rsidRPr="00C57138">
        <w:rPr>
          <w:color w:val="0000FF"/>
        </w:rPr>
        <w:t xml:space="preserve"> </w:t>
      </w:r>
      <w:r w:rsidR="00C57138">
        <w:rPr>
          <w:color w:val="0000FF"/>
        </w:rPr>
        <w:t>.</w:t>
      </w:r>
    </w:p>
    <w:p w14:paraId="6680F64F" w14:textId="486DFB8A" w:rsidR="007B3857" w:rsidRPr="004D513B" w:rsidRDefault="007B3857" w:rsidP="007B3857">
      <w:r w:rsidRPr="004D513B">
        <w:rPr>
          <w:rFonts w:eastAsia="Times New Roman" w:cstheme="minorHAnsi"/>
          <w:lang w:eastAsia="en-CA"/>
        </w:rPr>
        <w:t xml:space="preserve">Harms, Donald, ‘Geometry of </w:t>
      </w:r>
      <w:r>
        <w:rPr>
          <w:rFonts w:eastAsia="Times New Roman" w:cstheme="minorHAnsi"/>
          <w:lang w:eastAsia="en-CA"/>
        </w:rPr>
        <w:t xml:space="preserve">the </w:t>
      </w:r>
      <w:r w:rsidRPr="004D513B">
        <w:rPr>
          <w:rFonts w:eastAsia="Times New Roman" w:cstheme="minorHAnsi"/>
          <w:lang w:eastAsia="en-CA"/>
        </w:rPr>
        <w:t>Mandala’,</w:t>
      </w:r>
      <w:r>
        <w:rPr>
          <w:rFonts w:eastAsia="Times New Roman" w:cstheme="minorHAnsi"/>
          <w:color w:val="555555"/>
          <w:lang w:eastAsia="en-CA"/>
        </w:rPr>
        <w:t xml:space="preserve"> </w:t>
      </w:r>
      <w:r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>
        <w:rPr>
          <w:rFonts w:eastAsia="Times New Roman" w:cstheme="minorHAnsi"/>
          <w:lang w:eastAsia="en-CA"/>
        </w:rPr>
        <w:t>5 (2) (2011), pp. 84-101.</w:t>
      </w:r>
      <w:r>
        <w:t xml:space="preserve"> </w:t>
      </w:r>
      <w:hyperlink r:id="rId11" w:history="1">
        <w:r w:rsidR="00C57138" w:rsidRPr="00C57138">
          <w:rPr>
            <w:rStyle w:val="Hyperlink"/>
            <w:color w:val="0000FF"/>
            <w:sz w:val="20"/>
            <w:szCs w:val="20"/>
          </w:rPr>
          <w:t>https://www.jstor.org/stable/10.1525/jung.2011.5.2.84</w:t>
        </w:r>
      </w:hyperlink>
      <w:r w:rsidR="00C57138">
        <w:t xml:space="preserve"> .</w:t>
      </w:r>
    </w:p>
    <w:p w14:paraId="7C762490" w14:textId="77777777" w:rsidR="007B3857" w:rsidRDefault="007B3857" w:rsidP="007B3857">
      <w:pPr>
        <w:spacing w:after="120"/>
      </w:pPr>
      <w:r>
        <w:t xml:space="preserve">Hubback, Judith, ‘VII Sermones ad Mortuos’, </w:t>
      </w:r>
      <w:r>
        <w:rPr>
          <w:i/>
          <w:iCs/>
        </w:rPr>
        <w:t xml:space="preserve">Journal of Analytical Psychology, </w:t>
      </w:r>
      <w:r>
        <w:t>11 (2) (1966), pp. 95-112.</w:t>
      </w:r>
    </w:p>
    <w:p w14:paraId="5A919941" w14:textId="5E350B58" w:rsidR="007B3857" w:rsidRDefault="007B3857" w:rsidP="00FF0CF4">
      <w:pPr>
        <w:spacing w:after="120"/>
      </w:pPr>
      <w:r>
        <w:t xml:space="preserve">Jung, C.G.,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</w:t>
      </w:r>
      <w:r>
        <w:rPr>
          <w:i/>
          <w:iCs/>
        </w:rPr>
        <w:t xml:space="preserve"> </w:t>
      </w:r>
      <w:r>
        <w:t>(Princeton NJ: Princeton University Press, 1992), pp. 181-193.</w:t>
      </w:r>
    </w:p>
    <w:p w14:paraId="0B997C63" w14:textId="28840AAD" w:rsidR="00273EA7" w:rsidRPr="00273EA7" w:rsidRDefault="00273EA7" w:rsidP="00273EA7">
      <w:pPr>
        <w:spacing w:after="120"/>
        <w:rPr>
          <w:rFonts w:eastAsia="Times New Roman" w:cstheme="minorHAnsi"/>
          <w:color w:val="0000FF"/>
          <w:sz w:val="20"/>
          <w:szCs w:val="20"/>
          <w:lang w:eastAsia="en-CA"/>
        </w:rPr>
      </w:pPr>
      <w:r w:rsidRPr="00C561F5">
        <w:rPr>
          <w:rFonts w:eastAsia="Times New Roman" w:cstheme="minorHAnsi"/>
          <w:lang w:eastAsia="en-CA"/>
        </w:rPr>
        <w:t>Jung, C.G.,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 w:rsidRPr="00D13797">
        <w:rPr>
          <w:rFonts w:eastAsia="Times New Roman" w:cstheme="minorHAnsi"/>
          <w:i/>
          <w:iCs/>
          <w:lang w:eastAsia="en-CA"/>
        </w:rPr>
        <w:t xml:space="preserve"> </w:t>
      </w:r>
      <w:r w:rsidRPr="00D13797">
        <w:rPr>
          <w:rFonts w:eastAsia="Times New Roman" w:cstheme="minorHAnsi"/>
          <w:lang w:eastAsia="en-CA"/>
        </w:rPr>
        <w:t>(</w:t>
      </w:r>
      <w:r w:rsidRPr="00C561F5">
        <w:rPr>
          <w:rFonts w:eastAsia="Times New Roman" w:cstheme="minorHAnsi"/>
          <w:lang w:eastAsia="en-CA"/>
        </w:rPr>
        <w:t>f</w:t>
      </w:r>
      <w:r w:rsidRPr="00D13797">
        <w:rPr>
          <w:rFonts w:eastAsia="Times New Roman" w:cstheme="minorHAnsi"/>
          <w:lang w:eastAsia="en-CA"/>
        </w:rPr>
        <w:t>rom</w:t>
      </w:r>
      <w:r w:rsidRPr="00C561F5">
        <w:rPr>
          <w:rFonts w:eastAsia="Times New Roman" w:cstheme="minorHAnsi"/>
          <w:i/>
          <w:iCs/>
          <w:lang w:eastAsia="en-CA"/>
        </w:rPr>
        <w:t xml:space="preserve"> </w:t>
      </w:r>
      <w:r>
        <w:rPr>
          <w:rFonts w:eastAsia="Times New Roman" w:cstheme="minorHAnsi"/>
          <w:i/>
          <w:iCs/>
          <w:lang w:eastAsia="en-CA"/>
        </w:rPr>
        <w:t>The Archetypes and the Collective Unconscious</w:t>
      </w:r>
      <w:r w:rsidRPr="00C561F5">
        <w:rPr>
          <w:rFonts w:eastAsia="Times New Roman" w:cstheme="minorHAnsi"/>
          <w:i/>
          <w:iCs/>
          <w:lang w:eastAsia="en-CA"/>
        </w:rPr>
        <w:t>,</w:t>
      </w:r>
      <w:r w:rsidRPr="00D13797">
        <w:rPr>
          <w:rFonts w:eastAsia="Times New Roman" w:cstheme="minorHAnsi"/>
          <w:i/>
          <w:iCs/>
          <w:lang w:eastAsia="en-CA"/>
        </w:rPr>
        <w:t xml:space="preserve"> Vol. </w:t>
      </w:r>
      <w:r w:rsidRPr="00C561F5">
        <w:rPr>
          <w:rFonts w:eastAsia="Times New Roman" w:cstheme="minorHAnsi"/>
          <w:i/>
          <w:iCs/>
          <w:lang w:eastAsia="en-CA"/>
        </w:rPr>
        <w:t>9i</w:t>
      </w:r>
      <w:r w:rsidRPr="00D13797">
        <w:rPr>
          <w:rFonts w:eastAsia="Times New Roman" w:cstheme="minorHAnsi"/>
          <w:i/>
          <w:iCs/>
          <w:lang w:eastAsia="en-CA"/>
        </w:rPr>
        <w:t xml:space="preserve"> of the Collected Works of C. G. Jung</w:t>
      </w:r>
      <w:r w:rsidRPr="00C561F5">
        <w:rPr>
          <w:rFonts w:eastAsia="Times New Roman" w:cstheme="minorHAnsi"/>
          <w:lang w:eastAsia="en-CA"/>
        </w:rPr>
        <w:t>)</w:t>
      </w:r>
      <w:r w:rsidRPr="00D13797">
        <w:rPr>
          <w:rFonts w:eastAsia="Times New Roman" w:cstheme="minorHAnsi"/>
          <w:lang w:eastAsia="en-CA"/>
        </w:rPr>
        <w:t xml:space="preserve">, </w:t>
      </w:r>
      <w:r w:rsidRPr="00C561F5">
        <w:rPr>
          <w:rFonts w:eastAsia="Times New Roman" w:cstheme="minorHAnsi"/>
          <w:lang w:eastAsia="en-CA"/>
        </w:rPr>
        <w:t xml:space="preserve">trans. and ed. R.F.C. Hull, (Princeton, NJ: </w:t>
      </w:r>
      <w:r w:rsidRPr="00D13797">
        <w:rPr>
          <w:rFonts w:eastAsia="Times New Roman" w:cstheme="minorHAnsi"/>
          <w:lang w:eastAsia="en-CA"/>
        </w:rPr>
        <w:t>Princeton University Press, 19</w:t>
      </w:r>
      <w:r w:rsidRPr="00C561F5">
        <w:rPr>
          <w:rFonts w:eastAsia="Times New Roman" w:cstheme="minorHAnsi"/>
          <w:lang w:eastAsia="en-CA"/>
        </w:rPr>
        <w:t>69)</w:t>
      </w:r>
      <w:r>
        <w:rPr>
          <w:rFonts w:eastAsia="Times New Roman" w:cstheme="minorHAnsi"/>
          <w:lang w:eastAsia="en-CA"/>
        </w:rPr>
        <w:t xml:space="preserve"> </w:t>
      </w:r>
      <w:r w:rsidRPr="00D13797">
        <w:rPr>
          <w:rFonts w:eastAsia="Times New Roman" w:cstheme="minorHAnsi"/>
          <w:lang w:eastAsia="en-CA"/>
        </w:rPr>
        <w:t xml:space="preserve">pp. </w:t>
      </w:r>
      <w:r>
        <w:rPr>
          <w:rFonts w:eastAsia="Times New Roman" w:cstheme="minorHAnsi"/>
          <w:lang w:eastAsia="en-CA"/>
        </w:rPr>
        <w:t>71</w:t>
      </w:r>
      <w:r w:rsidRPr="00D13797">
        <w:rPr>
          <w:rFonts w:eastAsia="Times New Roman" w:cstheme="minorHAnsi"/>
          <w:lang w:eastAsia="en-CA"/>
        </w:rPr>
        <w:t>–</w:t>
      </w:r>
      <w:r>
        <w:rPr>
          <w:rFonts w:eastAsia="Times New Roman" w:cstheme="minorHAnsi"/>
          <w:lang w:eastAsia="en-CA"/>
        </w:rPr>
        <w:t xml:space="preserve">100. </w:t>
      </w:r>
      <w:hyperlink r:id="rId12" w:history="1">
        <w:r w:rsidRPr="00194C54">
          <w:rPr>
            <w:rStyle w:val="Hyperlink"/>
            <w:rFonts w:eastAsia="Times New Roman" w:cstheme="minorHAnsi"/>
            <w:color w:val="0000FF"/>
            <w:sz w:val="20"/>
            <w:szCs w:val="20"/>
            <w:lang w:eastAsia="en-CA"/>
          </w:rPr>
          <w:t>https://www.jstor.org/stable/j.ett1m32206.8</w:t>
        </w:r>
      </w:hyperlink>
      <w:r w:rsidRPr="00194C54">
        <w:rPr>
          <w:rFonts w:eastAsia="Times New Roman" w:cstheme="minorHAnsi"/>
          <w:color w:val="0000FF"/>
          <w:sz w:val="20"/>
          <w:szCs w:val="20"/>
          <w:lang w:eastAsia="en-CA"/>
        </w:rPr>
        <w:t xml:space="preserve"> </w:t>
      </w:r>
      <w:r>
        <w:rPr>
          <w:rFonts w:eastAsia="Times New Roman" w:cstheme="minorHAnsi"/>
          <w:color w:val="0000FF"/>
          <w:sz w:val="20"/>
          <w:szCs w:val="20"/>
          <w:lang w:eastAsia="en-CA"/>
        </w:rPr>
        <w:t>.</w:t>
      </w:r>
    </w:p>
    <w:p w14:paraId="59E4AA13" w14:textId="6C9A63E4" w:rsidR="007B3857" w:rsidRDefault="007B3857" w:rsidP="00273EA7">
      <w:pPr>
        <w:spacing w:after="120"/>
        <w:rPr>
          <w:rFonts w:eastAsia="Times New Roman" w:cstheme="minorHAnsi"/>
          <w:lang w:eastAsia="en-CA"/>
        </w:rPr>
      </w:pPr>
      <w:r w:rsidRPr="00A6362C">
        <w:rPr>
          <w:rFonts w:eastAsia="Times New Roman" w:cstheme="minorHAnsi"/>
          <w:lang w:eastAsia="en-CA"/>
        </w:rPr>
        <w:t>J</w:t>
      </w:r>
      <w:r>
        <w:rPr>
          <w:rFonts w:eastAsia="Times New Roman" w:cstheme="minorHAnsi"/>
          <w:lang w:eastAsia="en-CA"/>
        </w:rPr>
        <w:t>ung</w:t>
      </w:r>
      <w:r w:rsidRPr="00A6362C">
        <w:rPr>
          <w:rFonts w:eastAsia="Times New Roman" w:cstheme="minorHAnsi"/>
          <w:lang w:eastAsia="en-CA"/>
        </w:rPr>
        <w:t>, C. G.</w:t>
      </w:r>
      <w:r>
        <w:rPr>
          <w:rFonts w:eastAsia="Times New Roman" w:cstheme="minorHAnsi"/>
          <w:lang w:eastAsia="en-CA"/>
        </w:rPr>
        <w:t>,</w:t>
      </w:r>
      <w:r w:rsidRPr="00A6362C">
        <w:rPr>
          <w:rFonts w:eastAsia="Times New Roman" w:cstheme="minorHAnsi"/>
          <w:lang w:eastAsia="en-CA"/>
        </w:rPr>
        <w:t xml:space="preserve"> </w:t>
      </w:r>
      <w:r>
        <w:rPr>
          <w:rFonts w:eastAsia="Times New Roman" w:cstheme="minorHAnsi"/>
          <w:lang w:eastAsia="en-CA"/>
        </w:rPr>
        <w:t>‘</w:t>
      </w:r>
      <w:r w:rsidRPr="00EA04A2">
        <w:rPr>
          <w:rFonts w:eastAsia="Times New Roman" w:cstheme="minorHAnsi"/>
          <w:i/>
          <w:iCs/>
          <w:lang w:eastAsia="en-CA"/>
        </w:rPr>
        <w:t>Gnostic Symbols of the Self’</w:t>
      </w:r>
      <w:r>
        <w:rPr>
          <w:rFonts w:eastAsia="Times New Roman" w:cstheme="minorHAnsi"/>
          <w:lang w:eastAsia="en-CA"/>
        </w:rPr>
        <w:t xml:space="preserve">, (from </w:t>
      </w:r>
      <w:r w:rsidRPr="00A6362C">
        <w:rPr>
          <w:rFonts w:eastAsia="Times New Roman" w:cstheme="minorHAnsi"/>
          <w:i/>
          <w:iCs/>
          <w:lang w:eastAsia="en-CA"/>
        </w:rPr>
        <w:t>Collected Works of C.G. Jung, Volume 9</w:t>
      </w:r>
      <w:r>
        <w:rPr>
          <w:rFonts w:eastAsia="Times New Roman" w:cstheme="minorHAnsi"/>
          <w:i/>
          <w:iCs/>
          <w:lang w:eastAsia="en-CA"/>
        </w:rPr>
        <w:t>,</w:t>
      </w:r>
      <w:r w:rsidRPr="00A6362C">
        <w:rPr>
          <w:rFonts w:eastAsia="Times New Roman" w:cstheme="minorHAnsi"/>
          <w:i/>
          <w:iCs/>
          <w:lang w:eastAsia="en-CA"/>
        </w:rPr>
        <w:t xml:space="preserve"> Part 2: Aion: Researches into the Phenomenology of the Self</w:t>
      </w:r>
      <w:r>
        <w:rPr>
          <w:rFonts w:eastAsia="Times New Roman" w:cstheme="minorHAnsi"/>
          <w:i/>
          <w:iCs/>
          <w:lang w:eastAsia="en-CA"/>
        </w:rPr>
        <w:t>)</w:t>
      </w:r>
      <w:r w:rsidRPr="00A6362C">
        <w:rPr>
          <w:rFonts w:eastAsia="Times New Roman" w:cstheme="minorHAnsi"/>
          <w:lang w:eastAsia="en-CA"/>
        </w:rPr>
        <w:t>, ed</w:t>
      </w:r>
      <w:r>
        <w:rPr>
          <w:rFonts w:eastAsia="Times New Roman" w:cstheme="minorHAnsi"/>
          <w:lang w:eastAsia="en-CA"/>
        </w:rPr>
        <w:t>.</w:t>
      </w:r>
      <w:r w:rsidRPr="00A6362C">
        <w:rPr>
          <w:rFonts w:eastAsia="Times New Roman" w:cstheme="minorHAnsi"/>
          <w:lang w:eastAsia="en-CA"/>
        </w:rPr>
        <w:t xml:space="preserve"> G</w:t>
      </w:r>
      <w:r>
        <w:rPr>
          <w:rFonts w:eastAsia="Times New Roman" w:cstheme="minorHAnsi"/>
          <w:lang w:eastAsia="en-CA"/>
        </w:rPr>
        <w:t>erhard</w:t>
      </w:r>
      <w:r w:rsidRPr="00A6362C">
        <w:rPr>
          <w:rFonts w:eastAsia="Times New Roman" w:cstheme="minorHAnsi"/>
          <w:lang w:eastAsia="en-CA"/>
        </w:rPr>
        <w:t xml:space="preserve"> A</w:t>
      </w:r>
      <w:r>
        <w:rPr>
          <w:rFonts w:eastAsia="Times New Roman" w:cstheme="minorHAnsi"/>
          <w:lang w:eastAsia="en-CA"/>
        </w:rPr>
        <w:t>dler</w:t>
      </w:r>
      <w:r w:rsidRPr="00A6362C">
        <w:rPr>
          <w:rFonts w:eastAsia="Times New Roman" w:cstheme="minorHAnsi"/>
          <w:lang w:eastAsia="en-CA"/>
        </w:rPr>
        <w:t xml:space="preserve"> and R. F. C. H</w:t>
      </w:r>
      <w:r>
        <w:rPr>
          <w:rFonts w:eastAsia="Times New Roman" w:cstheme="minorHAnsi"/>
          <w:lang w:eastAsia="en-CA"/>
        </w:rPr>
        <w:t>ull</w:t>
      </w:r>
      <w:r w:rsidRPr="00A6362C">
        <w:rPr>
          <w:rFonts w:eastAsia="Times New Roman" w:cstheme="minorHAnsi"/>
          <w:lang w:eastAsia="en-CA"/>
        </w:rPr>
        <w:t xml:space="preserve">, </w:t>
      </w:r>
      <w:r>
        <w:rPr>
          <w:rFonts w:eastAsia="Times New Roman" w:cstheme="minorHAnsi"/>
          <w:lang w:eastAsia="en-CA"/>
        </w:rPr>
        <w:t xml:space="preserve">(Princeton, NJ: </w:t>
      </w:r>
      <w:r w:rsidRPr="00A6362C">
        <w:rPr>
          <w:rFonts w:eastAsia="Times New Roman" w:cstheme="minorHAnsi"/>
          <w:lang w:eastAsia="en-CA"/>
        </w:rPr>
        <w:t>Princeton University Press, 1959</w:t>
      </w:r>
      <w:r>
        <w:rPr>
          <w:rFonts w:eastAsia="Times New Roman" w:cstheme="minorHAnsi"/>
          <w:lang w:eastAsia="en-CA"/>
        </w:rPr>
        <w:t>)</w:t>
      </w:r>
      <w:r w:rsidRPr="00A6362C">
        <w:rPr>
          <w:rFonts w:eastAsia="Times New Roman" w:cstheme="minorHAnsi"/>
          <w:lang w:eastAsia="en-CA"/>
        </w:rPr>
        <w:t>, pp. 184–221,</w:t>
      </w:r>
      <w:r w:rsidRPr="00FF0CF4">
        <w:rPr>
          <w:rFonts w:eastAsia="Times New Roman" w:cstheme="minorHAnsi"/>
          <w:sz w:val="20"/>
          <w:szCs w:val="20"/>
          <w:lang w:eastAsia="en-CA"/>
        </w:rPr>
        <w:t xml:space="preserve"> </w:t>
      </w:r>
      <w:hyperlink r:id="rId13" w:history="1">
        <w:r w:rsidRPr="00FF0CF4">
          <w:rPr>
            <w:rStyle w:val="Hyperlink"/>
            <w:rFonts w:eastAsia="Times New Roman" w:cstheme="minorHAnsi"/>
            <w:color w:val="0000FF"/>
            <w:sz w:val="20"/>
            <w:szCs w:val="20"/>
            <w:lang w:eastAsia="en-CA"/>
          </w:rPr>
          <w:t>http://www.jstor.org/stable/j.ctt5hhqh6.19</w:t>
        </w:r>
      </w:hyperlink>
      <w:r w:rsidRPr="00FF0CF4">
        <w:rPr>
          <w:rFonts w:eastAsia="Times New Roman" w:cstheme="minorHAnsi"/>
          <w:color w:val="0000FF"/>
          <w:lang w:eastAsia="en-CA"/>
        </w:rPr>
        <w:t xml:space="preserve"> </w:t>
      </w:r>
      <w:r>
        <w:rPr>
          <w:rFonts w:eastAsia="Times New Roman" w:cstheme="minorHAnsi"/>
          <w:lang w:eastAsia="en-CA"/>
        </w:rPr>
        <w:t xml:space="preserve">. </w:t>
      </w:r>
    </w:p>
    <w:p w14:paraId="345D7797" w14:textId="77777777" w:rsidR="007B3857" w:rsidRPr="009E3569" w:rsidRDefault="007B3857" w:rsidP="007B3857">
      <w:pPr>
        <w:spacing w:after="0" w:line="240" w:lineRule="auto"/>
        <w:rPr>
          <w:rFonts w:eastAsia="Times New Roman" w:cstheme="minorHAnsi"/>
          <w:lang w:eastAsia="en-CA"/>
        </w:rPr>
      </w:pPr>
      <w:bookmarkStart w:id="3" w:name="_Hlk88827011"/>
      <w:proofErr w:type="spellStart"/>
      <w:r>
        <w:rPr>
          <w:rFonts w:eastAsia="Times New Roman" w:cstheme="minorHAnsi"/>
          <w:lang w:eastAsia="en-CA"/>
        </w:rPr>
        <w:lastRenderedPageBreak/>
        <w:t>Pennachio</w:t>
      </w:r>
      <w:proofErr w:type="spellEnd"/>
      <w:r>
        <w:rPr>
          <w:rFonts w:eastAsia="Times New Roman" w:cstheme="minorHAnsi"/>
          <w:lang w:eastAsia="en-CA"/>
        </w:rPr>
        <w:t xml:space="preserve">, John, ‘Gnostic Inner Illumination and Carl Jung’s Individuation’, </w:t>
      </w:r>
      <w:r>
        <w:rPr>
          <w:rFonts w:eastAsia="Times New Roman" w:cstheme="minorHAnsi"/>
          <w:i/>
          <w:iCs/>
          <w:lang w:eastAsia="en-CA"/>
        </w:rPr>
        <w:t xml:space="preserve">Journal of Religion and Health, </w:t>
      </w:r>
      <w:r>
        <w:rPr>
          <w:rFonts w:eastAsia="Times New Roman" w:cstheme="minorHAnsi"/>
          <w:lang w:eastAsia="en-CA"/>
        </w:rPr>
        <w:t>31 (3), pp. 237-245</w:t>
      </w:r>
      <w:bookmarkEnd w:id="3"/>
      <w:r>
        <w:rPr>
          <w:rFonts w:eastAsia="Times New Roman" w:cstheme="minorHAnsi"/>
          <w:lang w:eastAsia="en-CA"/>
        </w:rPr>
        <w:t xml:space="preserve">. </w:t>
      </w:r>
      <w:hyperlink r:id="rId14" w:history="1">
        <w:r w:rsidRPr="00FF0CF4">
          <w:rPr>
            <w:rStyle w:val="Hyperlink"/>
            <w:rFonts w:eastAsia="Times New Roman" w:cstheme="minorHAnsi"/>
            <w:color w:val="0000FF"/>
            <w:sz w:val="20"/>
            <w:szCs w:val="20"/>
            <w:lang w:eastAsia="en-CA"/>
          </w:rPr>
          <w:t>https://www.jstor.org/stable/27510698</w:t>
        </w:r>
      </w:hyperlink>
      <w:r>
        <w:rPr>
          <w:rFonts w:eastAsia="Times New Roman" w:cstheme="minorHAnsi"/>
          <w:lang w:eastAsia="en-CA"/>
        </w:rPr>
        <w:t xml:space="preserve"> .</w:t>
      </w:r>
    </w:p>
    <w:p w14:paraId="00C1A9C9" w14:textId="77777777" w:rsidR="007B3857" w:rsidRPr="00393185" w:rsidRDefault="007B3857" w:rsidP="007B3857">
      <w:pPr>
        <w:spacing w:after="0" w:line="240" w:lineRule="auto"/>
        <w:rPr>
          <w:rFonts w:eastAsia="Times New Roman" w:cstheme="minorHAnsi"/>
          <w:lang w:eastAsia="en-CA"/>
        </w:rPr>
      </w:pPr>
    </w:p>
    <w:p w14:paraId="209B33E7" w14:textId="77777777" w:rsidR="007B3857" w:rsidRPr="005252D1" w:rsidRDefault="007B3857" w:rsidP="007B3857">
      <w:pPr>
        <w:spacing w:after="120"/>
      </w:pPr>
      <w:bookmarkStart w:id="4" w:name="_Hlk88822374"/>
      <w:proofErr w:type="spellStart"/>
      <w:r>
        <w:t>Quispel</w:t>
      </w:r>
      <w:proofErr w:type="spellEnd"/>
      <w:r>
        <w:t>, Gilles</w:t>
      </w:r>
      <w:r w:rsidRPr="005252D1">
        <w:t xml:space="preserve">, </w:t>
      </w:r>
      <w:r w:rsidRPr="005252D1">
        <w:rPr>
          <w:i/>
          <w:iCs/>
        </w:rPr>
        <w:t xml:space="preserve">C.G. </w:t>
      </w:r>
      <w:r w:rsidRPr="005252D1">
        <w:t>‘Jung und die Gnosis’</w:t>
      </w:r>
      <w:r>
        <w:t xml:space="preserve">, in </w:t>
      </w:r>
      <w:r>
        <w:rPr>
          <w:i/>
          <w:iCs/>
        </w:rPr>
        <w:t xml:space="preserve">The Gnostic Jung, </w:t>
      </w:r>
      <w:r>
        <w:t>ed. By Robert A. Segal (Princeton NJ: Princeton University Press, 1992), pp. 219-238.</w:t>
      </w:r>
    </w:p>
    <w:p w14:paraId="7D22DB04" w14:textId="77777777" w:rsidR="007B3857" w:rsidRPr="001D1E25" w:rsidRDefault="007B3857" w:rsidP="007B3857">
      <w:pPr>
        <w:spacing w:after="120"/>
      </w:pPr>
      <w:bookmarkStart w:id="5" w:name="_Hlk88663682"/>
      <w:bookmarkEnd w:id="4"/>
      <w:r>
        <w:t xml:space="preserve">Segal, Robert A., </w:t>
      </w:r>
      <w:r>
        <w:rPr>
          <w:i/>
          <w:iCs/>
        </w:rPr>
        <w:t xml:space="preserve">The Gnostic Jung </w:t>
      </w:r>
      <w:r>
        <w:t>(Princeton NJ: Princeton University Press, 1992).</w:t>
      </w:r>
    </w:p>
    <w:bookmarkEnd w:id="5"/>
    <w:p w14:paraId="3D391357" w14:textId="77777777" w:rsidR="007B3857" w:rsidRDefault="007B3857" w:rsidP="007B3857">
      <w:pPr>
        <w:spacing w:after="120"/>
      </w:pPr>
      <w:r>
        <w:t xml:space="preserve">Shamdasani, </w:t>
      </w:r>
      <w:proofErr w:type="spellStart"/>
      <w:r>
        <w:t>Sonu</w:t>
      </w:r>
      <w:proofErr w:type="spellEnd"/>
      <w:r>
        <w:t xml:space="preserve">, ‘Misunderstanding Jung: The Afterlife of Legends’, </w:t>
      </w:r>
      <w:r>
        <w:rPr>
          <w:i/>
          <w:iCs/>
        </w:rPr>
        <w:t xml:space="preserve">Journal of Analytical Psychology, </w:t>
      </w:r>
      <w:r>
        <w:t>45 (2000), pp. 459-472.</w:t>
      </w:r>
    </w:p>
    <w:p w14:paraId="5C72AA11" w14:textId="1751388C" w:rsidR="0024107A" w:rsidRDefault="0024107A" w:rsidP="007B3857">
      <w:pPr>
        <w:rPr>
          <w:b/>
          <w:bCs/>
        </w:rPr>
      </w:pPr>
      <w:r>
        <w:rPr>
          <w:b/>
          <w:bCs/>
        </w:rPr>
        <w:br w:type="page"/>
      </w:r>
    </w:p>
    <w:p w14:paraId="6F09BC2E" w14:textId="095A79A7" w:rsidR="005A7A17" w:rsidRDefault="0024107A">
      <w:pPr>
        <w:rPr>
          <w:b/>
          <w:bCs/>
        </w:rPr>
      </w:pPr>
      <w:r>
        <w:rPr>
          <w:b/>
          <w:bCs/>
        </w:rPr>
        <w:lastRenderedPageBreak/>
        <w:t xml:space="preserve">Appendix ‘A’ </w:t>
      </w:r>
    </w:p>
    <w:p w14:paraId="23C3797A" w14:textId="1D17FB10" w:rsidR="0024107A" w:rsidRDefault="0024107A">
      <w:pPr>
        <w:rPr>
          <w:b/>
          <w:bCs/>
        </w:rPr>
      </w:pPr>
    </w:p>
    <w:p w14:paraId="7D132BDE" w14:textId="77777777" w:rsidR="00E21013" w:rsidRDefault="0024107A" w:rsidP="00E21013">
      <w:pPr>
        <w:keepNext/>
        <w:jc w:val="center"/>
      </w:pPr>
      <w:r>
        <w:rPr>
          <w:b/>
          <w:bCs/>
          <w:noProof/>
        </w:rPr>
        <w:drawing>
          <wp:inline distT="0" distB="0" distL="0" distR="0" wp14:anchorId="2E553ACD" wp14:editId="174F1170">
            <wp:extent cx="5924550" cy="7138576"/>
            <wp:effectExtent l="0" t="0" r="0" b="5715"/>
            <wp:docPr id="1" name="Picture 1" descr="A picture containing text, device, barometer, comp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device, barometer, compass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0538" cy="7145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61A6F" w14:textId="29F97886" w:rsidR="003C7EE5" w:rsidRPr="003C7EE5" w:rsidRDefault="00E21013" w:rsidP="003C7EE5">
      <w:pPr>
        <w:rPr>
          <w:sz w:val="20"/>
          <w:szCs w:val="20"/>
        </w:rPr>
      </w:pPr>
      <w:r w:rsidRPr="003C7EE5">
        <w:rPr>
          <w:sz w:val="20"/>
          <w:szCs w:val="20"/>
        </w:rPr>
        <w:t xml:space="preserve">Image: – The </w:t>
      </w:r>
      <w:r w:rsidRPr="003C7EE5">
        <w:rPr>
          <w:i/>
          <w:iCs/>
          <w:sz w:val="20"/>
          <w:szCs w:val="20"/>
        </w:rPr>
        <w:t>Systema Munditotius</w:t>
      </w:r>
      <w:r w:rsidRPr="003C7EE5">
        <w:rPr>
          <w:sz w:val="20"/>
          <w:szCs w:val="20"/>
        </w:rPr>
        <w:t xml:space="preserve"> of C.G. Jung (ca. 1916)</w:t>
      </w:r>
      <w:r w:rsidR="003C7EE5" w:rsidRPr="003C7EE5">
        <w:rPr>
          <w:sz w:val="20"/>
          <w:szCs w:val="20"/>
        </w:rPr>
        <w:t xml:space="preserve">, </w:t>
      </w:r>
      <w:r w:rsidR="003C7EE5" w:rsidRPr="003C7EE5">
        <w:rPr>
          <w:sz w:val="20"/>
          <w:szCs w:val="20"/>
        </w:rPr>
        <w:t xml:space="preserve">from </w:t>
      </w:r>
      <w:r w:rsidR="003C7EE5" w:rsidRPr="003C7EE5">
        <w:rPr>
          <w:rFonts w:eastAsia="Times New Roman" w:cstheme="minorHAnsi"/>
          <w:sz w:val="20"/>
          <w:szCs w:val="20"/>
          <w:lang w:eastAsia="en-CA"/>
        </w:rPr>
        <w:t xml:space="preserve">Harms, Donald, ‘The Geometry of C.G. Jung’s </w:t>
      </w:r>
      <w:r w:rsidR="003C7EE5" w:rsidRPr="003C7EE5">
        <w:rPr>
          <w:rFonts w:eastAsia="Times New Roman" w:cstheme="minorHAnsi"/>
          <w:i/>
          <w:iCs/>
          <w:sz w:val="20"/>
          <w:szCs w:val="20"/>
          <w:lang w:eastAsia="en-CA"/>
        </w:rPr>
        <w:t xml:space="preserve">Systema Munditotius </w:t>
      </w:r>
      <w:r w:rsidR="003C7EE5" w:rsidRPr="003C7EE5">
        <w:rPr>
          <w:rFonts w:eastAsia="Times New Roman" w:cstheme="minorHAnsi"/>
          <w:sz w:val="20"/>
          <w:szCs w:val="20"/>
          <w:lang w:eastAsia="en-CA"/>
        </w:rPr>
        <w:t>Mandala’,</w:t>
      </w:r>
      <w:r w:rsidR="003C7EE5" w:rsidRPr="003C7EE5">
        <w:rPr>
          <w:rFonts w:eastAsia="Times New Roman" w:cstheme="minorHAnsi"/>
          <w:color w:val="555555"/>
          <w:sz w:val="20"/>
          <w:szCs w:val="20"/>
          <w:lang w:eastAsia="en-CA"/>
        </w:rPr>
        <w:t xml:space="preserve"> </w:t>
      </w:r>
      <w:r w:rsidR="003C7EE5" w:rsidRPr="003C7EE5">
        <w:rPr>
          <w:rFonts w:eastAsia="Times New Roman" w:cstheme="minorHAnsi"/>
          <w:i/>
          <w:iCs/>
          <w:sz w:val="20"/>
          <w:szCs w:val="20"/>
          <w:lang w:eastAsia="en-CA"/>
        </w:rPr>
        <w:t xml:space="preserve">Jung Journal: Culture &amp; Psyche, </w:t>
      </w:r>
      <w:r w:rsidR="003C7EE5" w:rsidRPr="003C7EE5">
        <w:rPr>
          <w:rFonts w:eastAsia="Times New Roman" w:cstheme="minorHAnsi"/>
          <w:sz w:val="20"/>
          <w:szCs w:val="20"/>
          <w:lang w:eastAsia="en-CA"/>
        </w:rPr>
        <w:t>5 (3) (2011), pp. 149, Fig. 3.</w:t>
      </w:r>
    </w:p>
    <w:sectPr w:rsidR="003C7EE5" w:rsidRPr="003C7EE5" w:rsidSect="008F4E28">
      <w:headerReference w:type="even" r:id="rId16"/>
      <w:headerReference w:type="default" r:id="rId17"/>
      <w:footerReference w:type="even" r:id="rId18"/>
      <w:footerReference w:type="default" r:id="rId1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47C65E" w14:textId="77777777" w:rsidR="004A1FF9" w:rsidRDefault="004A1FF9" w:rsidP="008F4E28">
      <w:pPr>
        <w:spacing w:after="0" w:line="240" w:lineRule="auto"/>
      </w:pPr>
      <w:r>
        <w:separator/>
      </w:r>
    </w:p>
  </w:endnote>
  <w:endnote w:type="continuationSeparator" w:id="0">
    <w:p w14:paraId="5A0D9481" w14:textId="77777777" w:rsidR="004A1FF9" w:rsidRDefault="004A1FF9" w:rsidP="008F4E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871546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6DE4D9" w14:textId="06907262" w:rsidR="001A7253" w:rsidRDefault="001A72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5607C5" w14:textId="77777777" w:rsidR="001A7253" w:rsidRDefault="001A72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08075167"/>
      <w:docPartObj>
        <w:docPartGallery w:val="Page Numbers (Bottom of Page)"/>
        <w:docPartUnique/>
      </w:docPartObj>
    </w:sdtPr>
    <w:sdtEndPr>
      <w:rPr>
        <w:noProof/>
        <w:sz w:val="18"/>
        <w:szCs w:val="18"/>
      </w:rPr>
    </w:sdtEndPr>
    <w:sdtContent>
      <w:p w14:paraId="6C5E479D" w14:textId="09800665" w:rsidR="001A7253" w:rsidRPr="00BE5FE1" w:rsidRDefault="001A7253">
        <w:pPr>
          <w:pStyle w:val="Footer"/>
          <w:jc w:val="right"/>
          <w:rPr>
            <w:sz w:val="18"/>
            <w:szCs w:val="18"/>
          </w:rPr>
        </w:pPr>
        <w:r w:rsidRPr="00BE5FE1">
          <w:rPr>
            <w:sz w:val="18"/>
            <w:szCs w:val="18"/>
          </w:rPr>
          <w:fldChar w:fldCharType="begin"/>
        </w:r>
        <w:r w:rsidRPr="00BE5FE1">
          <w:rPr>
            <w:sz w:val="18"/>
            <w:szCs w:val="18"/>
          </w:rPr>
          <w:instrText xml:space="preserve"> PAGE   \* MERGEFORMAT </w:instrText>
        </w:r>
        <w:r w:rsidRPr="00BE5FE1">
          <w:rPr>
            <w:sz w:val="18"/>
            <w:szCs w:val="18"/>
          </w:rPr>
          <w:fldChar w:fldCharType="separate"/>
        </w:r>
        <w:r w:rsidRPr="00BE5FE1">
          <w:rPr>
            <w:noProof/>
            <w:sz w:val="18"/>
            <w:szCs w:val="18"/>
          </w:rPr>
          <w:t>2</w:t>
        </w:r>
        <w:r w:rsidRPr="00BE5FE1">
          <w:rPr>
            <w:noProof/>
            <w:sz w:val="18"/>
            <w:szCs w:val="18"/>
          </w:rPr>
          <w:fldChar w:fldCharType="end"/>
        </w:r>
      </w:p>
    </w:sdtContent>
  </w:sdt>
  <w:p w14:paraId="00213EBB" w14:textId="77777777" w:rsidR="001A7253" w:rsidRDefault="001A72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4F36CE" w14:textId="77777777" w:rsidR="004A1FF9" w:rsidRDefault="004A1FF9" w:rsidP="008F4E28">
      <w:pPr>
        <w:spacing w:after="0" w:line="240" w:lineRule="auto"/>
      </w:pPr>
      <w:r>
        <w:separator/>
      </w:r>
    </w:p>
  </w:footnote>
  <w:footnote w:type="continuationSeparator" w:id="0">
    <w:p w14:paraId="00B5F00D" w14:textId="77777777" w:rsidR="004A1FF9" w:rsidRDefault="004A1FF9" w:rsidP="008F4E28">
      <w:pPr>
        <w:spacing w:after="0" w:line="240" w:lineRule="auto"/>
      </w:pPr>
      <w:r>
        <w:continuationSeparator/>
      </w:r>
    </w:p>
  </w:footnote>
  <w:footnote w:id="1">
    <w:p w14:paraId="1E1356E9" w14:textId="4B89CFFB" w:rsidR="009F1B1C" w:rsidRDefault="009F1B1C">
      <w:pPr>
        <w:pStyle w:val="FootnoteText"/>
      </w:pPr>
      <w:r>
        <w:rPr>
          <w:rStyle w:val="FootnoteReference"/>
        </w:rPr>
        <w:footnoteRef/>
      </w:r>
      <w:r>
        <w:t xml:space="preserve"> Oxford (UK) Dictionary. Online </w:t>
      </w:r>
      <w:hyperlink r:id="rId1" w:history="1">
        <w:r w:rsidRPr="00626D05">
          <w:rPr>
            <w:rStyle w:val="Hyperlink"/>
            <w:color w:val="0000FF"/>
          </w:rPr>
          <w:t>https://www.lexico.com/definition/overtone</w:t>
        </w:r>
      </w:hyperlink>
      <w:r>
        <w:t xml:space="preserve"> . </w:t>
      </w:r>
      <w:r w:rsidR="009A1C93">
        <w:t>[</w:t>
      </w:r>
      <w:r>
        <w:t>Accessed November 8, 2021</w:t>
      </w:r>
      <w:r w:rsidR="009A1C93">
        <w:t>]</w:t>
      </w:r>
      <w:r>
        <w:t>.</w:t>
      </w:r>
    </w:p>
  </w:footnote>
  <w:footnote w:id="2">
    <w:p w14:paraId="0C61A970" w14:textId="5F3DE2B1" w:rsidR="00503C48" w:rsidRPr="00503C48" w:rsidRDefault="00503C48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bookmarkStart w:id="0" w:name="_Hlk88560327"/>
      <w:proofErr w:type="spellStart"/>
      <w:r>
        <w:t>Sonu</w:t>
      </w:r>
      <w:proofErr w:type="spellEnd"/>
      <w:r>
        <w:t xml:space="preserve"> Shamdasani, ‘Misunderstanding Jung: The Afterlife of Legends’, </w:t>
      </w:r>
      <w:r>
        <w:rPr>
          <w:i/>
          <w:iCs/>
        </w:rPr>
        <w:t xml:space="preserve">Journal of Analytical Psychology, </w:t>
      </w:r>
      <w:r>
        <w:t>45 (2000), pp. 459.</w:t>
      </w:r>
      <w:bookmarkEnd w:id="0"/>
    </w:p>
  </w:footnote>
  <w:footnote w:id="3">
    <w:p w14:paraId="09F7BC4E" w14:textId="7CC8E0DB" w:rsidR="005942FC" w:rsidRDefault="005942FC" w:rsidP="005942FC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5942FC">
        <w:rPr>
          <w:rFonts w:eastAsia="Times New Roman" w:cstheme="minorHAnsi"/>
          <w:lang w:eastAsia="en-CA"/>
        </w:rPr>
        <w:t>C. G.</w:t>
      </w:r>
      <w:r w:rsidR="00910C85">
        <w:rPr>
          <w:rFonts w:eastAsia="Times New Roman" w:cstheme="minorHAnsi"/>
          <w:lang w:eastAsia="en-CA"/>
        </w:rPr>
        <w:t xml:space="preserve"> </w:t>
      </w:r>
      <w:r w:rsidR="00910C85" w:rsidRPr="005942FC">
        <w:rPr>
          <w:rFonts w:eastAsia="Times New Roman" w:cstheme="minorHAnsi"/>
          <w:lang w:eastAsia="en-CA"/>
        </w:rPr>
        <w:t>Jung</w:t>
      </w:r>
      <w:r w:rsidRPr="005942FC">
        <w:rPr>
          <w:rFonts w:eastAsia="Times New Roman" w:cstheme="minorHAnsi"/>
          <w:lang w:eastAsia="en-CA"/>
        </w:rPr>
        <w:t>, ‘</w:t>
      </w:r>
      <w:r w:rsidRPr="005942FC">
        <w:rPr>
          <w:rFonts w:eastAsia="Times New Roman" w:cstheme="minorHAnsi"/>
          <w:i/>
          <w:iCs/>
          <w:lang w:eastAsia="en-CA"/>
        </w:rPr>
        <w:t>Gnostic Symbols of the Self’</w:t>
      </w:r>
      <w:r w:rsidRPr="005942FC">
        <w:rPr>
          <w:rFonts w:eastAsia="Times New Roman" w:cstheme="minorHAnsi"/>
          <w:lang w:eastAsia="en-CA"/>
        </w:rPr>
        <w:t xml:space="preserve">, (from </w:t>
      </w:r>
      <w:r w:rsidRPr="005942FC">
        <w:rPr>
          <w:rFonts w:eastAsia="Times New Roman" w:cstheme="minorHAnsi"/>
          <w:i/>
          <w:iCs/>
          <w:lang w:eastAsia="en-CA"/>
        </w:rPr>
        <w:t xml:space="preserve">Collected Works of C.G. Jung, Volume 9, Part 2: Aion: </w:t>
      </w:r>
      <w:proofErr w:type="gramStart"/>
      <w:r w:rsidRPr="005942FC">
        <w:rPr>
          <w:rFonts w:eastAsia="Times New Roman" w:cstheme="minorHAnsi"/>
          <w:i/>
          <w:iCs/>
          <w:lang w:eastAsia="en-CA"/>
        </w:rPr>
        <w:t>Researches</w:t>
      </w:r>
      <w:proofErr w:type="gramEnd"/>
      <w:r w:rsidRPr="005942FC">
        <w:rPr>
          <w:rFonts w:eastAsia="Times New Roman" w:cstheme="minorHAnsi"/>
          <w:i/>
          <w:iCs/>
          <w:lang w:eastAsia="en-CA"/>
        </w:rPr>
        <w:t xml:space="preserve"> into the Phenomenology of the Self)</w:t>
      </w:r>
      <w:r w:rsidRPr="005942FC">
        <w:rPr>
          <w:rFonts w:eastAsia="Times New Roman" w:cstheme="minorHAnsi"/>
          <w:lang w:eastAsia="en-CA"/>
        </w:rPr>
        <w:t>, ed. Gerhard Adler and R. F. C. Hull, (Princeton, NJ: Princeton University Press, 1959), pp. 184–221</w:t>
      </w:r>
      <w:r>
        <w:rPr>
          <w:rFonts w:eastAsia="Times New Roman" w:cstheme="minorHAnsi"/>
          <w:lang w:eastAsia="en-CA"/>
        </w:rPr>
        <w:t>.</w:t>
      </w:r>
    </w:p>
  </w:footnote>
  <w:footnote w:id="4">
    <w:p w14:paraId="319234FE" w14:textId="6DAA5E3E" w:rsidR="006478EA" w:rsidRPr="006478EA" w:rsidRDefault="006478EA" w:rsidP="006478EA">
      <w:pPr>
        <w:spacing w:after="0" w:line="276" w:lineRule="auto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413BE4">
        <w:rPr>
          <w:sz w:val="20"/>
          <w:szCs w:val="20"/>
        </w:rPr>
        <w:t>Robert A. Segal,</w:t>
      </w:r>
      <w:r w:rsidR="00ED7477">
        <w:rPr>
          <w:sz w:val="20"/>
          <w:szCs w:val="20"/>
        </w:rPr>
        <w:t xml:space="preserve"> ‘Introduction: The Gnostic Jung’,</w:t>
      </w:r>
      <w:r w:rsidRPr="00413BE4">
        <w:rPr>
          <w:sz w:val="20"/>
          <w:szCs w:val="20"/>
        </w:rPr>
        <w:t xml:space="preserve"> </w:t>
      </w:r>
      <w:r w:rsidRPr="00413BE4">
        <w:rPr>
          <w:i/>
          <w:iCs/>
          <w:sz w:val="20"/>
          <w:szCs w:val="20"/>
        </w:rPr>
        <w:t xml:space="preserve">The Gnostic Jung </w:t>
      </w:r>
      <w:r w:rsidRPr="00413BE4">
        <w:rPr>
          <w:sz w:val="20"/>
          <w:szCs w:val="20"/>
        </w:rPr>
        <w:t>(Princeton NJ: Princeton University Press, 1992), pp. 35.</w:t>
      </w:r>
    </w:p>
  </w:footnote>
  <w:footnote w:id="5">
    <w:p w14:paraId="58E9CC27" w14:textId="1A22ECB3" w:rsidR="004C4221" w:rsidRPr="00333FE3" w:rsidRDefault="004C4221" w:rsidP="004C4221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333FE3">
        <w:rPr>
          <w:rFonts w:cstheme="minorHAnsi"/>
        </w:rPr>
        <w:t>Priscilla A</w:t>
      </w:r>
      <w:r>
        <w:rPr>
          <w:rFonts w:cstheme="minorHAnsi"/>
        </w:rPr>
        <w:t>nne Costello</w:t>
      </w:r>
      <w:r w:rsidRPr="00333FE3">
        <w:rPr>
          <w:rFonts w:cstheme="minorHAnsi"/>
        </w:rPr>
        <w:t xml:space="preserve">, ‘Gnosticism </w:t>
      </w:r>
      <w:r w:rsidR="00192B5D">
        <w:rPr>
          <w:rFonts w:cstheme="minorHAnsi"/>
        </w:rPr>
        <w:t>T</w:t>
      </w:r>
      <w:r w:rsidRPr="00333FE3">
        <w:rPr>
          <w:rFonts w:cstheme="minorHAnsi"/>
        </w:rPr>
        <w:t xml:space="preserve">hen and Now: From the First Centuries A.D. to the Psychology of C. G. Jung’, </w:t>
      </w:r>
      <w:r w:rsidRPr="00333FE3">
        <w:rPr>
          <w:rFonts w:eastAsia="Times New Roman" w:cstheme="minorHAnsi"/>
          <w:lang w:eastAsia="en-CA"/>
        </w:rPr>
        <w:t xml:space="preserve">(unpublished doctoral thesis, Toronto ON: </w:t>
      </w:r>
      <w:r w:rsidRPr="00333FE3">
        <w:rPr>
          <w:rFonts w:cstheme="minorHAnsi"/>
        </w:rPr>
        <w:t>York University, 1993)</w:t>
      </w:r>
      <w:r>
        <w:rPr>
          <w:rFonts w:cstheme="minorHAnsi"/>
        </w:rPr>
        <w:t xml:space="preserve">, pp. </w:t>
      </w:r>
      <w:r>
        <w:rPr>
          <w:rFonts w:cstheme="minorHAnsi"/>
        </w:rPr>
        <w:t>ii</w:t>
      </w:r>
      <w:r>
        <w:rPr>
          <w:rFonts w:cstheme="minorHAnsi"/>
        </w:rPr>
        <w:t>.</w:t>
      </w:r>
    </w:p>
  </w:footnote>
  <w:footnote w:id="6">
    <w:p w14:paraId="4B136767" w14:textId="7D492699" w:rsidR="00624AFA" w:rsidRDefault="00624AFA" w:rsidP="00624AFA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333FE3">
        <w:rPr>
          <w:rFonts w:cstheme="minorHAnsi"/>
        </w:rPr>
        <w:t>Priscilla A</w:t>
      </w:r>
      <w:r>
        <w:rPr>
          <w:rFonts w:cstheme="minorHAnsi"/>
        </w:rPr>
        <w:t>nne Costello</w:t>
      </w:r>
      <w:r w:rsidRPr="00333FE3">
        <w:rPr>
          <w:rFonts w:cstheme="minorHAnsi"/>
        </w:rPr>
        <w:t xml:space="preserve">, ‘Gnosticism </w:t>
      </w:r>
      <w:r>
        <w:rPr>
          <w:rFonts w:cstheme="minorHAnsi"/>
        </w:rPr>
        <w:t>T</w:t>
      </w:r>
      <w:r w:rsidRPr="00333FE3">
        <w:rPr>
          <w:rFonts w:cstheme="minorHAnsi"/>
        </w:rPr>
        <w:t>hen and Now: From the First Centuries A.D. to the Psychology of C. G. Jung’,</w:t>
      </w:r>
      <w:r>
        <w:rPr>
          <w:rFonts w:cstheme="minorHAnsi"/>
        </w:rPr>
        <w:t xml:space="preserve"> pp. 164-209.</w:t>
      </w:r>
    </w:p>
  </w:footnote>
  <w:footnote w:id="7">
    <w:p w14:paraId="22A91043" w14:textId="5954A7F1" w:rsidR="00413BE4" w:rsidRPr="00413BE4" w:rsidRDefault="00413BE4" w:rsidP="00C03EA7">
      <w:pPr>
        <w:spacing w:after="0" w:line="276" w:lineRule="auto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413BE4">
        <w:rPr>
          <w:sz w:val="20"/>
          <w:szCs w:val="20"/>
        </w:rPr>
        <w:t xml:space="preserve">C.G. Jung, ‘VII Sermones ad Mortuos’, in C.G. Jung, </w:t>
      </w:r>
      <w:r w:rsidRPr="00413BE4">
        <w:rPr>
          <w:i/>
          <w:iCs/>
          <w:sz w:val="20"/>
          <w:szCs w:val="20"/>
        </w:rPr>
        <w:t xml:space="preserve">Memories, Dreams, Reflections </w:t>
      </w:r>
      <w:r w:rsidRPr="00413BE4">
        <w:rPr>
          <w:sz w:val="20"/>
          <w:szCs w:val="20"/>
        </w:rPr>
        <w:t>(New York: Pantheon Books, 1961)</w:t>
      </w:r>
      <w:r>
        <w:t xml:space="preserve"> </w:t>
      </w:r>
      <w:r w:rsidRPr="00413BE4">
        <w:rPr>
          <w:sz w:val="20"/>
          <w:szCs w:val="20"/>
        </w:rPr>
        <w:t xml:space="preserve">quoted in </w:t>
      </w:r>
      <w:proofErr w:type="spellStart"/>
      <w:r>
        <w:rPr>
          <w:sz w:val="20"/>
          <w:szCs w:val="20"/>
        </w:rPr>
        <w:t>Jef</w:t>
      </w:r>
      <w:proofErr w:type="spellEnd"/>
      <w:r>
        <w:rPr>
          <w:sz w:val="20"/>
          <w:szCs w:val="20"/>
        </w:rPr>
        <w:t xml:space="preserve"> </w:t>
      </w:r>
      <w:proofErr w:type="spellStart"/>
      <w:r w:rsidRPr="00413BE4">
        <w:rPr>
          <w:sz w:val="20"/>
          <w:szCs w:val="20"/>
        </w:rPr>
        <w:t>Dehing</w:t>
      </w:r>
      <w:proofErr w:type="spellEnd"/>
      <w:r w:rsidRPr="00413BE4">
        <w:rPr>
          <w:sz w:val="20"/>
          <w:szCs w:val="20"/>
        </w:rPr>
        <w:t>, ‘Jung and Knowledge: From Gnosis to Praxis’</w:t>
      </w:r>
      <w:r w:rsidRPr="00413BE4">
        <w:rPr>
          <w:i/>
          <w:iCs/>
          <w:sz w:val="20"/>
          <w:szCs w:val="20"/>
        </w:rPr>
        <w:t xml:space="preserve">, Journal of Analytical Psychology, </w:t>
      </w:r>
      <w:r w:rsidRPr="00413BE4">
        <w:rPr>
          <w:sz w:val="20"/>
          <w:szCs w:val="20"/>
        </w:rPr>
        <w:t>35 (4) (1990), pp. 37</w:t>
      </w:r>
      <w:r>
        <w:rPr>
          <w:sz w:val="20"/>
          <w:szCs w:val="20"/>
        </w:rPr>
        <w:t>9</w:t>
      </w:r>
      <w:r w:rsidRPr="00413BE4">
        <w:rPr>
          <w:sz w:val="20"/>
          <w:szCs w:val="20"/>
        </w:rPr>
        <w:t>.</w:t>
      </w:r>
    </w:p>
  </w:footnote>
  <w:footnote w:id="8">
    <w:p w14:paraId="6415ACE9" w14:textId="6B55B129" w:rsidR="00652459" w:rsidRDefault="00652459" w:rsidP="00C03EA7">
      <w:pPr>
        <w:pStyle w:val="FootnoteText"/>
        <w:spacing w:line="276" w:lineRule="auto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4D3CD9">
        <w:t xml:space="preserve">C.G. </w:t>
      </w:r>
      <w:r>
        <w:t xml:space="preserve">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</w:t>
      </w:r>
      <w:r>
        <w:rPr>
          <w:i/>
          <w:iCs/>
        </w:rPr>
        <w:t xml:space="preserve"> </w:t>
      </w:r>
      <w:r>
        <w:t>(Princeton NJ: Princeton University Press, 1992), pp. 181.</w:t>
      </w:r>
    </w:p>
  </w:footnote>
  <w:footnote w:id="9">
    <w:p w14:paraId="71C02074" w14:textId="3475D914" w:rsidR="00EF4A8D" w:rsidRDefault="00EF4A8D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C.G. 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</w:t>
      </w:r>
      <w:r>
        <w:rPr>
          <w:i/>
          <w:iCs/>
        </w:rPr>
        <w:t xml:space="preserve"> </w:t>
      </w:r>
      <w:r>
        <w:t>(Princeton NJ: Princeton University Press, 1992), pp. 188.</w:t>
      </w:r>
    </w:p>
  </w:footnote>
  <w:footnote w:id="10">
    <w:p w14:paraId="2B66009D" w14:textId="695DC570" w:rsidR="009F2862" w:rsidRPr="00C929D6" w:rsidRDefault="009F2862" w:rsidP="00C03EA7">
      <w:pPr>
        <w:pStyle w:val="FootnoteText"/>
        <w:spacing w:line="276" w:lineRule="auto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6478EA">
        <w:rPr>
          <w:rFonts w:eastAsia="Times New Roman" w:cstheme="minorHAnsi"/>
          <w:lang w:eastAsia="en-CA"/>
        </w:rPr>
        <w:t>Clyde S. Douglas, ‘The Seven Sermons to the Dead and the Transcendent Function: The Gnostic Roots of Jungian Psychology’, (unpublished doctoral thesis, Sofia University, 2015)</w:t>
      </w:r>
      <w:r w:rsidR="00C929D6" w:rsidRPr="006478EA">
        <w:rPr>
          <w:rFonts w:eastAsia="Times New Roman" w:cstheme="minorHAnsi"/>
          <w:lang w:eastAsia="en-CA"/>
        </w:rPr>
        <w:t>, pp. xi.</w:t>
      </w:r>
    </w:p>
  </w:footnote>
  <w:footnote w:id="11">
    <w:p w14:paraId="2D2C4F9E" w14:textId="5AD6DE15" w:rsidR="008619CC" w:rsidRDefault="008619CC" w:rsidP="009F2862">
      <w:pPr>
        <w:spacing w:after="0" w:line="276" w:lineRule="auto"/>
      </w:pPr>
      <w:r>
        <w:rPr>
          <w:rStyle w:val="FootnoteReference"/>
        </w:rPr>
        <w:footnoteRef/>
      </w:r>
      <w:r>
        <w:t xml:space="preserve"> </w:t>
      </w:r>
      <w:r w:rsidRPr="008619CC">
        <w:rPr>
          <w:sz w:val="20"/>
          <w:szCs w:val="20"/>
        </w:rPr>
        <w:t>Judith</w:t>
      </w:r>
      <w:r>
        <w:rPr>
          <w:sz w:val="20"/>
          <w:szCs w:val="20"/>
        </w:rPr>
        <w:t xml:space="preserve"> Hubback</w:t>
      </w:r>
      <w:r w:rsidRPr="008619CC">
        <w:rPr>
          <w:sz w:val="20"/>
          <w:szCs w:val="20"/>
        </w:rPr>
        <w:t xml:space="preserve">, ‘VII Sermones ad Mortuos’, </w:t>
      </w:r>
      <w:r w:rsidRPr="008619CC">
        <w:rPr>
          <w:i/>
          <w:iCs/>
          <w:sz w:val="20"/>
          <w:szCs w:val="20"/>
        </w:rPr>
        <w:t xml:space="preserve">Journal of Analytical Psychology, </w:t>
      </w:r>
      <w:r w:rsidRPr="008619CC">
        <w:rPr>
          <w:sz w:val="20"/>
          <w:szCs w:val="20"/>
        </w:rPr>
        <w:t>11 (2) (1966), pp. 9</w:t>
      </w:r>
      <w:r>
        <w:rPr>
          <w:sz w:val="20"/>
          <w:szCs w:val="20"/>
        </w:rPr>
        <w:t>5.</w:t>
      </w:r>
    </w:p>
  </w:footnote>
  <w:footnote w:id="12">
    <w:p w14:paraId="33C3C56E" w14:textId="1AE183F7" w:rsidR="004F44C5" w:rsidRDefault="004F44C5" w:rsidP="00C03EA7">
      <w:pPr>
        <w:spacing w:after="0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B201FA" w:rsidRPr="00B201FA">
        <w:rPr>
          <w:sz w:val="20"/>
          <w:szCs w:val="20"/>
        </w:rPr>
        <w:t xml:space="preserve">Gilles </w:t>
      </w:r>
      <w:proofErr w:type="spellStart"/>
      <w:r w:rsidRPr="004F44C5">
        <w:rPr>
          <w:sz w:val="20"/>
          <w:szCs w:val="20"/>
        </w:rPr>
        <w:t>Quispel</w:t>
      </w:r>
      <w:proofErr w:type="spellEnd"/>
      <w:r w:rsidRPr="004F44C5">
        <w:rPr>
          <w:sz w:val="20"/>
          <w:szCs w:val="20"/>
        </w:rPr>
        <w:t xml:space="preserve">, </w:t>
      </w:r>
      <w:r w:rsidR="002511E4">
        <w:rPr>
          <w:sz w:val="20"/>
          <w:szCs w:val="20"/>
        </w:rPr>
        <w:t>‘</w:t>
      </w:r>
      <w:r w:rsidRPr="002511E4">
        <w:rPr>
          <w:i/>
          <w:iCs/>
          <w:sz w:val="20"/>
          <w:szCs w:val="20"/>
        </w:rPr>
        <w:t>C.G. Jung und die Gnosis</w:t>
      </w:r>
      <w:r w:rsidRPr="004F44C5">
        <w:rPr>
          <w:sz w:val="20"/>
          <w:szCs w:val="20"/>
        </w:rPr>
        <w:t>’</w:t>
      </w:r>
      <w:r w:rsidR="00B201FA">
        <w:rPr>
          <w:sz w:val="20"/>
          <w:szCs w:val="20"/>
        </w:rPr>
        <w:t xml:space="preserve"> (Jung and Gnosis)</w:t>
      </w:r>
      <w:r w:rsidRPr="004F44C5">
        <w:rPr>
          <w:sz w:val="20"/>
          <w:szCs w:val="20"/>
        </w:rPr>
        <w:t xml:space="preserve">, in </w:t>
      </w:r>
      <w:r w:rsidRPr="004F44C5">
        <w:rPr>
          <w:i/>
          <w:iCs/>
          <w:sz w:val="20"/>
          <w:szCs w:val="20"/>
        </w:rPr>
        <w:t xml:space="preserve">The Gnostic Jung, </w:t>
      </w:r>
      <w:r w:rsidR="00B201FA">
        <w:rPr>
          <w:sz w:val="20"/>
          <w:szCs w:val="20"/>
        </w:rPr>
        <w:t>trans. b</w:t>
      </w:r>
      <w:r w:rsidRPr="004F44C5">
        <w:rPr>
          <w:sz w:val="20"/>
          <w:szCs w:val="20"/>
        </w:rPr>
        <w:t>y Robert A. Segal (Princeton NJ: Princeton University Press, 1992), pp. 2</w:t>
      </w:r>
      <w:r>
        <w:rPr>
          <w:sz w:val="20"/>
          <w:szCs w:val="20"/>
        </w:rPr>
        <w:t>22</w:t>
      </w:r>
      <w:r w:rsidRPr="004F44C5">
        <w:rPr>
          <w:sz w:val="20"/>
          <w:szCs w:val="20"/>
        </w:rPr>
        <w:t>.</w:t>
      </w:r>
    </w:p>
  </w:footnote>
  <w:footnote w:id="13">
    <w:p w14:paraId="6530AB96" w14:textId="3A5D8138" w:rsidR="005648CB" w:rsidRDefault="005648CB" w:rsidP="004F44C5">
      <w:pPr>
        <w:pStyle w:val="FootnoteText"/>
        <w:spacing w:line="259" w:lineRule="auto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Jef</w:t>
      </w:r>
      <w:proofErr w:type="spellEnd"/>
      <w:r>
        <w:t xml:space="preserve"> </w:t>
      </w:r>
      <w:proofErr w:type="spellStart"/>
      <w:r>
        <w:t>Dehing</w:t>
      </w:r>
      <w:proofErr w:type="spellEnd"/>
      <w:r>
        <w:t>, ‘Jung and Knowledge: From Gnosis to Praxis’</w:t>
      </w:r>
      <w:r>
        <w:rPr>
          <w:i/>
          <w:iCs/>
        </w:rPr>
        <w:t xml:space="preserve">, Journal of Analytical Psychology, </w:t>
      </w:r>
      <w:r>
        <w:t>35 (4) (1990), pp. 379.</w:t>
      </w:r>
    </w:p>
  </w:footnote>
  <w:footnote w:id="14">
    <w:p w14:paraId="23E1042B" w14:textId="2459E23D" w:rsidR="006F4132" w:rsidRDefault="006F4132" w:rsidP="004F44C5">
      <w:pPr>
        <w:pStyle w:val="FootnoteText"/>
        <w:spacing w:line="259" w:lineRule="auto"/>
      </w:pPr>
      <w:r>
        <w:rPr>
          <w:rStyle w:val="FootnoteReference"/>
        </w:rPr>
        <w:footnoteRef/>
      </w:r>
      <w:r>
        <w:t xml:space="preserve"> </w:t>
      </w:r>
      <w:r w:rsidRPr="00413BE4">
        <w:t xml:space="preserve">Robert A. Segal, </w:t>
      </w:r>
      <w:r w:rsidRPr="00413BE4">
        <w:rPr>
          <w:i/>
          <w:iCs/>
        </w:rPr>
        <w:t xml:space="preserve">The Gnostic Jung </w:t>
      </w:r>
      <w:r w:rsidRPr="00413BE4">
        <w:t>(Princeton NJ: Princeton University Press, 1992), pp. 3</w:t>
      </w:r>
      <w:r>
        <w:t>6</w:t>
      </w:r>
      <w:r w:rsidRPr="00413BE4">
        <w:t>.</w:t>
      </w:r>
    </w:p>
  </w:footnote>
  <w:footnote w:id="15">
    <w:p w14:paraId="1DE925FB" w14:textId="7DBB6032" w:rsidR="006C4850" w:rsidRDefault="006C4850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E.M. Brenner, ‘Gnosticism and Psychology: Jung’s </w:t>
      </w:r>
      <w:r w:rsidRPr="00747C27">
        <w:t>Septem Sermones ad Mortuos</w:t>
      </w:r>
      <w:r>
        <w:t>’</w:t>
      </w:r>
      <w:r>
        <w:rPr>
          <w:i/>
          <w:iCs/>
        </w:rPr>
        <w:t xml:space="preserve">, Journal of Analytical Psychology, </w:t>
      </w:r>
      <w:r>
        <w:t>35 (4) (1990), pp. 398.</w:t>
      </w:r>
    </w:p>
  </w:footnote>
  <w:footnote w:id="16">
    <w:p w14:paraId="31513F56" w14:textId="4E19EF84" w:rsidR="004F44C5" w:rsidRDefault="004F44C5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F44C5">
        <w:t>Quispel</w:t>
      </w:r>
      <w:proofErr w:type="spellEnd"/>
      <w:r w:rsidRPr="004F44C5">
        <w:t xml:space="preserve">, Gilles, </w:t>
      </w:r>
      <w:r w:rsidR="001F5583" w:rsidRPr="001F5583">
        <w:rPr>
          <w:i/>
          <w:iCs/>
        </w:rPr>
        <w:t>‘</w:t>
      </w:r>
      <w:r w:rsidRPr="001F5583">
        <w:rPr>
          <w:i/>
          <w:iCs/>
        </w:rPr>
        <w:t>C.G. Jung und die Gnosis’</w:t>
      </w:r>
      <w:r w:rsidR="001F5583">
        <w:t xml:space="preserve"> </w:t>
      </w:r>
      <w:r w:rsidR="001F5583">
        <w:t>(Jung and Gnosis)</w:t>
      </w:r>
      <w:r w:rsidR="001F5583" w:rsidRPr="004F44C5">
        <w:t xml:space="preserve">, in </w:t>
      </w:r>
      <w:r w:rsidR="001F5583" w:rsidRPr="004F44C5">
        <w:rPr>
          <w:i/>
          <w:iCs/>
        </w:rPr>
        <w:t xml:space="preserve">The Gnostic Jung, </w:t>
      </w:r>
      <w:r w:rsidR="001F5583">
        <w:t xml:space="preserve">trans. </w:t>
      </w:r>
      <w:r w:rsidRPr="004F44C5">
        <w:t>Robert A. Segal (Princeton NJ: Princeton University Press, 1992), pp. 2</w:t>
      </w:r>
      <w:r w:rsidR="001F6D55">
        <w:t>38</w:t>
      </w:r>
      <w:r w:rsidRPr="004F44C5">
        <w:t>.</w:t>
      </w:r>
    </w:p>
  </w:footnote>
  <w:footnote w:id="17">
    <w:p w14:paraId="5B9C6AC3" w14:textId="69DB7FB2" w:rsidR="004D3CD9" w:rsidRDefault="004D3CD9" w:rsidP="005648CB">
      <w:pPr>
        <w:pStyle w:val="FootnoteText"/>
        <w:spacing w:line="276" w:lineRule="auto"/>
      </w:pPr>
      <w:r>
        <w:rPr>
          <w:rStyle w:val="FootnoteReference"/>
        </w:rPr>
        <w:footnoteRef/>
      </w:r>
      <w:r>
        <w:t xml:space="preserve"> C.G. 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Segal, pp. 181.</w:t>
      </w:r>
    </w:p>
  </w:footnote>
  <w:footnote w:id="18">
    <w:p w14:paraId="3CCF7DCF" w14:textId="0B0CF013" w:rsidR="004D3CD9" w:rsidRDefault="004D3CD9" w:rsidP="00C03EA7">
      <w:pPr>
        <w:pStyle w:val="FootnoteText"/>
        <w:spacing w:line="259" w:lineRule="auto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7F0F5D">
        <w:t xml:space="preserve">E.M. </w:t>
      </w:r>
      <w:r>
        <w:t>Brenner</w:t>
      </w:r>
      <w:r w:rsidR="007F0F5D">
        <w:t>,</w:t>
      </w:r>
      <w:r>
        <w:t xml:space="preserve"> ‘Gnosticism and Psychology: Jung’s </w:t>
      </w:r>
      <w:r w:rsidRPr="00747C27">
        <w:t>Septem Sermones ad Mortuos</w:t>
      </w:r>
      <w:r>
        <w:t>’</w:t>
      </w:r>
      <w:r>
        <w:rPr>
          <w:i/>
          <w:iCs/>
        </w:rPr>
        <w:t xml:space="preserve">, Journal of Analytical Psychology, </w:t>
      </w:r>
      <w:r>
        <w:t>35 (4) (1990), pp. 39</w:t>
      </w:r>
      <w:r w:rsidR="007F0F5D">
        <w:t>9.</w:t>
      </w:r>
    </w:p>
  </w:footnote>
  <w:footnote w:id="19">
    <w:p w14:paraId="5B0D4734" w14:textId="6D6FF1D9" w:rsidR="00F66420" w:rsidRDefault="00F66420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C.G. 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Segal, pp. 182-</w:t>
      </w:r>
      <w:proofErr w:type="gramStart"/>
      <w:r>
        <w:t>183.</w:t>
      </w:r>
      <w:r w:rsidR="003E76D9">
        <w:t>(</w:t>
      </w:r>
      <w:proofErr w:type="gramEnd"/>
      <w:r w:rsidR="003E76D9">
        <w:t>emphases in original).</w:t>
      </w:r>
    </w:p>
  </w:footnote>
  <w:footnote w:id="20">
    <w:p w14:paraId="0EB068B7" w14:textId="3F216494" w:rsidR="009B6E3B" w:rsidRDefault="009B6E3B">
      <w:pPr>
        <w:pStyle w:val="FootnoteText"/>
      </w:pPr>
      <w:r>
        <w:rPr>
          <w:rStyle w:val="FootnoteReference"/>
        </w:rPr>
        <w:footnoteRef/>
      </w:r>
      <w:r>
        <w:t xml:space="preserve"> C.G. 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Segal, pp. 193.</w:t>
      </w:r>
    </w:p>
  </w:footnote>
  <w:footnote w:id="21">
    <w:p w14:paraId="0CCD892B" w14:textId="028204B1" w:rsidR="004E2A55" w:rsidRDefault="004E2A55">
      <w:pPr>
        <w:pStyle w:val="FootnoteText"/>
      </w:pPr>
      <w:r>
        <w:rPr>
          <w:rStyle w:val="FootnoteReference"/>
        </w:rPr>
        <w:footnoteRef/>
      </w:r>
      <w:r>
        <w:t xml:space="preserve"> C.G. Jung, ‘Septem Sermones ad Mortuos’, in </w:t>
      </w:r>
      <w:r>
        <w:rPr>
          <w:i/>
          <w:iCs/>
        </w:rPr>
        <w:t xml:space="preserve">The Gnostic Jung, </w:t>
      </w:r>
      <w:r>
        <w:t>ed. by</w:t>
      </w:r>
      <w:r>
        <w:rPr>
          <w:i/>
          <w:iCs/>
        </w:rPr>
        <w:t xml:space="preserve"> </w:t>
      </w:r>
      <w:r>
        <w:t>Robert A. Segal, pp. 186.</w:t>
      </w:r>
    </w:p>
  </w:footnote>
  <w:footnote w:id="22">
    <w:p w14:paraId="66403A67" w14:textId="7586858D" w:rsidR="000979E3" w:rsidRDefault="000979E3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6478EA">
        <w:rPr>
          <w:rFonts w:eastAsia="Times New Roman" w:cstheme="minorHAnsi"/>
          <w:lang w:eastAsia="en-CA"/>
        </w:rPr>
        <w:t xml:space="preserve">Clyde S. Douglas, ‘The Seven Sermons to the Dead and the Transcendent Function: The Gnostic Roots of Jungian Psychology’, (unpublished doctoral thesis, Sofia University, 2015), pp. </w:t>
      </w:r>
      <w:r>
        <w:rPr>
          <w:rFonts w:eastAsia="Times New Roman" w:cstheme="minorHAnsi"/>
          <w:lang w:eastAsia="en-CA"/>
        </w:rPr>
        <w:t>iii.</w:t>
      </w:r>
    </w:p>
  </w:footnote>
  <w:footnote w:id="23">
    <w:p w14:paraId="39955CC8" w14:textId="690206EE" w:rsidR="0095757A" w:rsidRDefault="009575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Jef</w:t>
      </w:r>
      <w:proofErr w:type="spellEnd"/>
      <w:r>
        <w:t xml:space="preserve"> </w:t>
      </w:r>
      <w:proofErr w:type="spellStart"/>
      <w:r>
        <w:t>Dehing</w:t>
      </w:r>
      <w:proofErr w:type="spellEnd"/>
      <w:r>
        <w:t>, ‘Jung and Knowledge: From Gnosis to Praxis’</w:t>
      </w:r>
      <w:r>
        <w:rPr>
          <w:i/>
          <w:iCs/>
        </w:rPr>
        <w:t xml:space="preserve">, Journal of Analytical Psychology, </w:t>
      </w:r>
      <w:r>
        <w:t>35 (4) (1990), pp. 390.</w:t>
      </w:r>
    </w:p>
  </w:footnote>
  <w:footnote w:id="24">
    <w:p w14:paraId="5FD96770" w14:textId="7725B87C" w:rsidR="00795AE6" w:rsidRDefault="00795AE6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John </w:t>
      </w:r>
      <w:proofErr w:type="spellStart"/>
      <w:r>
        <w:rPr>
          <w:rFonts w:eastAsia="Times New Roman" w:cstheme="minorHAnsi"/>
          <w:lang w:eastAsia="en-CA"/>
        </w:rPr>
        <w:t>Pennachio</w:t>
      </w:r>
      <w:proofErr w:type="spellEnd"/>
      <w:r>
        <w:rPr>
          <w:rFonts w:eastAsia="Times New Roman" w:cstheme="minorHAnsi"/>
          <w:lang w:eastAsia="en-CA"/>
        </w:rPr>
        <w:t xml:space="preserve">, ‘Gnostic Inner Illumination and Carl Jung’s Individuation’, </w:t>
      </w:r>
      <w:r>
        <w:rPr>
          <w:rFonts w:eastAsia="Times New Roman" w:cstheme="minorHAnsi"/>
          <w:i/>
          <w:iCs/>
          <w:lang w:eastAsia="en-CA"/>
        </w:rPr>
        <w:t xml:space="preserve">Journal of Religion and Health, </w:t>
      </w:r>
      <w:r>
        <w:rPr>
          <w:rFonts w:eastAsia="Times New Roman" w:cstheme="minorHAnsi"/>
          <w:lang w:eastAsia="en-CA"/>
        </w:rPr>
        <w:t>31 (3), pp. 241.</w:t>
      </w:r>
    </w:p>
  </w:footnote>
  <w:footnote w:id="25">
    <w:p w14:paraId="23B1D28E" w14:textId="1E5CEBF7" w:rsidR="00B15489" w:rsidRDefault="00B15489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194C54">
        <w:t xml:space="preserve">C.G. </w:t>
      </w:r>
      <w:r w:rsidRPr="00C561F5">
        <w:rPr>
          <w:rFonts w:eastAsia="Times New Roman" w:cstheme="minorHAnsi"/>
          <w:lang w:eastAsia="en-CA"/>
        </w:rPr>
        <w:t>Jung,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 w:rsidRPr="00D13797">
        <w:rPr>
          <w:rFonts w:eastAsia="Times New Roman" w:cstheme="minorHAnsi"/>
          <w:i/>
          <w:iCs/>
          <w:lang w:eastAsia="en-CA"/>
        </w:rPr>
        <w:t xml:space="preserve"> </w:t>
      </w:r>
      <w:r w:rsidRPr="00D13797">
        <w:rPr>
          <w:rFonts w:eastAsia="Times New Roman" w:cstheme="minorHAnsi"/>
          <w:lang w:eastAsia="en-CA"/>
        </w:rPr>
        <w:t>(</w:t>
      </w:r>
      <w:r w:rsidRPr="00C561F5">
        <w:rPr>
          <w:rFonts w:eastAsia="Times New Roman" w:cstheme="minorHAnsi"/>
          <w:lang w:eastAsia="en-CA"/>
        </w:rPr>
        <w:t>f</w:t>
      </w:r>
      <w:r w:rsidRPr="00D13797">
        <w:rPr>
          <w:rFonts w:eastAsia="Times New Roman" w:cstheme="minorHAnsi"/>
          <w:lang w:eastAsia="en-CA"/>
        </w:rPr>
        <w:t>rom</w:t>
      </w:r>
      <w:r w:rsidRPr="00C561F5">
        <w:rPr>
          <w:rFonts w:eastAsia="Times New Roman" w:cstheme="minorHAnsi"/>
          <w:i/>
          <w:iCs/>
          <w:lang w:eastAsia="en-CA"/>
        </w:rPr>
        <w:t xml:space="preserve"> </w:t>
      </w:r>
      <w:r w:rsidR="00E45381">
        <w:rPr>
          <w:rFonts w:eastAsia="Times New Roman" w:cstheme="minorHAnsi"/>
          <w:i/>
          <w:iCs/>
          <w:lang w:eastAsia="en-CA"/>
        </w:rPr>
        <w:t>The Archetypes and the Collective Unconscious</w:t>
      </w:r>
      <w:r w:rsidRPr="00C561F5">
        <w:rPr>
          <w:rFonts w:eastAsia="Times New Roman" w:cstheme="minorHAnsi"/>
          <w:i/>
          <w:iCs/>
          <w:lang w:eastAsia="en-CA"/>
        </w:rPr>
        <w:t>,</w:t>
      </w:r>
      <w:r w:rsidRPr="00D13797">
        <w:rPr>
          <w:rFonts w:eastAsia="Times New Roman" w:cstheme="minorHAnsi"/>
          <w:i/>
          <w:iCs/>
          <w:lang w:eastAsia="en-CA"/>
        </w:rPr>
        <w:t xml:space="preserve"> Vol. </w:t>
      </w:r>
      <w:r w:rsidRPr="00C561F5">
        <w:rPr>
          <w:rFonts w:eastAsia="Times New Roman" w:cstheme="minorHAnsi"/>
          <w:i/>
          <w:iCs/>
          <w:lang w:eastAsia="en-CA"/>
        </w:rPr>
        <w:t>9i</w:t>
      </w:r>
      <w:r w:rsidRPr="00D13797">
        <w:rPr>
          <w:rFonts w:eastAsia="Times New Roman" w:cstheme="minorHAnsi"/>
          <w:i/>
          <w:iCs/>
          <w:lang w:eastAsia="en-CA"/>
        </w:rPr>
        <w:t xml:space="preserve"> of the Collected Works of C. G. Jung</w:t>
      </w:r>
      <w:r w:rsidRPr="00C561F5">
        <w:rPr>
          <w:rFonts w:eastAsia="Times New Roman" w:cstheme="minorHAnsi"/>
          <w:lang w:eastAsia="en-CA"/>
        </w:rPr>
        <w:t>)</w:t>
      </w:r>
      <w:r w:rsidRPr="00D13797">
        <w:rPr>
          <w:rFonts w:eastAsia="Times New Roman" w:cstheme="minorHAnsi"/>
          <w:lang w:eastAsia="en-CA"/>
        </w:rPr>
        <w:t xml:space="preserve">, </w:t>
      </w:r>
      <w:r w:rsidRPr="00C561F5">
        <w:rPr>
          <w:rFonts w:eastAsia="Times New Roman" w:cstheme="minorHAnsi"/>
          <w:lang w:eastAsia="en-CA"/>
        </w:rPr>
        <w:t xml:space="preserve">trans. and ed. R.F.C. Hull, (Princeton, NJ: </w:t>
      </w:r>
      <w:r w:rsidRPr="00D13797">
        <w:rPr>
          <w:rFonts w:eastAsia="Times New Roman" w:cstheme="minorHAnsi"/>
          <w:lang w:eastAsia="en-CA"/>
        </w:rPr>
        <w:t>Princeton University Press, 19</w:t>
      </w:r>
      <w:r w:rsidRPr="00C561F5">
        <w:rPr>
          <w:rFonts w:eastAsia="Times New Roman" w:cstheme="minorHAnsi"/>
          <w:lang w:eastAsia="en-CA"/>
        </w:rPr>
        <w:t>69)</w:t>
      </w:r>
      <w:r w:rsidRPr="00D13797">
        <w:rPr>
          <w:rFonts w:eastAsia="Times New Roman" w:cstheme="minorHAnsi"/>
          <w:lang w:eastAsia="en-CA"/>
        </w:rPr>
        <w:t xml:space="preserve">, </w:t>
      </w:r>
      <w:r w:rsidR="007B5E4D" w:rsidRPr="00C561F5">
        <w:rPr>
          <w:rFonts w:eastAsia="Times New Roman" w:cstheme="minorHAnsi"/>
          <w:lang w:eastAsia="en-CA"/>
        </w:rPr>
        <w:t>para. 629</w:t>
      </w:r>
      <w:r w:rsidR="007B5E4D">
        <w:rPr>
          <w:rFonts w:eastAsia="Times New Roman" w:cstheme="minorHAnsi"/>
          <w:lang w:eastAsia="en-CA"/>
        </w:rPr>
        <w:t xml:space="preserve">, </w:t>
      </w:r>
      <w:r w:rsidRPr="00D13797">
        <w:rPr>
          <w:rFonts w:eastAsia="Times New Roman" w:cstheme="minorHAnsi"/>
          <w:lang w:eastAsia="en-CA"/>
        </w:rPr>
        <w:t xml:space="preserve">pp. </w:t>
      </w:r>
      <w:r w:rsidRPr="00C561F5">
        <w:rPr>
          <w:rFonts w:eastAsia="Times New Roman" w:cstheme="minorHAnsi"/>
          <w:lang w:eastAsia="en-CA"/>
        </w:rPr>
        <w:t>71</w:t>
      </w:r>
      <w:r w:rsidR="007B5E4D">
        <w:rPr>
          <w:rFonts w:eastAsia="Times New Roman" w:cstheme="minorHAnsi"/>
          <w:lang w:eastAsia="en-CA"/>
        </w:rPr>
        <w:t>.</w:t>
      </w:r>
      <w:r w:rsidR="00C561F5">
        <w:rPr>
          <w:rFonts w:eastAsia="Times New Roman" w:cstheme="minorHAnsi"/>
          <w:lang w:eastAsia="en-CA"/>
        </w:rPr>
        <w:t xml:space="preserve"> </w:t>
      </w:r>
    </w:p>
  </w:footnote>
  <w:footnote w:id="26">
    <w:p w14:paraId="7EA83BFD" w14:textId="77777777" w:rsidR="00C2194B" w:rsidRDefault="00C2194B" w:rsidP="00C2194B">
      <w:pPr>
        <w:spacing w:after="0"/>
      </w:pPr>
      <w:r>
        <w:rPr>
          <w:rStyle w:val="FootnoteReference"/>
        </w:rPr>
        <w:footnoteRef/>
      </w:r>
      <w:r>
        <w:t xml:space="preserve"> </w:t>
      </w:r>
      <w:r w:rsidRPr="002A162E">
        <w:rPr>
          <w:rFonts w:eastAsia="Times New Roman" w:cstheme="minorHAnsi"/>
          <w:sz w:val="20"/>
          <w:szCs w:val="20"/>
          <w:lang w:eastAsia="en-CA"/>
        </w:rPr>
        <w:t>Donald</w:t>
      </w:r>
      <w:r>
        <w:rPr>
          <w:rFonts w:eastAsia="Times New Roman" w:cstheme="minorHAnsi"/>
          <w:sz w:val="20"/>
          <w:szCs w:val="20"/>
          <w:lang w:eastAsia="en-CA"/>
        </w:rPr>
        <w:t xml:space="preserve"> </w:t>
      </w:r>
      <w:r w:rsidRPr="002A162E">
        <w:rPr>
          <w:rFonts w:eastAsia="Times New Roman" w:cstheme="minorHAnsi"/>
          <w:sz w:val="20"/>
          <w:szCs w:val="20"/>
          <w:lang w:eastAsia="en-CA"/>
        </w:rPr>
        <w:t>Harms, ‘Geometry of the Mandala’,</w:t>
      </w:r>
      <w:r w:rsidRPr="002A162E">
        <w:rPr>
          <w:rFonts w:eastAsia="Times New Roman" w:cstheme="minorHAnsi"/>
          <w:color w:val="555555"/>
          <w:sz w:val="20"/>
          <w:szCs w:val="20"/>
          <w:lang w:eastAsia="en-CA"/>
        </w:rPr>
        <w:t xml:space="preserve"> </w:t>
      </w:r>
      <w:r w:rsidRPr="002A162E">
        <w:rPr>
          <w:rFonts w:eastAsia="Times New Roman" w:cstheme="minorHAnsi"/>
          <w:i/>
          <w:iCs/>
          <w:sz w:val="20"/>
          <w:szCs w:val="20"/>
          <w:lang w:eastAsia="en-CA"/>
        </w:rPr>
        <w:t xml:space="preserve">Jung Journal: Culture &amp; Psyche, </w:t>
      </w:r>
      <w:r w:rsidRPr="002A162E">
        <w:rPr>
          <w:rFonts w:eastAsia="Times New Roman" w:cstheme="minorHAnsi"/>
          <w:sz w:val="20"/>
          <w:szCs w:val="20"/>
          <w:lang w:eastAsia="en-CA"/>
        </w:rPr>
        <w:t>5 (2) (2011), pp. 84.</w:t>
      </w:r>
      <w:r>
        <w:t xml:space="preserve"> </w:t>
      </w:r>
    </w:p>
  </w:footnote>
  <w:footnote w:id="27">
    <w:p w14:paraId="179A0669" w14:textId="4DD03AEF" w:rsidR="007B5E4D" w:rsidRPr="007B5E4D" w:rsidRDefault="007B5E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61F5">
        <w:rPr>
          <w:rFonts w:eastAsia="Times New Roman" w:cstheme="minorHAnsi"/>
          <w:lang w:eastAsia="en-CA"/>
        </w:rPr>
        <w:t>Jung, C.G.,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>
        <w:rPr>
          <w:rFonts w:eastAsia="Times New Roman" w:cstheme="minorHAnsi"/>
          <w:i/>
          <w:iCs/>
          <w:lang w:eastAsia="en-CA"/>
        </w:rPr>
        <w:t xml:space="preserve">, </w:t>
      </w:r>
      <w:r>
        <w:rPr>
          <w:rFonts w:eastAsia="Times New Roman" w:cstheme="minorHAnsi"/>
          <w:lang w:eastAsia="en-CA"/>
        </w:rPr>
        <w:t>para. 634, pp. 73</w:t>
      </w:r>
    </w:p>
  </w:footnote>
  <w:footnote w:id="28">
    <w:p w14:paraId="46AD94CA" w14:textId="5534B3C9" w:rsidR="00B6462F" w:rsidRDefault="00B6462F" w:rsidP="00C03EA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C561F5">
        <w:rPr>
          <w:rFonts w:eastAsia="Times New Roman" w:cstheme="minorHAnsi"/>
          <w:lang w:eastAsia="en-CA"/>
        </w:rPr>
        <w:t>Jung, C.G., ‘</w:t>
      </w:r>
      <w:r w:rsidRPr="003F131B">
        <w:rPr>
          <w:rFonts w:eastAsia="Times New Roman" w:cstheme="minorHAnsi"/>
          <w:lang w:eastAsia="en-CA"/>
        </w:rPr>
        <w:t>‘</w:t>
      </w:r>
      <w:r w:rsidRPr="003F131B">
        <w:rPr>
          <w:rFonts w:eastAsia="Times New Roman" w:cstheme="minorHAnsi"/>
          <w:i/>
          <w:iCs/>
          <w:lang w:eastAsia="en-CA"/>
        </w:rPr>
        <w:t>Gnostic Symbols of the Self’</w:t>
      </w:r>
      <w:r w:rsidRPr="003F131B">
        <w:rPr>
          <w:rFonts w:eastAsia="Times New Roman" w:cstheme="minorHAnsi"/>
          <w:lang w:eastAsia="en-CA"/>
        </w:rPr>
        <w:t xml:space="preserve">, from </w:t>
      </w:r>
      <w:r w:rsidRPr="00A6362C">
        <w:rPr>
          <w:rFonts w:eastAsia="Times New Roman" w:cstheme="minorHAnsi"/>
          <w:i/>
          <w:iCs/>
          <w:lang w:eastAsia="en-CA"/>
        </w:rPr>
        <w:t>Collected Works of C.G. Jung, Volume 9</w:t>
      </w:r>
      <w:r>
        <w:rPr>
          <w:rFonts w:eastAsia="Times New Roman" w:cstheme="minorHAnsi"/>
          <w:i/>
          <w:iCs/>
          <w:lang w:eastAsia="en-CA"/>
        </w:rPr>
        <w:t>ii</w:t>
      </w:r>
      <w:r w:rsidRPr="00A6362C">
        <w:rPr>
          <w:rFonts w:eastAsia="Times New Roman" w:cstheme="minorHAnsi"/>
          <w:i/>
          <w:iCs/>
          <w:lang w:eastAsia="en-CA"/>
        </w:rPr>
        <w:t xml:space="preserve">: Aion: </w:t>
      </w:r>
      <w:proofErr w:type="gramStart"/>
      <w:r w:rsidRPr="00A6362C">
        <w:rPr>
          <w:rFonts w:eastAsia="Times New Roman" w:cstheme="minorHAnsi"/>
          <w:i/>
          <w:iCs/>
          <w:lang w:eastAsia="en-CA"/>
        </w:rPr>
        <w:t>Researches</w:t>
      </w:r>
      <w:proofErr w:type="gramEnd"/>
      <w:r w:rsidRPr="00A6362C">
        <w:rPr>
          <w:rFonts w:eastAsia="Times New Roman" w:cstheme="minorHAnsi"/>
          <w:i/>
          <w:iCs/>
          <w:lang w:eastAsia="en-CA"/>
        </w:rPr>
        <w:t xml:space="preserve"> into the Phenomenology of the Self</w:t>
      </w:r>
      <w:r w:rsidRPr="00A6362C">
        <w:rPr>
          <w:rFonts w:eastAsia="Times New Roman" w:cstheme="minorHAnsi"/>
          <w:lang w:eastAsia="en-CA"/>
        </w:rPr>
        <w:t>, ed</w:t>
      </w:r>
      <w:r w:rsidRPr="003F131B">
        <w:rPr>
          <w:rFonts w:eastAsia="Times New Roman" w:cstheme="minorHAnsi"/>
          <w:lang w:eastAsia="en-CA"/>
        </w:rPr>
        <w:t>.</w:t>
      </w:r>
      <w:r w:rsidRPr="00A6362C">
        <w:rPr>
          <w:rFonts w:eastAsia="Times New Roman" w:cstheme="minorHAnsi"/>
          <w:lang w:eastAsia="en-CA"/>
        </w:rPr>
        <w:t xml:space="preserve"> G</w:t>
      </w:r>
      <w:r w:rsidRPr="003F131B">
        <w:rPr>
          <w:rFonts w:eastAsia="Times New Roman" w:cstheme="minorHAnsi"/>
          <w:lang w:eastAsia="en-CA"/>
        </w:rPr>
        <w:t>erhard</w:t>
      </w:r>
      <w:r w:rsidRPr="00A6362C">
        <w:rPr>
          <w:rFonts w:eastAsia="Times New Roman" w:cstheme="minorHAnsi"/>
          <w:lang w:eastAsia="en-CA"/>
        </w:rPr>
        <w:t xml:space="preserve"> A</w:t>
      </w:r>
      <w:r w:rsidRPr="003F131B">
        <w:rPr>
          <w:rFonts w:eastAsia="Times New Roman" w:cstheme="minorHAnsi"/>
          <w:lang w:eastAsia="en-CA"/>
        </w:rPr>
        <w:t>dler</w:t>
      </w:r>
      <w:r w:rsidRPr="00A6362C">
        <w:rPr>
          <w:rFonts w:eastAsia="Times New Roman" w:cstheme="minorHAnsi"/>
          <w:lang w:eastAsia="en-CA"/>
        </w:rPr>
        <w:t xml:space="preserve"> and R. F. C. H</w:t>
      </w:r>
      <w:r w:rsidRPr="003F131B">
        <w:rPr>
          <w:rFonts w:eastAsia="Times New Roman" w:cstheme="minorHAnsi"/>
          <w:lang w:eastAsia="en-CA"/>
        </w:rPr>
        <w:t>ull</w:t>
      </w:r>
      <w:r w:rsidRPr="00A6362C">
        <w:rPr>
          <w:rFonts w:eastAsia="Times New Roman" w:cstheme="minorHAnsi"/>
          <w:lang w:eastAsia="en-CA"/>
        </w:rPr>
        <w:t xml:space="preserve">, </w:t>
      </w:r>
      <w:r w:rsidRPr="003F131B">
        <w:rPr>
          <w:rFonts w:eastAsia="Times New Roman" w:cstheme="minorHAnsi"/>
          <w:lang w:eastAsia="en-CA"/>
        </w:rPr>
        <w:t xml:space="preserve">(Princeton, NJ: </w:t>
      </w:r>
      <w:r w:rsidRPr="00A6362C">
        <w:rPr>
          <w:rFonts w:eastAsia="Times New Roman" w:cstheme="minorHAnsi"/>
          <w:lang w:eastAsia="en-CA"/>
        </w:rPr>
        <w:t>Princeton University Press, 1959</w:t>
      </w:r>
      <w:r w:rsidRPr="003F131B">
        <w:rPr>
          <w:rFonts w:eastAsia="Times New Roman" w:cstheme="minorHAnsi"/>
          <w:lang w:eastAsia="en-CA"/>
        </w:rPr>
        <w:t>)</w:t>
      </w:r>
      <w:r w:rsidRPr="00A6362C">
        <w:rPr>
          <w:rFonts w:eastAsia="Times New Roman" w:cstheme="minorHAnsi"/>
          <w:lang w:eastAsia="en-CA"/>
        </w:rPr>
        <w:t xml:space="preserve">, pp. </w:t>
      </w:r>
      <w:r>
        <w:rPr>
          <w:rFonts w:eastAsia="Times New Roman" w:cstheme="minorHAnsi"/>
          <w:lang w:eastAsia="en-CA"/>
        </w:rPr>
        <w:t xml:space="preserve">224, </w:t>
      </w:r>
      <w:r w:rsidRPr="00C561F5">
        <w:rPr>
          <w:rFonts w:eastAsia="Times New Roman" w:cstheme="minorHAnsi"/>
          <w:lang w:eastAsia="en-CA"/>
        </w:rPr>
        <w:t xml:space="preserve">para. </w:t>
      </w:r>
      <w:r>
        <w:rPr>
          <w:rFonts w:eastAsia="Times New Roman" w:cstheme="minorHAnsi"/>
          <w:lang w:eastAsia="en-CA"/>
        </w:rPr>
        <w:t>342.</w:t>
      </w:r>
    </w:p>
  </w:footnote>
  <w:footnote w:id="29">
    <w:p w14:paraId="3A969BAB" w14:textId="5C6C9CEF" w:rsidR="00730FE4" w:rsidRDefault="00730FE4" w:rsidP="00063AC7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7079F3" w:rsidRPr="004D513B">
        <w:rPr>
          <w:rFonts w:eastAsia="Times New Roman" w:cstheme="minorHAnsi"/>
          <w:lang w:eastAsia="en-CA"/>
        </w:rPr>
        <w:t xml:space="preserve">Harms, Donald, ‘The Geometry of C.G. Jung’s </w:t>
      </w:r>
      <w:r w:rsidR="007079F3" w:rsidRPr="004D513B">
        <w:rPr>
          <w:rFonts w:eastAsia="Times New Roman" w:cstheme="minorHAnsi"/>
          <w:i/>
          <w:iCs/>
          <w:lang w:eastAsia="en-CA"/>
        </w:rPr>
        <w:t xml:space="preserve">Systema Munditotius </w:t>
      </w:r>
      <w:r w:rsidR="007079F3" w:rsidRPr="004D513B">
        <w:rPr>
          <w:rFonts w:eastAsia="Times New Roman" w:cstheme="minorHAnsi"/>
          <w:lang w:eastAsia="en-CA"/>
        </w:rPr>
        <w:t>Mandala’,</w:t>
      </w:r>
      <w:r w:rsidR="007079F3">
        <w:rPr>
          <w:rFonts w:eastAsia="Times New Roman" w:cstheme="minorHAnsi"/>
          <w:color w:val="555555"/>
          <w:lang w:eastAsia="en-CA"/>
        </w:rPr>
        <w:t xml:space="preserve"> </w:t>
      </w:r>
      <w:r w:rsidR="007079F3"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 w:rsidR="007079F3">
        <w:rPr>
          <w:rFonts w:eastAsia="Times New Roman" w:cstheme="minorHAnsi"/>
          <w:lang w:eastAsia="en-CA"/>
        </w:rPr>
        <w:t xml:space="preserve">5 </w:t>
      </w:r>
      <w:r w:rsidR="007079F3" w:rsidRPr="00063AC7">
        <w:rPr>
          <w:rFonts w:eastAsia="Times New Roman" w:cstheme="minorHAnsi"/>
          <w:lang w:eastAsia="en-CA"/>
        </w:rPr>
        <w:t>(3) (2011), pp. 1</w:t>
      </w:r>
      <w:r w:rsidR="007079F3" w:rsidRPr="00063AC7">
        <w:rPr>
          <w:rFonts w:eastAsia="Times New Roman" w:cstheme="minorHAnsi"/>
          <w:lang w:eastAsia="en-CA"/>
        </w:rPr>
        <w:t>51.</w:t>
      </w:r>
    </w:p>
  </w:footnote>
  <w:footnote w:id="30">
    <w:p w14:paraId="4FAB6E9F" w14:textId="77777777" w:rsidR="00D14BAC" w:rsidRPr="00EA2AA0" w:rsidRDefault="00D14BAC" w:rsidP="00D14BAC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Appendix ‘A’ includes a reproduction of Jung’s </w:t>
      </w:r>
      <w:r>
        <w:rPr>
          <w:i/>
          <w:iCs/>
        </w:rPr>
        <w:t xml:space="preserve">Systema Munditotius </w:t>
      </w:r>
      <w:r>
        <w:t xml:space="preserve">mandala. Source: </w:t>
      </w:r>
      <w:r w:rsidRPr="004D513B">
        <w:rPr>
          <w:rFonts w:eastAsia="Times New Roman" w:cstheme="minorHAnsi"/>
          <w:lang w:eastAsia="en-CA"/>
        </w:rPr>
        <w:t xml:space="preserve">Harms, Donald, ‘The Geometry of C.G. Jung’s </w:t>
      </w:r>
      <w:r w:rsidRPr="004D513B">
        <w:rPr>
          <w:rFonts w:eastAsia="Times New Roman" w:cstheme="minorHAnsi"/>
          <w:i/>
          <w:iCs/>
          <w:lang w:eastAsia="en-CA"/>
        </w:rPr>
        <w:t xml:space="preserve">Systema Munditotius </w:t>
      </w:r>
      <w:r w:rsidRPr="004D513B">
        <w:rPr>
          <w:rFonts w:eastAsia="Times New Roman" w:cstheme="minorHAnsi"/>
          <w:lang w:eastAsia="en-CA"/>
        </w:rPr>
        <w:t>Mandala’</w:t>
      </w:r>
      <w:r>
        <w:rPr>
          <w:rFonts w:eastAsia="Times New Roman" w:cstheme="minorHAnsi"/>
          <w:lang w:eastAsia="en-CA"/>
        </w:rPr>
        <w:t>, fig. 3, pp. 149.</w:t>
      </w:r>
    </w:p>
  </w:footnote>
  <w:footnote w:id="31">
    <w:p w14:paraId="0F948B73" w14:textId="12684109" w:rsidR="00C2194B" w:rsidRDefault="00C219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A162E">
        <w:rPr>
          <w:rFonts w:eastAsia="Times New Roman" w:cstheme="minorHAnsi"/>
          <w:lang w:eastAsia="en-CA"/>
        </w:rPr>
        <w:t>Donald</w:t>
      </w:r>
      <w:r>
        <w:rPr>
          <w:rFonts w:eastAsia="Times New Roman" w:cstheme="minorHAnsi"/>
          <w:lang w:eastAsia="en-CA"/>
        </w:rPr>
        <w:t xml:space="preserve"> </w:t>
      </w:r>
      <w:r w:rsidRPr="002A162E">
        <w:rPr>
          <w:rFonts w:eastAsia="Times New Roman" w:cstheme="minorHAnsi"/>
          <w:lang w:eastAsia="en-CA"/>
        </w:rPr>
        <w:t>Harms, ‘Geometry of the Mandala’,</w:t>
      </w:r>
      <w:r w:rsidRPr="002A162E">
        <w:rPr>
          <w:rFonts w:eastAsia="Times New Roman" w:cstheme="minorHAnsi"/>
          <w:color w:val="555555"/>
          <w:lang w:eastAsia="en-CA"/>
        </w:rPr>
        <w:t xml:space="preserve"> </w:t>
      </w:r>
      <w:r w:rsidRPr="002A162E"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 w:rsidRPr="002A162E">
        <w:rPr>
          <w:rFonts w:eastAsia="Times New Roman" w:cstheme="minorHAnsi"/>
          <w:lang w:eastAsia="en-CA"/>
        </w:rPr>
        <w:t xml:space="preserve">5 (2) (2011), pp. </w:t>
      </w:r>
      <w:r>
        <w:rPr>
          <w:rFonts w:eastAsia="Times New Roman" w:cstheme="minorHAnsi"/>
          <w:lang w:eastAsia="en-CA"/>
        </w:rPr>
        <w:t>95.</w:t>
      </w:r>
    </w:p>
  </w:footnote>
  <w:footnote w:id="32">
    <w:p w14:paraId="16AD0873" w14:textId="26B7E36E" w:rsidR="00652B89" w:rsidRDefault="00652B89" w:rsidP="00652B89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4D513B">
        <w:rPr>
          <w:rFonts w:eastAsia="Times New Roman" w:cstheme="minorHAnsi"/>
          <w:lang w:eastAsia="en-CA"/>
        </w:rPr>
        <w:t xml:space="preserve">Harms, Donald, ‘The Geometry of C.G. Jung’s </w:t>
      </w:r>
      <w:r w:rsidRPr="004D513B">
        <w:rPr>
          <w:rFonts w:eastAsia="Times New Roman" w:cstheme="minorHAnsi"/>
          <w:i/>
          <w:iCs/>
          <w:lang w:eastAsia="en-CA"/>
        </w:rPr>
        <w:t xml:space="preserve">Systema Munditotius </w:t>
      </w:r>
      <w:r w:rsidRPr="004D513B">
        <w:rPr>
          <w:rFonts w:eastAsia="Times New Roman" w:cstheme="minorHAnsi"/>
          <w:lang w:eastAsia="en-CA"/>
        </w:rPr>
        <w:t>Mandala’,</w:t>
      </w:r>
      <w:r>
        <w:rPr>
          <w:rFonts w:eastAsia="Times New Roman" w:cstheme="minorHAnsi"/>
          <w:color w:val="555555"/>
          <w:lang w:eastAsia="en-CA"/>
        </w:rPr>
        <w:t xml:space="preserve"> </w:t>
      </w:r>
      <w:r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>
        <w:rPr>
          <w:rFonts w:eastAsia="Times New Roman" w:cstheme="minorHAnsi"/>
          <w:lang w:eastAsia="en-CA"/>
        </w:rPr>
        <w:t xml:space="preserve">5 </w:t>
      </w:r>
      <w:r w:rsidRPr="00063AC7">
        <w:rPr>
          <w:rFonts w:eastAsia="Times New Roman" w:cstheme="minorHAnsi"/>
          <w:lang w:eastAsia="en-CA"/>
        </w:rPr>
        <w:t>(3) (2011), pp. 1</w:t>
      </w:r>
      <w:r>
        <w:rPr>
          <w:rFonts w:eastAsia="Times New Roman" w:cstheme="minorHAnsi"/>
          <w:lang w:eastAsia="en-CA"/>
        </w:rPr>
        <w:t>49-152.</w:t>
      </w:r>
    </w:p>
  </w:footnote>
  <w:footnote w:id="33">
    <w:p w14:paraId="7E4C3770" w14:textId="5B6729FA" w:rsidR="00927FF3" w:rsidRDefault="00927FF3" w:rsidP="00B54C8A">
      <w:pPr>
        <w:spacing w:after="0"/>
      </w:pPr>
      <w:r>
        <w:rPr>
          <w:rStyle w:val="FootnoteReference"/>
        </w:rPr>
        <w:footnoteRef/>
      </w:r>
      <w:r>
        <w:t xml:space="preserve"> </w:t>
      </w:r>
      <w:r w:rsidRPr="00B54C8A">
        <w:rPr>
          <w:rFonts w:eastAsia="Times New Roman" w:cstheme="minorHAnsi"/>
          <w:sz w:val="20"/>
          <w:szCs w:val="20"/>
          <w:lang w:eastAsia="en-CA"/>
        </w:rPr>
        <w:t xml:space="preserve">Avis Clendenen, ‘Encounter with the Unconscious: Hildegard in Jung’, </w:t>
      </w:r>
      <w:r w:rsidRPr="00B54C8A">
        <w:rPr>
          <w:rFonts w:eastAsia="Times New Roman" w:cstheme="minorHAnsi"/>
          <w:i/>
          <w:iCs/>
          <w:sz w:val="20"/>
          <w:szCs w:val="20"/>
          <w:lang w:eastAsia="en-CA"/>
        </w:rPr>
        <w:t xml:space="preserve">Jung Journal: Culture &amp; Psyche, </w:t>
      </w:r>
      <w:r w:rsidRPr="00B54C8A">
        <w:rPr>
          <w:rFonts w:eastAsia="Times New Roman" w:cstheme="minorHAnsi"/>
          <w:sz w:val="20"/>
          <w:szCs w:val="20"/>
          <w:lang w:eastAsia="en-CA"/>
        </w:rPr>
        <w:t>3 (1) (2009), pp. 39.</w:t>
      </w:r>
      <w:r w:rsidRPr="004D513B">
        <w:t xml:space="preserve"> </w:t>
      </w:r>
    </w:p>
  </w:footnote>
  <w:footnote w:id="34">
    <w:p w14:paraId="44D8DC21" w14:textId="76F7D747" w:rsidR="005647A5" w:rsidRDefault="005647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61F5">
        <w:rPr>
          <w:rFonts w:eastAsia="Times New Roman" w:cstheme="minorHAnsi"/>
          <w:lang w:eastAsia="en-CA"/>
        </w:rPr>
        <w:t>Jung, C.G.,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>
        <w:rPr>
          <w:rFonts w:eastAsia="Times New Roman" w:cstheme="minorHAnsi"/>
          <w:i/>
          <w:iCs/>
          <w:lang w:eastAsia="en-CA"/>
        </w:rPr>
        <w:t xml:space="preserve">, </w:t>
      </w:r>
      <w:r>
        <w:rPr>
          <w:rFonts w:eastAsia="Times New Roman" w:cstheme="minorHAnsi"/>
          <w:lang w:eastAsia="en-CA"/>
        </w:rPr>
        <w:t>para. 703, pp. 97.</w:t>
      </w:r>
    </w:p>
  </w:footnote>
  <w:footnote w:id="35">
    <w:p w14:paraId="59B4848A" w14:textId="13198E25" w:rsidR="00B54C8A" w:rsidRDefault="00B54C8A" w:rsidP="00B54C8A">
      <w:pPr>
        <w:pStyle w:val="FootnoteText"/>
        <w:spacing w:line="259" w:lineRule="auto"/>
      </w:pPr>
      <w:r>
        <w:rPr>
          <w:rStyle w:val="FootnoteReference"/>
        </w:rPr>
        <w:footnoteRef/>
      </w:r>
      <w:r>
        <w:t xml:space="preserve"> </w:t>
      </w:r>
      <w:r w:rsidRPr="00C561F5">
        <w:rPr>
          <w:rFonts w:eastAsia="Times New Roman" w:cstheme="minorHAnsi"/>
          <w:lang w:eastAsia="en-CA"/>
        </w:rPr>
        <w:t>Jung, C.G.,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>
        <w:rPr>
          <w:rFonts w:eastAsia="Times New Roman" w:cstheme="minorHAnsi"/>
          <w:i/>
          <w:iCs/>
          <w:lang w:eastAsia="en-CA"/>
        </w:rPr>
        <w:t xml:space="preserve">, </w:t>
      </w:r>
      <w:r>
        <w:rPr>
          <w:rFonts w:eastAsia="Times New Roman" w:cstheme="minorHAnsi"/>
          <w:lang w:eastAsia="en-CA"/>
        </w:rPr>
        <w:t>para. 634, pp. 73.</w:t>
      </w:r>
      <w:r w:rsidR="005647A5">
        <w:rPr>
          <w:rFonts w:eastAsia="Times New Roman" w:cstheme="minorHAnsi"/>
          <w:lang w:eastAsia="en-CA"/>
        </w:rPr>
        <w:t xml:space="preserve"> (emphasis in original).</w:t>
      </w:r>
    </w:p>
  </w:footnote>
  <w:footnote w:id="36">
    <w:p w14:paraId="21EFEA1C" w14:textId="48CBCF60" w:rsidR="00C86CFF" w:rsidRDefault="00C86C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561F5">
        <w:rPr>
          <w:rFonts w:eastAsia="Times New Roman" w:cstheme="minorHAnsi"/>
          <w:lang w:eastAsia="en-CA"/>
        </w:rPr>
        <w:t>Jung, C.G., ‘</w:t>
      </w:r>
      <w:r w:rsidRPr="00C561F5">
        <w:rPr>
          <w:rFonts w:eastAsia="Times New Roman" w:cstheme="minorHAnsi"/>
          <w:i/>
          <w:iCs/>
          <w:lang w:eastAsia="en-CA"/>
        </w:rPr>
        <w:t>Concerning Mandala Symbolism’</w:t>
      </w:r>
      <w:r>
        <w:rPr>
          <w:rFonts w:eastAsia="Times New Roman" w:cstheme="minorHAnsi"/>
          <w:i/>
          <w:iCs/>
          <w:lang w:eastAsia="en-CA"/>
        </w:rPr>
        <w:t xml:space="preserve">, </w:t>
      </w:r>
      <w:r>
        <w:rPr>
          <w:rFonts w:eastAsia="Times New Roman" w:cstheme="minorHAnsi"/>
          <w:lang w:eastAsia="en-CA"/>
        </w:rPr>
        <w:t>para. 711, pp. 100. (emphasis in original).</w:t>
      </w:r>
    </w:p>
  </w:footnote>
  <w:footnote w:id="37">
    <w:p w14:paraId="62F1F8C0" w14:textId="504BCA16" w:rsidR="00386D81" w:rsidRDefault="00386D81" w:rsidP="00386D81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Pr="004D513B">
        <w:rPr>
          <w:rFonts w:eastAsia="Times New Roman" w:cstheme="minorHAnsi"/>
          <w:lang w:eastAsia="en-CA"/>
        </w:rPr>
        <w:t xml:space="preserve">Harms, Donald, ‘The Geometry of C.G. Jung’s </w:t>
      </w:r>
      <w:r w:rsidRPr="004D513B">
        <w:rPr>
          <w:rFonts w:eastAsia="Times New Roman" w:cstheme="minorHAnsi"/>
          <w:i/>
          <w:iCs/>
          <w:lang w:eastAsia="en-CA"/>
        </w:rPr>
        <w:t xml:space="preserve">Systema Munditotius </w:t>
      </w:r>
      <w:r w:rsidRPr="004D513B">
        <w:rPr>
          <w:rFonts w:eastAsia="Times New Roman" w:cstheme="minorHAnsi"/>
          <w:lang w:eastAsia="en-CA"/>
        </w:rPr>
        <w:t>Mandala’,</w:t>
      </w:r>
      <w:r>
        <w:rPr>
          <w:rFonts w:eastAsia="Times New Roman" w:cstheme="minorHAnsi"/>
          <w:color w:val="555555"/>
          <w:lang w:eastAsia="en-CA"/>
        </w:rPr>
        <w:t xml:space="preserve"> </w:t>
      </w:r>
      <w:r>
        <w:rPr>
          <w:rFonts w:eastAsia="Times New Roman" w:cstheme="minorHAnsi"/>
          <w:i/>
          <w:iCs/>
          <w:lang w:eastAsia="en-CA"/>
        </w:rPr>
        <w:t xml:space="preserve">Jung Journal: Culture &amp; Psyche, </w:t>
      </w:r>
      <w:r>
        <w:rPr>
          <w:rFonts w:eastAsia="Times New Roman" w:cstheme="minorHAnsi"/>
          <w:lang w:eastAsia="en-CA"/>
        </w:rPr>
        <w:t xml:space="preserve">5 </w:t>
      </w:r>
      <w:r w:rsidRPr="00063AC7">
        <w:rPr>
          <w:rFonts w:eastAsia="Times New Roman" w:cstheme="minorHAnsi"/>
          <w:lang w:eastAsia="en-CA"/>
        </w:rPr>
        <w:t>(3) (2011), pp. 1</w:t>
      </w:r>
      <w:r>
        <w:rPr>
          <w:rFonts w:eastAsia="Times New Roman" w:cstheme="minorHAnsi"/>
          <w:lang w:eastAsia="en-CA"/>
        </w:rPr>
        <w:t>51.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DAFA78" w14:textId="3C164A7B" w:rsidR="000B11B7" w:rsidRPr="00B144B7" w:rsidRDefault="000B11B7" w:rsidP="00B144B7">
    <w:pPr>
      <w:pStyle w:val="Header"/>
      <w:jc w:val="right"/>
      <w:rPr>
        <w:sz w:val="18"/>
        <w:szCs w:val="18"/>
      </w:rPr>
    </w:pPr>
    <w:r>
      <w:rPr>
        <w:sz w:val="18"/>
        <w:szCs w:val="18"/>
      </w:rPr>
      <w:t>John Murray 2008616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9BE7E2" w14:textId="623C8F50" w:rsidR="000B11B7" w:rsidRPr="008F4E28" w:rsidRDefault="000B11B7" w:rsidP="008F4E28">
    <w:pPr>
      <w:jc w:val="right"/>
      <w:rPr>
        <w:rFonts w:ascii="Arial" w:hAnsi="Arial" w:cs="Arial"/>
        <w:sz w:val="18"/>
        <w:szCs w:val="18"/>
      </w:rPr>
    </w:pPr>
    <w:r w:rsidRPr="008F4E28">
      <w:rPr>
        <w:rFonts w:ascii="Arial" w:hAnsi="Arial" w:cs="Arial"/>
        <w:sz w:val="18"/>
        <w:szCs w:val="18"/>
      </w:rPr>
      <w:t>John Murray – HPCA701</w:t>
    </w:r>
    <w:r w:rsidR="00425F05">
      <w:rPr>
        <w:rFonts w:ascii="Arial" w:hAnsi="Arial" w:cs="Arial"/>
        <w:sz w:val="18"/>
        <w:szCs w:val="18"/>
      </w:rPr>
      <w:t>8</w:t>
    </w:r>
    <w:r w:rsidRPr="008F4E28">
      <w:rPr>
        <w:rFonts w:ascii="Arial" w:hAnsi="Arial" w:cs="Arial"/>
        <w:sz w:val="18"/>
        <w:szCs w:val="18"/>
      </w:rPr>
      <w:t xml:space="preserve"> – Essay 1</w:t>
    </w:r>
  </w:p>
  <w:p w14:paraId="09D87568" w14:textId="77777777" w:rsidR="000B11B7" w:rsidRDefault="000B11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E28"/>
    <w:rsid w:val="00001AFE"/>
    <w:rsid w:val="00002ECA"/>
    <w:rsid w:val="00040E22"/>
    <w:rsid w:val="00046178"/>
    <w:rsid w:val="0005035B"/>
    <w:rsid w:val="00054E39"/>
    <w:rsid w:val="0006215E"/>
    <w:rsid w:val="00063AC7"/>
    <w:rsid w:val="000754F8"/>
    <w:rsid w:val="00081FAD"/>
    <w:rsid w:val="000979E3"/>
    <w:rsid w:val="000B11B7"/>
    <w:rsid w:val="000B3EE2"/>
    <w:rsid w:val="000B5EFE"/>
    <w:rsid w:val="000B6074"/>
    <w:rsid w:val="000C3DB1"/>
    <w:rsid w:val="000F74EA"/>
    <w:rsid w:val="00104372"/>
    <w:rsid w:val="001060EE"/>
    <w:rsid w:val="001322B8"/>
    <w:rsid w:val="00154386"/>
    <w:rsid w:val="00165BF4"/>
    <w:rsid w:val="00173CF4"/>
    <w:rsid w:val="0018042E"/>
    <w:rsid w:val="00192B5D"/>
    <w:rsid w:val="00194C54"/>
    <w:rsid w:val="001A197A"/>
    <w:rsid w:val="001A5458"/>
    <w:rsid w:val="001A7253"/>
    <w:rsid w:val="001A7E67"/>
    <w:rsid w:val="001B693A"/>
    <w:rsid w:val="001E5492"/>
    <w:rsid w:val="001F3739"/>
    <w:rsid w:val="001F5583"/>
    <w:rsid w:val="001F6D55"/>
    <w:rsid w:val="00212155"/>
    <w:rsid w:val="002134C4"/>
    <w:rsid w:val="00216A2B"/>
    <w:rsid w:val="00226242"/>
    <w:rsid w:val="00226715"/>
    <w:rsid w:val="00232149"/>
    <w:rsid w:val="0024107A"/>
    <w:rsid w:val="0024198A"/>
    <w:rsid w:val="002511E4"/>
    <w:rsid w:val="002533FC"/>
    <w:rsid w:val="0025437E"/>
    <w:rsid w:val="002701E3"/>
    <w:rsid w:val="00273EA7"/>
    <w:rsid w:val="00274BC3"/>
    <w:rsid w:val="00277BBF"/>
    <w:rsid w:val="002810F5"/>
    <w:rsid w:val="00282E91"/>
    <w:rsid w:val="002A162E"/>
    <w:rsid w:val="002B627C"/>
    <w:rsid w:val="002C48F2"/>
    <w:rsid w:val="002C5D5F"/>
    <w:rsid w:val="002D4284"/>
    <w:rsid w:val="002D5644"/>
    <w:rsid w:val="002E260E"/>
    <w:rsid w:val="002E5AB3"/>
    <w:rsid w:val="002F05BB"/>
    <w:rsid w:val="002F473A"/>
    <w:rsid w:val="00302488"/>
    <w:rsid w:val="00304017"/>
    <w:rsid w:val="00304F23"/>
    <w:rsid w:val="00306BFC"/>
    <w:rsid w:val="00313CBD"/>
    <w:rsid w:val="00313D12"/>
    <w:rsid w:val="003170DB"/>
    <w:rsid w:val="00323416"/>
    <w:rsid w:val="003248D1"/>
    <w:rsid w:val="00324E28"/>
    <w:rsid w:val="00326393"/>
    <w:rsid w:val="00331162"/>
    <w:rsid w:val="00333FE3"/>
    <w:rsid w:val="003350D2"/>
    <w:rsid w:val="00336234"/>
    <w:rsid w:val="00341C9F"/>
    <w:rsid w:val="00341ED7"/>
    <w:rsid w:val="00342901"/>
    <w:rsid w:val="00347509"/>
    <w:rsid w:val="0035073C"/>
    <w:rsid w:val="0035473C"/>
    <w:rsid w:val="0037668E"/>
    <w:rsid w:val="00386D81"/>
    <w:rsid w:val="00390DA2"/>
    <w:rsid w:val="00394791"/>
    <w:rsid w:val="003A09B0"/>
    <w:rsid w:val="003B123D"/>
    <w:rsid w:val="003B3DFA"/>
    <w:rsid w:val="003C615E"/>
    <w:rsid w:val="003C7EE5"/>
    <w:rsid w:val="003D12B4"/>
    <w:rsid w:val="003D38E1"/>
    <w:rsid w:val="003E76D9"/>
    <w:rsid w:val="003F06C6"/>
    <w:rsid w:val="003F131B"/>
    <w:rsid w:val="003F4355"/>
    <w:rsid w:val="00413BE4"/>
    <w:rsid w:val="00421E84"/>
    <w:rsid w:val="00425348"/>
    <w:rsid w:val="00425A3E"/>
    <w:rsid w:val="00425F05"/>
    <w:rsid w:val="00427966"/>
    <w:rsid w:val="004410F6"/>
    <w:rsid w:val="004631EF"/>
    <w:rsid w:val="00463661"/>
    <w:rsid w:val="004677AC"/>
    <w:rsid w:val="00467932"/>
    <w:rsid w:val="004728A6"/>
    <w:rsid w:val="00476570"/>
    <w:rsid w:val="004814D0"/>
    <w:rsid w:val="00484105"/>
    <w:rsid w:val="00486EB6"/>
    <w:rsid w:val="00490DF8"/>
    <w:rsid w:val="00493EDB"/>
    <w:rsid w:val="004A1FF9"/>
    <w:rsid w:val="004A47A9"/>
    <w:rsid w:val="004A4B51"/>
    <w:rsid w:val="004A4C4A"/>
    <w:rsid w:val="004A5200"/>
    <w:rsid w:val="004B096D"/>
    <w:rsid w:val="004B5D1C"/>
    <w:rsid w:val="004C02A1"/>
    <w:rsid w:val="004C2A97"/>
    <w:rsid w:val="004C4221"/>
    <w:rsid w:val="004D2CBD"/>
    <w:rsid w:val="004D3CD9"/>
    <w:rsid w:val="004E2A55"/>
    <w:rsid w:val="004F3847"/>
    <w:rsid w:val="004F3E9D"/>
    <w:rsid w:val="004F44C5"/>
    <w:rsid w:val="005014A2"/>
    <w:rsid w:val="00503C48"/>
    <w:rsid w:val="00515CFF"/>
    <w:rsid w:val="00520EF6"/>
    <w:rsid w:val="00533FFE"/>
    <w:rsid w:val="00547F03"/>
    <w:rsid w:val="005647A5"/>
    <w:rsid w:val="005648CB"/>
    <w:rsid w:val="00566DE7"/>
    <w:rsid w:val="0056791E"/>
    <w:rsid w:val="00570D97"/>
    <w:rsid w:val="005762EC"/>
    <w:rsid w:val="00585522"/>
    <w:rsid w:val="00590B01"/>
    <w:rsid w:val="005942FC"/>
    <w:rsid w:val="005A7A17"/>
    <w:rsid w:val="005B7A7B"/>
    <w:rsid w:val="005E5292"/>
    <w:rsid w:val="005E7920"/>
    <w:rsid w:val="005F2E88"/>
    <w:rsid w:val="005F521E"/>
    <w:rsid w:val="00607138"/>
    <w:rsid w:val="00613211"/>
    <w:rsid w:val="00624AFA"/>
    <w:rsid w:val="00626D05"/>
    <w:rsid w:val="00626F1F"/>
    <w:rsid w:val="0063106B"/>
    <w:rsid w:val="00646A63"/>
    <w:rsid w:val="006478EA"/>
    <w:rsid w:val="00650E03"/>
    <w:rsid w:val="00652459"/>
    <w:rsid w:val="00652B89"/>
    <w:rsid w:val="00675672"/>
    <w:rsid w:val="00677D58"/>
    <w:rsid w:val="00686F3D"/>
    <w:rsid w:val="006925B3"/>
    <w:rsid w:val="006A0540"/>
    <w:rsid w:val="006A7322"/>
    <w:rsid w:val="006B1561"/>
    <w:rsid w:val="006C4850"/>
    <w:rsid w:val="006C6AE4"/>
    <w:rsid w:val="006D508D"/>
    <w:rsid w:val="006D5E7A"/>
    <w:rsid w:val="006F4132"/>
    <w:rsid w:val="006F5F3D"/>
    <w:rsid w:val="006F7613"/>
    <w:rsid w:val="007079F3"/>
    <w:rsid w:val="00707DD2"/>
    <w:rsid w:val="0071529E"/>
    <w:rsid w:val="00730FE4"/>
    <w:rsid w:val="00734C67"/>
    <w:rsid w:val="00743C4B"/>
    <w:rsid w:val="007463E9"/>
    <w:rsid w:val="00753E18"/>
    <w:rsid w:val="00760E58"/>
    <w:rsid w:val="007638F6"/>
    <w:rsid w:val="00770BB4"/>
    <w:rsid w:val="00780931"/>
    <w:rsid w:val="00783AE4"/>
    <w:rsid w:val="00792E9A"/>
    <w:rsid w:val="00795AE6"/>
    <w:rsid w:val="007B01F1"/>
    <w:rsid w:val="007B3857"/>
    <w:rsid w:val="007B5E4D"/>
    <w:rsid w:val="007B70E4"/>
    <w:rsid w:val="007C159D"/>
    <w:rsid w:val="007D17AA"/>
    <w:rsid w:val="007E145A"/>
    <w:rsid w:val="007E668B"/>
    <w:rsid w:val="007F0F5D"/>
    <w:rsid w:val="007F1E0A"/>
    <w:rsid w:val="00803113"/>
    <w:rsid w:val="008235B6"/>
    <w:rsid w:val="00833216"/>
    <w:rsid w:val="00841A66"/>
    <w:rsid w:val="00856D52"/>
    <w:rsid w:val="008619CC"/>
    <w:rsid w:val="008A5314"/>
    <w:rsid w:val="008B1998"/>
    <w:rsid w:val="008B75EC"/>
    <w:rsid w:val="008D197A"/>
    <w:rsid w:val="008D6AA4"/>
    <w:rsid w:val="008F23F7"/>
    <w:rsid w:val="008F43CA"/>
    <w:rsid w:val="008F4E28"/>
    <w:rsid w:val="008F7392"/>
    <w:rsid w:val="008F7704"/>
    <w:rsid w:val="00910C85"/>
    <w:rsid w:val="009148CE"/>
    <w:rsid w:val="00921CFB"/>
    <w:rsid w:val="0092432F"/>
    <w:rsid w:val="009278C2"/>
    <w:rsid w:val="009278D4"/>
    <w:rsid w:val="00927FF3"/>
    <w:rsid w:val="00930122"/>
    <w:rsid w:val="00956234"/>
    <w:rsid w:val="00956581"/>
    <w:rsid w:val="0095757A"/>
    <w:rsid w:val="00957C04"/>
    <w:rsid w:val="00962C71"/>
    <w:rsid w:val="00971A2F"/>
    <w:rsid w:val="00994ADF"/>
    <w:rsid w:val="009A1C93"/>
    <w:rsid w:val="009B5FB0"/>
    <w:rsid w:val="009B6E3B"/>
    <w:rsid w:val="009C193E"/>
    <w:rsid w:val="009E7341"/>
    <w:rsid w:val="009E75BB"/>
    <w:rsid w:val="009F1B1C"/>
    <w:rsid w:val="009F2862"/>
    <w:rsid w:val="00A0127B"/>
    <w:rsid w:val="00A1597B"/>
    <w:rsid w:val="00A276D9"/>
    <w:rsid w:val="00A3254B"/>
    <w:rsid w:val="00A34AAF"/>
    <w:rsid w:val="00A37F0D"/>
    <w:rsid w:val="00A43830"/>
    <w:rsid w:val="00A60186"/>
    <w:rsid w:val="00A601BB"/>
    <w:rsid w:val="00A718CC"/>
    <w:rsid w:val="00A71E7B"/>
    <w:rsid w:val="00A7286E"/>
    <w:rsid w:val="00A80AB2"/>
    <w:rsid w:val="00A85079"/>
    <w:rsid w:val="00A90887"/>
    <w:rsid w:val="00A9101D"/>
    <w:rsid w:val="00A9462F"/>
    <w:rsid w:val="00AA12D8"/>
    <w:rsid w:val="00AC333F"/>
    <w:rsid w:val="00AE5993"/>
    <w:rsid w:val="00AE6CDE"/>
    <w:rsid w:val="00AF6D56"/>
    <w:rsid w:val="00B01058"/>
    <w:rsid w:val="00B03852"/>
    <w:rsid w:val="00B04228"/>
    <w:rsid w:val="00B10F40"/>
    <w:rsid w:val="00B144B7"/>
    <w:rsid w:val="00B15489"/>
    <w:rsid w:val="00B201FA"/>
    <w:rsid w:val="00B43F38"/>
    <w:rsid w:val="00B44799"/>
    <w:rsid w:val="00B53B6D"/>
    <w:rsid w:val="00B54C8A"/>
    <w:rsid w:val="00B6462F"/>
    <w:rsid w:val="00B64FC5"/>
    <w:rsid w:val="00B65DBB"/>
    <w:rsid w:val="00B966B5"/>
    <w:rsid w:val="00B96C82"/>
    <w:rsid w:val="00BB3F46"/>
    <w:rsid w:val="00BB73FA"/>
    <w:rsid w:val="00BC103C"/>
    <w:rsid w:val="00BC32E5"/>
    <w:rsid w:val="00BC7010"/>
    <w:rsid w:val="00BD4F0E"/>
    <w:rsid w:val="00BE5FE1"/>
    <w:rsid w:val="00C0399B"/>
    <w:rsid w:val="00C03EA7"/>
    <w:rsid w:val="00C062DB"/>
    <w:rsid w:val="00C10F54"/>
    <w:rsid w:val="00C1137C"/>
    <w:rsid w:val="00C2194B"/>
    <w:rsid w:val="00C2436E"/>
    <w:rsid w:val="00C3359B"/>
    <w:rsid w:val="00C4520E"/>
    <w:rsid w:val="00C50EF5"/>
    <w:rsid w:val="00C51C8E"/>
    <w:rsid w:val="00C561F5"/>
    <w:rsid w:val="00C57138"/>
    <w:rsid w:val="00C61F0C"/>
    <w:rsid w:val="00C64288"/>
    <w:rsid w:val="00C8404E"/>
    <w:rsid w:val="00C86CFF"/>
    <w:rsid w:val="00C929D6"/>
    <w:rsid w:val="00CB5D94"/>
    <w:rsid w:val="00CB7D40"/>
    <w:rsid w:val="00CC7F43"/>
    <w:rsid w:val="00D02E26"/>
    <w:rsid w:val="00D034E9"/>
    <w:rsid w:val="00D14BAC"/>
    <w:rsid w:val="00D27B40"/>
    <w:rsid w:val="00D41261"/>
    <w:rsid w:val="00D579CC"/>
    <w:rsid w:val="00D61339"/>
    <w:rsid w:val="00D70069"/>
    <w:rsid w:val="00D72D60"/>
    <w:rsid w:val="00D73DE9"/>
    <w:rsid w:val="00DA2997"/>
    <w:rsid w:val="00DB261F"/>
    <w:rsid w:val="00DC28F4"/>
    <w:rsid w:val="00DD5734"/>
    <w:rsid w:val="00DE3A4F"/>
    <w:rsid w:val="00DF41AB"/>
    <w:rsid w:val="00E00D41"/>
    <w:rsid w:val="00E21013"/>
    <w:rsid w:val="00E21449"/>
    <w:rsid w:val="00E45381"/>
    <w:rsid w:val="00E56E1D"/>
    <w:rsid w:val="00E737DA"/>
    <w:rsid w:val="00E753AF"/>
    <w:rsid w:val="00E75EB2"/>
    <w:rsid w:val="00E938E7"/>
    <w:rsid w:val="00EA2AA0"/>
    <w:rsid w:val="00EC75EB"/>
    <w:rsid w:val="00ED7477"/>
    <w:rsid w:val="00EE60FE"/>
    <w:rsid w:val="00EF22FD"/>
    <w:rsid w:val="00EF3A37"/>
    <w:rsid w:val="00EF3F6C"/>
    <w:rsid w:val="00EF4A8D"/>
    <w:rsid w:val="00F07D56"/>
    <w:rsid w:val="00F30A29"/>
    <w:rsid w:val="00F3632F"/>
    <w:rsid w:val="00F36ABD"/>
    <w:rsid w:val="00F40B23"/>
    <w:rsid w:val="00F57F93"/>
    <w:rsid w:val="00F64BA0"/>
    <w:rsid w:val="00F66420"/>
    <w:rsid w:val="00F7163D"/>
    <w:rsid w:val="00F76E18"/>
    <w:rsid w:val="00F8016A"/>
    <w:rsid w:val="00F96BE8"/>
    <w:rsid w:val="00FB0E49"/>
    <w:rsid w:val="00FB18F9"/>
    <w:rsid w:val="00FB330B"/>
    <w:rsid w:val="00FB67C0"/>
    <w:rsid w:val="00FD0217"/>
    <w:rsid w:val="00FD4AAB"/>
    <w:rsid w:val="00FE0C70"/>
    <w:rsid w:val="00FE1E52"/>
    <w:rsid w:val="00FE2472"/>
    <w:rsid w:val="00FE34E1"/>
    <w:rsid w:val="00FF0CF4"/>
    <w:rsid w:val="00FF6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795C2A"/>
  <w15:chartTrackingRefBased/>
  <w15:docId w15:val="{F173D418-72DE-4D99-8889-AB7E92041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E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E28"/>
  </w:style>
  <w:style w:type="paragraph" w:styleId="Footer">
    <w:name w:val="footer"/>
    <w:basedOn w:val="Normal"/>
    <w:link w:val="FooterChar"/>
    <w:uiPriority w:val="99"/>
    <w:unhideWhenUsed/>
    <w:rsid w:val="008F4E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E28"/>
  </w:style>
  <w:style w:type="paragraph" w:styleId="FootnoteText">
    <w:name w:val="footnote text"/>
    <w:basedOn w:val="Normal"/>
    <w:link w:val="FootnoteTextChar"/>
    <w:uiPriority w:val="99"/>
    <w:semiHidden/>
    <w:unhideWhenUsed/>
    <w:rsid w:val="00F716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716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7163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452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520E"/>
    <w:rPr>
      <w:color w:val="605E5C"/>
      <w:shd w:val="clear" w:color="auto" w:fill="E1DFDD"/>
    </w:rPr>
  </w:style>
  <w:style w:type="character" w:customStyle="1" w:styleId="reference-text">
    <w:name w:val="reference-text"/>
    <w:basedOn w:val="DefaultParagraphFont"/>
    <w:rsid w:val="00DA2997"/>
  </w:style>
  <w:style w:type="paragraph" w:styleId="Caption">
    <w:name w:val="caption"/>
    <w:basedOn w:val="Normal"/>
    <w:next w:val="Normal"/>
    <w:uiPriority w:val="35"/>
    <w:unhideWhenUsed/>
    <w:qFormat/>
    <w:rsid w:val="00E21013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issertations-theses/gnosticism-then-now-first-centuries-d-psychology/docview/304067910/se-2?accountid=130472" TargetMode="External"/><Relationship Id="rId13" Type="http://schemas.openxmlformats.org/officeDocument/2006/relationships/hyperlink" Target="http://www.jstor.org/stable/j.ctt5hhqh6.19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111/j.1465-5922.1990.00397.x" TargetMode="External"/><Relationship Id="rId12" Type="http://schemas.openxmlformats.org/officeDocument/2006/relationships/hyperlink" Target="https://www.jstor.org/stable/j.ett1m32206.8" TargetMode="External"/><Relationship Id="rId17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10.1525/jung.2011.5.2.84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1.jpeg"/><Relationship Id="rId10" Type="http://schemas.openxmlformats.org/officeDocument/2006/relationships/hyperlink" Target="https://www.jstor.org/stable/10.1525/jung.2011.5.3.145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issertations-theses/seven-sermons-dead-transcendent-function-gnostic/docview/1904332865/se-2?accountid=130472" TargetMode="External"/><Relationship Id="rId14" Type="http://schemas.openxmlformats.org/officeDocument/2006/relationships/hyperlink" Target="https://www.jstor.org/stable/27510698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lexico.com/definition/overton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0BD3F94A-431B-4A4E-90C2-3D20BD3D9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3124</Words>
  <Characters>17811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Murray</dc:creator>
  <cp:keywords/>
  <dc:description/>
  <cp:lastModifiedBy>John Murray</cp:lastModifiedBy>
  <cp:revision>2</cp:revision>
  <cp:lastPrinted>2021-11-28T17:18:00Z</cp:lastPrinted>
  <dcterms:created xsi:type="dcterms:W3CDTF">2021-11-28T17:24:00Z</dcterms:created>
  <dcterms:modified xsi:type="dcterms:W3CDTF">2021-11-28T17:24:00Z</dcterms:modified>
</cp:coreProperties>
</file>