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07982" w:rsidP="00D07982" w:rsidRDefault="00D07982" w14:paraId="303F158C" w14:textId="77777777">
      <w:pPr>
        <w:spacing w:line="360" w:lineRule="auto"/>
        <w:rPr>
          <w:rFonts w:ascii="Arial" w:hAnsi="Arial" w:cs="Arial"/>
          <w:b/>
          <w:bCs/>
          <w:sz w:val="48"/>
          <w:szCs w:val="48"/>
        </w:rPr>
      </w:pPr>
      <w:r>
        <w:rPr>
          <w:rFonts w:ascii="Arial" w:hAnsi="Arial" w:cs="Arial"/>
          <w:b/>
          <w:bCs/>
          <w:sz w:val="48"/>
          <w:szCs w:val="48"/>
        </w:rPr>
        <w:t>BMHP5019</w:t>
      </w:r>
    </w:p>
    <w:p w:rsidR="00D07982" w:rsidP="00D07982" w:rsidRDefault="00D07982" w14:paraId="7F2A5C38" w14:textId="77777777">
      <w:pPr>
        <w:spacing w:line="360" w:lineRule="auto"/>
        <w:rPr>
          <w:rFonts w:ascii="Arial" w:hAnsi="Arial" w:cs="Arial"/>
          <w:b/>
          <w:bCs/>
          <w:sz w:val="48"/>
          <w:szCs w:val="48"/>
        </w:rPr>
      </w:pPr>
      <w:r>
        <w:rPr>
          <w:rFonts w:ascii="Arial" w:hAnsi="Arial" w:cs="Arial"/>
          <w:b/>
          <w:bCs/>
          <w:sz w:val="48"/>
          <w:szCs w:val="48"/>
        </w:rPr>
        <w:t xml:space="preserve">INTRODUCTION TO INDEPENDENT </w:t>
      </w:r>
    </w:p>
    <w:p w:rsidR="00D07982" w:rsidP="00D07982" w:rsidRDefault="00D07982" w14:paraId="1720D1AC" w14:textId="77777777">
      <w:pPr>
        <w:spacing w:line="360" w:lineRule="auto"/>
        <w:rPr>
          <w:rFonts w:ascii="Arial" w:hAnsi="Arial" w:cs="Arial"/>
          <w:b/>
          <w:bCs/>
          <w:sz w:val="48"/>
          <w:szCs w:val="48"/>
        </w:rPr>
      </w:pPr>
      <w:r>
        <w:rPr>
          <w:rFonts w:ascii="Arial" w:hAnsi="Arial" w:cs="Arial"/>
          <w:b/>
          <w:bCs/>
          <w:sz w:val="48"/>
          <w:szCs w:val="48"/>
        </w:rPr>
        <w:t>RESEARCH SKILLS</w:t>
      </w:r>
    </w:p>
    <w:p w:rsidR="00D07982" w:rsidP="00D07982" w:rsidRDefault="00D07982" w14:paraId="61187A97" w14:textId="77777777">
      <w:pPr>
        <w:spacing w:line="360" w:lineRule="auto"/>
        <w:rPr>
          <w:rFonts w:ascii="Arial" w:hAnsi="Arial" w:cs="Arial"/>
          <w:b/>
          <w:bCs/>
          <w:sz w:val="48"/>
          <w:szCs w:val="48"/>
        </w:rPr>
      </w:pPr>
    </w:p>
    <w:p w:rsidR="00D07982" w:rsidP="00D07982" w:rsidRDefault="00D07982" w14:paraId="0323DB29" w14:textId="77777777">
      <w:pPr>
        <w:spacing w:line="360" w:lineRule="auto"/>
        <w:rPr>
          <w:rFonts w:ascii="Arial" w:hAnsi="Arial" w:cs="Arial"/>
          <w:sz w:val="48"/>
          <w:szCs w:val="48"/>
        </w:rPr>
      </w:pPr>
      <w:r>
        <w:rPr>
          <w:rFonts w:ascii="Arial" w:hAnsi="Arial" w:cs="Arial"/>
          <w:b/>
          <w:bCs/>
          <w:sz w:val="48"/>
          <w:szCs w:val="48"/>
        </w:rPr>
        <w:t>LECTURER:</w:t>
      </w:r>
      <w:r>
        <w:rPr>
          <w:rFonts w:ascii="Arial" w:hAnsi="Arial" w:cs="Arial"/>
          <w:b/>
          <w:bCs/>
          <w:sz w:val="48"/>
          <w:szCs w:val="48"/>
        </w:rPr>
        <w:tab/>
      </w:r>
      <w:r>
        <w:rPr>
          <w:rFonts w:ascii="Arial" w:hAnsi="Arial" w:cs="Arial"/>
          <w:b/>
          <w:bCs/>
          <w:sz w:val="48"/>
          <w:szCs w:val="48"/>
        </w:rPr>
        <w:tab/>
      </w:r>
      <w:r>
        <w:rPr>
          <w:rFonts w:ascii="Arial" w:hAnsi="Arial" w:cs="Arial"/>
          <w:b/>
          <w:bCs/>
          <w:sz w:val="48"/>
          <w:szCs w:val="48"/>
        </w:rPr>
        <w:tab/>
      </w:r>
      <w:r>
        <w:rPr>
          <w:rFonts w:ascii="Arial" w:hAnsi="Arial" w:cs="Arial"/>
          <w:sz w:val="48"/>
          <w:szCs w:val="48"/>
        </w:rPr>
        <w:t>MOHAMMED KHAN</w:t>
      </w:r>
    </w:p>
    <w:p w:rsidR="00D07982" w:rsidP="00D07982" w:rsidRDefault="00D07982" w14:paraId="119B6161" w14:textId="77777777">
      <w:pPr>
        <w:spacing w:line="360" w:lineRule="auto"/>
        <w:rPr>
          <w:rFonts w:ascii="Arial" w:hAnsi="Arial" w:cs="Arial"/>
          <w:sz w:val="48"/>
          <w:szCs w:val="48"/>
        </w:rPr>
      </w:pPr>
    </w:p>
    <w:p w:rsidR="00D07982" w:rsidP="00D07982" w:rsidRDefault="00D07982" w14:paraId="10F38389" w14:textId="77777777">
      <w:pPr>
        <w:spacing w:line="360" w:lineRule="auto"/>
        <w:rPr>
          <w:rFonts w:ascii="Arial" w:hAnsi="Arial" w:cs="Arial"/>
          <w:sz w:val="48"/>
          <w:szCs w:val="48"/>
        </w:rPr>
      </w:pPr>
      <w:r>
        <w:rPr>
          <w:rFonts w:ascii="Arial" w:hAnsi="Arial" w:cs="Arial"/>
          <w:b/>
          <w:bCs/>
          <w:sz w:val="48"/>
          <w:szCs w:val="48"/>
        </w:rPr>
        <w:t>STUDENT:</w:t>
      </w:r>
      <w:r>
        <w:rPr>
          <w:rFonts w:ascii="Arial" w:hAnsi="Arial" w:cs="Arial"/>
          <w:b/>
          <w:bCs/>
          <w:sz w:val="48"/>
          <w:szCs w:val="48"/>
        </w:rPr>
        <w:tab/>
      </w:r>
      <w:r>
        <w:rPr>
          <w:rFonts w:ascii="Arial" w:hAnsi="Arial" w:cs="Arial"/>
          <w:b/>
          <w:bCs/>
          <w:sz w:val="48"/>
          <w:szCs w:val="48"/>
        </w:rPr>
        <w:tab/>
      </w:r>
      <w:r>
        <w:rPr>
          <w:rFonts w:ascii="Arial" w:hAnsi="Arial" w:cs="Arial"/>
          <w:b/>
          <w:bCs/>
          <w:sz w:val="48"/>
          <w:szCs w:val="48"/>
        </w:rPr>
        <w:tab/>
      </w:r>
      <w:r>
        <w:rPr>
          <w:rFonts w:ascii="Arial" w:hAnsi="Arial" w:cs="Arial"/>
          <w:sz w:val="48"/>
          <w:szCs w:val="48"/>
        </w:rPr>
        <w:t>SOBIA HUSSAIN</w:t>
      </w:r>
    </w:p>
    <w:p w:rsidRPr="00976AC8" w:rsidR="00D07982" w:rsidP="00D07982" w:rsidRDefault="00D07982" w14:paraId="6909D936" w14:textId="77777777">
      <w:pPr>
        <w:spacing w:line="360" w:lineRule="auto"/>
        <w:rPr>
          <w:rFonts w:ascii="Arial" w:hAnsi="Arial" w:cs="Arial"/>
          <w:sz w:val="48"/>
          <w:szCs w:val="48"/>
        </w:rPr>
      </w:pPr>
      <w:r>
        <w:rPr>
          <w:rFonts w:ascii="Arial" w:hAnsi="Arial" w:cs="Arial"/>
          <w:b/>
          <w:bCs/>
          <w:sz w:val="48"/>
          <w:szCs w:val="48"/>
        </w:rPr>
        <w:t>ID:</w:t>
      </w:r>
      <w:r>
        <w:rPr>
          <w:rFonts w:ascii="Arial" w:hAnsi="Arial" w:cs="Arial"/>
          <w:b/>
          <w:bCs/>
          <w:sz w:val="48"/>
          <w:szCs w:val="48"/>
        </w:rPr>
        <w:tab/>
      </w:r>
      <w:r>
        <w:rPr>
          <w:rFonts w:ascii="Arial" w:hAnsi="Arial" w:cs="Arial"/>
          <w:b/>
          <w:bCs/>
          <w:sz w:val="48"/>
          <w:szCs w:val="48"/>
        </w:rPr>
        <w:tab/>
      </w:r>
      <w:r>
        <w:rPr>
          <w:rFonts w:ascii="Arial" w:hAnsi="Arial" w:cs="Arial"/>
          <w:b/>
          <w:bCs/>
          <w:sz w:val="48"/>
          <w:szCs w:val="48"/>
        </w:rPr>
        <w:tab/>
      </w:r>
      <w:r>
        <w:rPr>
          <w:rFonts w:ascii="Arial" w:hAnsi="Arial" w:cs="Arial"/>
          <w:b/>
          <w:bCs/>
          <w:sz w:val="48"/>
          <w:szCs w:val="48"/>
        </w:rPr>
        <w:tab/>
      </w:r>
      <w:r>
        <w:rPr>
          <w:rFonts w:ascii="Arial" w:hAnsi="Arial" w:cs="Arial"/>
          <w:b/>
          <w:bCs/>
          <w:sz w:val="48"/>
          <w:szCs w:val="48"/>
        </w:rPr>
        <w:tab/>
      </w:r>
      <w:r>
        <w:rPr>
          <w:rFonts w:ascii="Arial" w:hAnsi="Arial" w:cs="Arial"/>
          <w:b/>
          <w:bCs/>
          <w:sz w:val="48"/>
          <w:szCs w:val="48"/>
        </w:rPr>
        <w:tab/>
      </w:r>
      <w:r>
        <w:rPr>
          <w:rFonts w:ascii="Arial" w:hAnsi="Arial" w:cs="Arial"/>
          <w:sz w:val="48"/>
          <w:szCs w:val="48"/>
        </w:rPr>
        <w:t>2409460</w:t>
      </w:r>
    </w:p>
    <w:p w:rsidR="00D07982" w:rsidP="00D07982" w:rsidRDefault="00D07982" w14:paraId="39DEE088" w14:textId="77777777">
      <w:pPr>
        <w:spacing w:line="360" w:lineRule="auto"/>
        <w:rPr>
          <w:rFonts w:ascii="Arial" w:hAnsi="Arial" w:cs="Arial"/>
          <w:sz w:val="48"/>
          <w:szCs w:val="48"/>
        </w:rPr>
      </w:pPr>
    </w:p>
    <w:p w:rsidR="00D07982" w:rsidP="00D07982" w:rsidRDefault="00D07982" w14:paraId="36589B2C" w14:textId="77777777">
      <w:pPr>
        <w:spacing w:line="360" w:lineRule="auto"/>
        <w:rPr>
          <w:rFonts w:ascii="Arial" w:hAnsi="Arial" w:cs="Arial"/>
          <w:sz w:val="48"/>
          <w:szCs w:val="48"/>
        </w:rPr>
      </w:pPr>
    </w:p>
    <w:p w:rsidR="00D07982" w:rsidP="00D07982" w:rsidRDefault="00D07982" w14:paraId="0045B1B1" w14:textId="77777777">
      <w:pPr>
        <w:spacing w:line="360" w:lineRule="auto"/>
        <w:rPr>
          <w:rFonts w:ascii="Arial" w:hAnsi="Arial" w:cs="Arial"/>
          <w:sz w:val="48"/>
          <w:szCs w:val="48"/>
        </w:rPr>
      </w:pPr>
    </w:p>
    <w:p w:rsidR="00D07982" w:rsidP="00D07982" w:rsidRDefault="00D07982" w14:paraId="0CBE8A74" w14:textId="1F2AA9DB">
      <w:pPr>
        <w:spacing w:line="360" w:lineRule="auto"/>
        <w:rPr>
          <w:rFonts w:ascii="Arial" w:hAnsi="Arial" w:cs="Arial"/>
          <w:b/>
          <w:bCs/>
          <w:sz w:val="48"/>
          <w:szCs w:val="48"/>
        </w:rPr>
      </w:pPr>
      <w:r>
        <w:rPr>
          <w:rFonts w:ascii="Arial" w:hAnsi="Arial" w:cs="Arial"/>
          <w:b/>
          <w:bCs/>
          <w:sz w:val="48"/>
          <w:szCs w:val="48"/>
        </w:rPr>
        <w:t xml:space="preserve">COMPONENT </w:t>
      </w:r>
      <w:r w:rsidR="001C6127">
        <w:rPr>
          <w:rFonts w:ascii="Arial" w:hAnsi="Arial" w:cs="Arial"/>
          <w:b/>
          <w:bCs/>
          <w:sz w:val="48"/>
          <w:szCs w:val="48"/>
        </w:rPr>
        <w:t>2</w:t>
      </w:r>
    </w:p>
    <w:p w:rsidRPr="00E55160" w:rsidR="00D07982" w:rsidP="00D07982" w:rsidRDefault="00D07982" w14:paraId="04D22BA2" w14:textId="4E6E6353">
      <w:pPr>
        <w:spacing w:line="360" w:lineRule="auto"/>
        <w:rPr>
          <w:rFonts w:ascii="Arial" w:hAnsi="Arial" w:cs="Arial"/>
          <w:sz w:val="48"/>
          <w:szCs w:val="48"/>
        </w:rPr>
      </w:pPr>
      <w:r>
        <w:rPr>
          <w:rFonts w:ascii="Arial" w:hAnsi="Arial" w:cs="Arial"/>
          <w:sz w:val="48"/>
          <w:szCs w:val="48"/>
        </w:rPr>
        <w:t>RESEARCH</w:t>
      </w:r>
      <w:r w:rsidR="007A57BE">
        <w:rPr>
          <w:rFonts w:ascii="Arial" w:hAnsi="Arial" w:cs="Arial"/>
          <w:sz w:val="48"/>
          <w:szCs w:val="48"/>
        </w:rPr>
        <w:t xml:space="preserve"> REPORT</w:t>
      </w:r>
    </w:p>
    <w:p w:rsidRPr="00CD0E1A" w:rsidR="00074402" w:rsidP="00CD33A8" w:rsidRDefault="00074402" w14:paraId="39D08584" w14:textId="77777777">
      <w:pPr>
        <w:tabs>
          <w:tab w:val="left" w:pos="6540"/>
        </w:tabs>
        <w:spacing w:line="360" w:lineRule="auto"/>
        <w:rPr>
          <w:rFonts w:ascii="Arial" w:hAnsi="Arial" w:cs="Arial"/>
          <w:sz w:val="22"/>
        </w:rPr>
      </w:pPr>
    </w:p>
    <w:p w:rsidRPr="00CD33A8" w:rsidR="00074402" w:rsidP="00CD33A8" w:rsidRDefault="00074402" w14:paraId="5B66D125" w14:textId="77777777">
      <w:pPr>
        <w:tabs>
          <w:tab w:val="left" w:pos="6540"/>
        </w:tabs>
        <w:spacing w:line="360" w:lineRule="auto"/>
        <w:rPr>
          <w:rFonts w:asciiTheme="minorBidi" w:hAnsiTheme="minorBidi"/>
          <w:sz w:val="22"/>
        </w:rPr>
      </w:pPr>
    </w:p>
    <w:p w:rsidRPr="00CD33A8" w:rsidR="00074402" w:rsidP="00CD33A8" w:rsidRDefault="00074402" w14:paraId="291524A2" w14:textId="2CBFF360">
      <w:pPr>
        <w:tabs>
          <w:tab w:val="left" w:pos="6540"/>
        </w:tabs>
        <w:spacing w:line="360" w:lineRule="auto"/>
        <w:rPr>
          <w:rFonts w:asciiTheme="minorBidi" w:hAnsiTheme="minorBidi"/>
          <w:sz w:val="22"/>
        </w:rPr>
      </w:pPr>
    </w:p>
    <w:p w:rsidR="00B87E75" w:rsidP="007A57BE" w:rsidRDefault="007A57BE" w14:paraId="13E00080" w14:textId="67D2CDF8">
      <w:pPr>
        <w:spacing w:line="360" w:lineRule="auto"/>
        <w:jc w:val="center"/>
        <w:rPr>
          <w:rFonts w:ascii="Arial" w:hAnsi="Arial" w:cs="Arial"/>
          <w:b/>
          <w:bCs/>
        </w:rPr>
      </w:pPr>
      <w:r>
        <w:rPr>
          <w:rFonts w:ascii="Arial" w:hAnsi="Arial" w:cs="Arial"/>
          <w:b/>
          <w:bCs/>
        </w:rPr>
        <w:t>Table of Contents</w:t>
      </w:r>
    </w:p>
    <w:p w:rsidRPr="00D3514A" w:rsidR="00D3514A" w:rsidP="00D3514A" w:rsidRDefault="00D3514A" w14:paraId="33A15D7C" w14:textId="3BD4AF6E">
      <w:pPr>
        <w:spacing w:line="360" w:lineRule="auto"/>
        <w:rPr>
          <w:rFonts w:ascii="Arial" w:hAnsi="Arial" w:cs="Arial"/>
        </w:rPr>
      </w:pPr>
      <w:r w:rsidRPr="22A5FA13" w:rsidR="00D3514A">
        <w:rPr>
          <w:rFonts w:ascii="Arial" w:hAnsi="Arial" w:cs="Arial"/>
        </w:rPr>
        <w:t>Topic………………………………………………………………………</w:t>
      </w:r>
      <w:r w:rsidRPr="22A5FA13" w:rsidR="03F60B9E">
        <w:rPr>
          <w:rFonts w:ascii="Arial" w:hAnsi="Arial" w:cs="Arial"/>
        </w:rPr>
        <w:t xml:space="preserve">Pg </w:t>
      </w:r>
      <w:r w:rsidRPr="22A5FA13" w:rsidR="1E0059A6">
        <w:rPr>
          <w:rFonts w:ascii="Arial" w:hAnsi="Arial" w:cs="Arial"/>
        </w:rPr>
        <w:t>4</w:t>
      </w:r>
    </w:p>
    <w:p w:rsidR="007A57BE" w:rsidP="00AC1F35" w:rsidRDefault="00AC1F35" w14:paraId="078F48F4" w14:textId="5D168C41">
      <w:pPr>
        <w:spacing w:line="360" w:lineRule="auto"/>
        <w:rPr>
          <w:rFonts w:ascii="Arial" w:hAnsi="Arial" w:cs="Arial"/>
        </w:rPr>
      </w:pPr>
      <w:r w:rsidRPr="22A5FA13" w:rsidR="00AC1F35">
        <w:rPr>
          <w:rFonts w:ascii="Arial" w:hAnsi="Arial" w:cs="Arial"/>
        </w:rPr>
        <w:t>Abstract……………………………………………………………………</w:t>
      </w:r>
      <w:r w:rsidRPr="22A5FA13" w:rsidR="0E50297C">
        <w:rPr>
          <w:rFonts w:ascii="Arial" w:hAnsi="Arial" w:cs="Arial"/>
        </w:rPr>
        <w:t xml:space="preserve">Pg </w:t>
      </w:r>
      <w:r w:rsidRPr="22A5FA13" w:rsidR="77AF70C6">
        <w:rPr>
          <w:rFonts w:ascii="Arial" w:hAnsi="Arial" w:cs="Arial"/>
        </w:rPr>
        <w:t>4</w:t>
      </w:r>
    </w:p>
    <w:p w:rsidR="009D75DC" w:rsidP="00AC1F35" w:rsidRDefault="009D75DC" w14:paraId="147D1502" w14:textId="35E95730">
      <w:pPr>
        <w:spacing w:line="360" w:lineRule="auto"/>
      </w:pPr>
      <w:r w:rsidRPr="22A5FA13" w:rsidR="00CE4472">
        <w:rPr>
          <w:rFonts w:ascii="Arial" w:hAnsi="Arial" w:cs="Arial"/>
        </w:rPr>
        <w:t>Introduction……………………………………………………………</w:t>
      </w:r>
      <w:r w:rsidRPr="22A5FA13" w:rsidR="00CE4472">
        <w:rPr>
          <w:rFonts w:ascii="Arial" w:hAnsi="Arial" w:cs="Arial"/>
        </w:rPr>
        <w:t>….</w:t>
      </w:r>
      <w:r w:rsidRPr="22A5FA13" w:rsidR="3860CC6B">
        <w:rPr>
          <w:rFonts w:ascii="Arial" w:hAnsi="Arial" w:cs="Arial"/>
        </w:rPr>
        <w:t>Pg</w:t>
      </w:r>
      <w:r w:rsidRPr="22A5FA13" w:rsidR="3860CC6B">
        <w:rPr>
          <w:rFonts w:ascii="Arial" w:hAnsi="Arial" w:cs="Arial"/>
        </w:rPr>
        <w:t xml:space="preserve"> </w:t>
      </w:r>
      <w:r w:rsidRPr="22A5FA13" w:rsidR="16718EF9">
        <w:rPr>
          <w:rFonts w:ascii="Arial" w:hAnsi="Arial" w:cs="Arial"/>
        </w:rPr>
        <w:t>4</w:t>
      </w:r>
      <w:r w:rsidRPr="22A5FA13" w:rsidR="05903340">
        <w:rPr>
          <w:rFonts w:ascii="Arial" w:hAnsi="Arial" w:cs="Arial"/>
        </w:rPr>
        <w:t>-5</w:t>
      </w:r>
    </w:p>
    <w:p w:rsidR="009D75DC" w:rsidP="22A5FA13" w:rsidRDefault="009D75DC" w14:paraId="4092ED8A" w14:textId="71582796">
      <w:pPr>
        <w:pStyle w:val="Normal"/>
        <w:spacing w:line="360" w:lineRule="auto"/>
        <w:ind w:left="0"/>
        <w:rPr>
          <w:rFonts w:ascii="Arial" w:hAnsi="Arial" w:cs="Arial"/>
        </w:rPr>
      </w:pPr>
      <w:r w:rsidRPr="22A5FA13" w:rsidR="07CD7429">
        <w:rPr>
          <w:rFonts w:ascii="Arial" w:hAnsi="Arial" w:cs="Arial"/>
        </w:rPr>
        <w:t>1.</w:t>
      </w:r>
      <w:r w:rsidRPr="22A5FA13" w:rsidR="2E406542">
        <w:rPr>
          <w:rFonts w:ascii="Arial" w:hAnsi="Arial" w:cs="Arial"/>
        </w:rPr>
        <w:t xml:space="preserve"> </w:t>
      </w:r>
      <w:r w:rsidRPr="22A5FA13" w:rsidR="009D75DC">
        <w:rPr>
          <w:rFonts w:ascii="Arial" w:hAnsi="Arial" w:cs="Arial"/>
        </w:rPr>
        <w:t xml:space="preserve">Review </w:t>
      </w:r>
      <w:r w:rsidRPr="22A5FA13" w:rsidR="00A364E8">
        <w:rPr>
          <w:rFonts w:ascii="Arial" w:hAnsi="Arial" w:cs="Arial"/>
        </w:rPr>
        <w:t>Question and Objectives……………………………………</w:t>
      </w:r>
      <w:r w:rsidRPr="22A5FA13" w:rsidR="40016F72">
        <w:rPr>
          <w:rFonts w:ascii="Arial" w:hAnsi="Arial" w:cs="Arial"/>
        </w:rPr>
        <w:t xml:space="preserve">Pg </w:t>
      </w:r>
      <w:r w:rsidRPr="22A5FA13" w:rsidR="29C7B7CA">
        <w:rPr>
          <w:rFonts w:ascii="Arial" w:hAnsi="Arial" w:cs="Arial"/>
        </w:rPr>
        <w:t>5-6</w:t>
      </w:r>
    </w:p>
    <w:p w:rsidR="00CE4472" w:rsidP="00AC1F35" w:rsidRDefault="00CE4472" w14:paraId="7F5D5C3F" w14:textId="7CAE31B9">
      <w:pPr>
        <w:spacing w:line="360" w:lineRule="auto"/>
      </w:pPr>
      <w:r w:rsidRPr="22A5FA13" w:rsidR="538A074A">
        <w:rPr>
          <w:rFonts w:ascii="Arial" w:hAnsi="Arial" w:cs="Arial"/>
        </w:rPr>
        <w:t xml:space="preserve">2. </w:t>
      </w:r>
      <w:r w:rsidRPr="22A5FA13" w:rsidR="00CE4472">
        <w:rPr>
          <w:rFonts w:ascii="Arial" w:hAnsi="Arial" w:cs="Arial"/>
        </w:rPr>
        <w:t>Background……………………………………………………………</w:t>
      </w:r>
      <w:r w:rsidRPr="22A5FA13" w:rsidR="3AA7CB9E">
        <w:rPr>
          <w:rFonts w:ascii="Arial" w:hAnsi="Arial" w:cs="Arial"/>
        </w:rPr>
        <w:t>Pg</w:t>
      </w:r>
      <w:r w:rsidRPr="22A5FA13" w:rsidR="3AA7CB9E">
        <w:rPr>
          <w:rFonts w:ascii="Arial" w:hAnsi="Arial" w:cs="Arial"/>
        </w:rPr>
        <w:t xml:space="preserve"> </w:t>
      </w:r>
      <w:r w:rsidRPr="22A5FA13" w:rsidR="4657F34A">
        <w:rPr>
          <w:rFonts w:ascii="Arial" w:hAnsi="Arial" w:cs="Arial"/>
        </w:rPr>
        <w:t>6-</w:t>
      </w:r>
      <w:r w:rsidRPr="22A5FA13" w:rsidR="48A3CBC5">
        <w:rPr>
          <w:rFonts w:ascii="Arial" w:hAnsi="Arial" w:cs="Arial"/>
        </w:rPr>
        <w:t>7</w:t>
      </w:r>
    </w:p>
    <w:p w:rsidR="00AC2DE3" w:rsidP="22A5FA13" w:rsidRDefault="00CE4472" w14:paraId="60E7AECF" w14:textId="5F61F0E6">
      <w:pPr>
        <w:spacing w:line="360" w:lineRule="auto"/>
        <w:rPr>
          <w:rFonts w:ascii="Arial" w:hAnsi="Arial" w:cs="Arial"/>
        </w:rPr>
      </w:pPr>
      <w:r w:rsidRPr="22A5FA13" w:rsidR="1D0CA6E4">
        <w:rPr>
          <w:rFonts w:ascii="Arial" w:hAnsi="Arial" w:cs="Arial"/>
        </w:rPr>
        <w:t xml:space="preserve">3. </w:t>
      </w:r>
      <w:r w:rsidRPr="22A5FA13" w:rsidR="00CE4472">
        <w:rPr>
          <w:rFonts w:ascii="Arial" w:hAnsi="Arial" w:cs="Arial"/>
        </w:rPr>
        <w:t>Methods</w:t>
      </w:r>
    </w:p>
    <w:p w:rsidR="00AC2DE3" w:rsidP="22A5FA13" w:rsidRDefault="00CE4472" w14:paraId="20209DCB" w14:textId="606D37AD">
      <w:pPr>
        <w:spacing w:line="360" w:lineRule="auto"/>
        <w:ind w:firstLine="720"/>
        <w:rPr>
          <w:rFonts w:ascii="Arial" w:hAnsi="Arial" w:cs="Arial"/>
          <w:i w:val="0"/>
          <w:iCs w:val="0"/>
        </w:rPr>
      </w:pPr>
      <w:r w:rsidRPr="22A5FA13" w:rsidR="6A38E752">
        <w:rPr>
          <w:rFonts w:ascii="Arial" w:hAnsi="Arial" w:cs="Arial"/>
          <w:i w:val="1"/>
          <w:iCs w:val="1"/>
        </w:rPr>
        <w:t>3.1 Research Design...............................................................</w:t>
      </w:r>
      <w:r w:rsidRPr="22A5FA13" w:rsidR="65B2BEB6">
        <w:rPr>
          <w:rFonts w:ascii="Arial" w:hAnsi="Arial" w:cs="Arial"/>
          <w:i w:val="1"/>
          <w:iCs w:val="1"/>
        </w:rPr>
        <w:t>Pg 7-8</w:t>
      </w:r>
    </w:p>
    <w:p w:rsidR="00AC2DE3" w:rsidP="22A5FA13" w:rsidRDefault="00CE4472" w14:paraId="12DC2DCE" w14:textId="187F28CA">
      <w:pPr>
        <w:spacing w:line="360" w:lineRule="auto"/>
        <w:ind w:firstLine="720"/>
        <w:rPr>
          <w:rFonts w:ascii="Arial" w:hAnsi="Arial" w:cs="Arial"/>
          <w:i w:val="0"/>
          <w:iCs w:val="0"/>
        </w:rPr>
      </w:pPr>
      <w:r w:rsidRPr="22A5FA13" w:rsidR="6A38E752">
        <w:rPr>
          <w:rFonts w:ascii="Arial" w:hAnsi="Arial" w:cs="Arial"/>
          <w:i w:val="1"/>
          <w:iCs w:val="1"/>
        </w:rPr>
        <w:t>3.2 Research Strategy.............................................................</w:t>
      </w:r>
      <w:r w:rsidRPr="22A5FA13" w:rsidR="678AB009">
        <w:rPr>
          <w:rFonts w:ascii="Arial" w:hAnsi="Arial" w:cs="Arial"/>
          <w:i w:val="1"/>
          <w:iCs w:val="1"/>
        </w:rPr>
        <w:t>Pg 8</w:t>
      </w:r>
    </w:p>
    <w:p w:rsidR="00AC2DE3" w:rsidP="22A5FA13" w:rsidRDefault="00CE4472" w14:paraId="38B08011" w14:textId="4BB1D471">
      <w:pPr>
        <w:spacing w:line="360" w:lineRule="auto"/>
        <w:ind w:firstLine="720"/>
        <w:rPr>
          <w:rFonts w:ascii="Arial" w:hAnsi="Arial" w:cs="Arial"/>
          <w:i w:val="0"/>
          <w:iCs w:val="0"/>
        </w:rPr>
      </w:pPr>
      <w:r w:rsidRPr="22A5FA13" w:rsidR="68A040C5">
        <w:rPr>
          <w:rFonts w:ascii="Arial" w:hAnsi="Arial" w:cs="Arial"/>
        </w:rPr>
        <w:t xml:space="preserve">3.3 </w:t>
      </w:r>
      <w:r w:rsidRPr="22A5FA13" w:rsidR="68A040C5">
        <w:rPr>
          <w:rFonts w:ascii="Arial" w:hAnsi="Arial" w:cs="Arial"/>
          <w:i w:val="1"/>
          <w:iCs w:val="1"/>
        </w:rPr>
        <w:t>Eligibility Criteria.................................................................</w:t>
      </w:r>
      <w:r w:rsidRPr="22A5FA13" w:rsidR="5336F6DF">
        <w:rPr>
          <w:rFonts w:ascii="Arial" w:hAnsi="Arial" w:cs="Arial"/>
          <w:i w:val="1"/>
          <w:iCs w:val="1"/>
        </w:rPr>
        <w:t>Pg 8</w:t>
      </w:r>
    </w:p>
    <w:p w:rsidR="00CE4472" w:rsidP="22A5FA13" w:rsidRDefault="00CE4472" w14:paraId="381C79EB" w14:textId="550933F6">
      <w:pPr>
        <w:spacing w:line="360" w:lineRule="auto"/>
        <w:ind w:firstLine="720"/>
        <w:rPr>
          <w:rFonts w:ascii="Arial" w:hAnsi="Arial" w:cs="Arial"/>
          <w:i w:val="0"/>
          <w:iCs w:val="0"/>
        </w:rPr>
      </w:pPr>
      <w:r w:rsidRPr="22A5FA13" w:rsidR="7CAA6945">
        <w:rPr>
          <w:rFonts w:ascii="Arial" w:hAnsi="Arial" w:cs="Arial"/>
          <w:i w:val="1"/>
          <w:iCs w:val="1"/>
        </w:rPr>
        <w:t>Table  1</w:t>
      </w:r>
      <w:r w:rsidRPr="22A5FA13" w:rsidR="7CAA6945">
        <w:rPr>
          <w:rFonts w:ascii="Arial" w:hAnsi="Arial" w:cs="Arial"/>
          <w:i w:val="1"/>
          <w:iCs w:val="1"/>
        </w:rPr>
        <w:t xml:space="preserve">. Eligibility Criteria </w:t>
      </w:r>
      <w:r w:rsidRPr="22A5FA13" w:rsidR="7CAA6945">
        <w:rPr>
          <w:rFonts w:ascii="Arial" w:hAnsi="Arial" w:cs="Arial"/>
          <w:i w:val="1"/>
          <w:iCs w:val="1"/>
        </w:rPr>
        <w:t>For</w:t>
      </w:r>
      <w:r w:rsidRPr="22A5FA13" w:rsidR="7CAA6945">
        <w:rPr>
          <w:rFonts w:ascii="Arial" w:hAnsi="Arial" w:cs="Arial"/>
          <w:i w:val="1"/>
          <w:iCs w:val="1"/>
        </w:rPr>
        <w:t xml:space="preserve"> Study Selection........................</w:t>
      </w:r>
      <w:r w:rsidRPr="22A5FA13" w:rsidR="52739CC6">
        <w:rPr>
          <w:rFonts w:ascii="Arial" w:hAnsi="Arial" w:cs="Arial"/>
          <w:i w:val="1"/>
          <w:iCs w:val="1"/>
        </w:rPr>
        <w:t>Pg 9</w:t>
      </w:r>
    </w:p>
    <w:p w:rsidR="00CE4472" w:rsidP="22A5FA13" w:rsidRDefault="00CE4472" w14:paraId="0DA0732F" w14:textId="604E3AE1">
      <w:pPr>
        <w:spacing w:line="360" w:lineRule="auto"/>
        <w:ind w:firstLine="720"/>
        <w:rPr>
          <w:rFonts w:ascii="Arial" w:hAnsi="Arial" w:cs="Arial"/>
          <w:i w:val="0"/>
          <w:iCs w:val="0"/>
        </w:rPr>
      </w:pPr>
      <w:r w:rsidRPr="22A5FA13" w:rsidR="7960753A">
        <w:rPr>
          <w:rFonts w:ascii="Arial" w:hAnsi="Arial" w:cs="Arial"/>
          <w:i w:val="1"/>
          <w:iCs w:val="1"/>
        </w:rPr>
        <w:t>3.4 Study Selection and Data Extraction...................................</w:t>
      </w:r>
      <w:r w:rsidRPr="22A5FA13" w:rsidR="2195F8B3">
        <w:rPr>
          <w:rFonts w:ascii="Arial" w:hAnsi="Arial" w:cs="Arial"/>
          <w:i w:val="1"/>
          <w:iCs w:val="1"/>
        </w:rPr>
        <w:t>Pg 9</w:t>
      </w:r>
    </w:p>
    <w:p w:rsidR="00CE4472" w:rsidP="22A5FA13" w:rsidRDefault="00CE4472" w14:paraId="19FA5B59" w14:textId="2D790670">
      <w:pPr>
        <w:spacing w:line="360" w:lineRule="auto"/>
        <w:ind w:firstLine="720"/>
        <w:rPr>
          <w:rFonts w:ascii="Arial" w:hAnsi="Arial" w:eastAsia="Calibri" w:cs="Arial" w:asciiTheme="minorBidi" w:hAnsiTheme="minorBidi"/>
          <w:i w:val="0"/>
          <w:iCs w:val="0"/>
          <w:sz w:val="24"/>
          <w:szCs w:val="24"/>
          <w:lang w:val="en-US"/>
        </w:rPr>
      </w:pPr>
      <w:r w:rsidRPr="22A5FA13" w:rsidR="64E6E4A7">
        <w:rPr>
          <w:rFonts w:ascii="Arial" w:hAnsi="Arial" w:eastAsia="Calibri" w:cs="Arial" w:asciiTheme="minorBidi" w:hAnsiTheme="minorBidi"/>
          <w:i w:val="1"/>
          <w:iCs w:val="1"/>
          <w:sz w:val="24"/>
          <w:szCs w:val="24"/>
          <w:lang w:val="en-US"/>
        </w:rPr>
        <w:t>Table 2. Data Extraction Summary of Included Studies............</w:t>
      </w:r>
      <w:r w:rsidRPr="22A5FA13" w:rsidR="48728F34">
        <w:rPr>
          <w:rFonts w:ascii="Arial" w:hAnsi="Arial" w:eastAsia="Calibri" w:cs="Arial" w:asciiTheme="minorBidi" w:hAnsiTheme="minorBidi"/>
          <w:i w:val="1"/>
          <w:iCs w:val="1"/>
          <w:sz w:val="24"/>
          <w:szCs w:val="24"/>
          <w:lang w:val="en-US"/>
        </w:rPr>
        <w:t>Pg 10</w:t>
      </w:r>
    </w:p>
    <w:p w:rsidR="00CE4472" w:rsidP="22A5FA13" w:rsidRDefault="00CE4472" w14:paraId="17B01CCA" w14:textId="7A0B35B4">
      <w:pPr>
        <w:spacing w:line="360" w:lineRule="auto"/>
        <w:ind w:firstLine="720"/>
        <w:rPr>
          <w:rFonts w:ascii="Arial" w:hAnsi="Arial" w:eastAsia="Calibri" w:cs="Arial" w:asciiTheme="minorBidi" w:hAnsiTheme="minorBidi"/>
          <w:i w:val="0"/>
          <w:iCs w:val="0"/>
          <w:sz w:val="24"/>
          <w:szCs w:val="24"/>
          <w:lang w:val="en-US"/>
        </w:rPr>
      </w:pPr>
      <w:r w:rsidRPr="22A5FA13" w:rsidR="6EC1F756">
        <w:rPr>
          <w:rFonts w:ascii="Arial" w:hAnsi="Arial" w:eastAsia="Calibri" w:cs="Arial" w:asciiTheme="minorBidi" w:hAnsiTheme="minorBidi"/>
          <w:i w:val="1"/>
          <w:iCs w:val="1"/>
          <w:sz w:val="24"/>
          <w:szCs w:val="24"/>
          <w:lang w:val="en-US"/>
        </w:rPr>
        <w:t>3.5 Data Analysis .......................................................................</w:t>
      </w:r>
      <w:r w:rsidRPr="22A5FA13" w:rsidR="3547C2D6">
        <w:rPr>
          <w:rFonts w:ascii="Arial" w:hAnsi="Arial" w:eastAsia="Calibri" w:cs="Arial" w:asciiTheme="minorBidi" w:hAnsiTheme="minorBidi"/>
          <w:i w:val="1"/>
          <w:iCs w:val="1"/>
          <w:sz w:val="24"/>
          <w:szCs w:val="24"/>
          <w:lang w:val="en-US"/>
        </w:rPr>
        <w:t>Pg 11</w:t>
      </w:r>
    </w:p>
    <w:p w:rsidR="00CE4472" w:rsidP="22A5FA13" w:rsidRDefault="00CE4472" w14:paraId="683DE7BE" w14:textId="3D86DCFD">
      <w:pPr>
        <w:pStyle w:val="Normal"/>
        <w:spacing w:line="360" w:lineRule="auto"/>
        <w:ind w:firstLine="0"/>
        <w:rPr>
          <w:rFonts w:ascii="Arial" w:hAnsi="Arial" w:cs="Arial"/>
        </w:rPr>
      </w:pPr>
      <w:r w:rsidRPr="22A5FA13" w:rsidR="629B5334">
        <w:rPr>
          <w:rFonts w:ascii="Arial" w:hAnsi="Arial" w:cs="Arial"/>
        </w:rPr>
        <w:t xml:space="preserve">4. </w:t>
      </w:r>
      <w:r w:rsidRPr="22A5FA13" w:rsidR="00CE4472">
        <w:rPr>
          <w:rFonts w:ascii="Arial" w:hAnsi="Arial" w:cs="Arial"/>
        </w:rPr>
        <w:t>Resu</w:t>
      </w:r>
      <w:r w:rsidRPr="22A5FA13" w:rsidR="00AC2DE3">
        <w:rPr>
          <w:rFonts w:ascii="Arial" w:hAnsi="Arial" w:cs="Arial"/>
        </w:rPr>
        <w:t>l</w:t>
      </w:r>
      <w:r w:rsidRPr="22A5FA13" w:rsidR="00CE4472">
        <w:rPr>
          <w:rFonts w:ascii="Arial" w:hAnsi="Arial" w:cs="Arial"/>
        </w:rPr>
        <w:t>ts</w:t>
      </w:r>
    </w:p>
    <w:p w:rsidR="21E6E822" w:rsidP="22A5FA13" w:rsidRDefault="21E6E822" w14:paraId="559C661A" w14:textId="1A953CB3">
      <w:pPr>
        <w:pStyle w:val="Normal"/>
        <w:spacing w:line="360" w:lineRule="auto"/>
        <w:ind w:firstLine="0"/>
        <w:rPr>
          <w:rFonts w:ascii="Arial" w:hAnsi="Arial" w:cs="Arial"/>
          <w:i w:val="1"/>
          <w:iCs w:val="1"/>
        </w:rPr>
      </w:pPr>
      <w:r w:rsidRPr="22A5FA13" w:rsidR="16C94E24">
        <w:rPr>
          <w:rFonts w:ascii="Arial" w:hAnsi="Arial" w:cs="Arial"/>
          <w:i w:val="1"/>
          <w:iCs w:val="1"/>
        </w:rPr>
        <w:t xml:space="preserve">4.1 </w:t>
      </w:r>
      <w:r w:rsidRPr="22A5FA13" w:rsidR="21E6E822">
        <w:rPr>
          <w:rFonts w:ascii="Arial" w:hAnsi="Arial" w:cs="Arial"/>
          <w:i w:val="1"/>
          <w:iCs w:val="1"/>
        </w:rPr>
        <w:t>Overview of Findings..............................................................</w:t>
      </w:r>
      <w:r w:rsidRPr="22A5FA13" w:rsidR="78F2BFEF">
        <w:rPr>
          <w:rFonts w:ascii="Arial" w:hAnsi="Arial" w:cs="Arial"/>
          <w:i w:val="1"/>
          <w:iCs w:val="1"/>
        </w:rPr>
        <w:t>Pg 11</w:t>
      </w:r>
    </w:p>
    <w:p w:rsidR="21E6E822" w:rsidP="22A5FA13" w:rsidRDefault="21E6E822" w14:paraId="6E0BEB77" w14:textId="7DCCFE0A">
      <w:pPr>
        <w:pStyle w:val="Normal"/>
        <w:spacing w:line="360" w:lineRule="auto"/>
        <w:ind w:firstLine="0"/>
      </w:pPr>
      <w:r w:rsidRPr="22A5FA13" w:rsidR="1C5A615B">
        <w:rPr>
          <w:rFonts w:ascii="Arial Nova" w:hAnsi="Arial Nova" w:eastAsia="Arial Nova" w:cs="Arial Nova"/>
          <w:b w:val="0"/>
          <w:bCs w:val="0"/>
          <w:i w:val="1"/>
          <w:iCs w:val="1"/>
          <w:sz w:val="24"/>
          <w:szCs w:val="24"/>
        </w:rPr>
        <w:t>Table 1. Characteristics of Included Research................................</w:t>
      </w:r>
      <w:r w:rsidRPr="22A5FA13" w:rsidR="33543DBC">
        <w:rPr>
          <w:rFonts w:ascii="Arial Nova" w:hAnsi="Arial Nova" w:eastAsia="Arial Nova" w:cs="Arial Nova"/>
          <w:b w:val="0"/>
          <w:bCs w:val="0"/>
          <w:i w:val="1"/>
          <w:iCs w:val="1"/>
          <w:sz w:val="24"/>
          <w:szCs w:val="24"/>
        </w:rPr>
        <w:t>Pg 12</w:t>
      </w:r>
    </w:p>
    <w:p w:rsidR="1C5A615B" w:rsidP="22A5FA13" w:rsidRDefault="1C5A615B" w14:paraId="66453367" w14:textId="133F7884">
      <w:pPr>
        <w:pStyle w:val="Normal"/>
        <w:spacing w:line="360" w:lineRule="auto"/>
        <w:ind w:firstLine="0"/>
        <w:rPr>
          <w:rFonts w:ascii="Arial Nova" w:hAnsi="Arial Nova" w:eastAsia="Arial Nova" w:cs="Arial Nova"/>
          <w:b w:val="0"/>
          <w:bCs w:val="0"/>
          <w:i w:val="1"/>
          <w:iCs w:val="1"/>
          <w:sz w:val="24"/>
          <w:szCs w:val="24"/>
        </w:rPr>
      </w:pPr>
      <w:r w:rsidRPr="22A5FA13" w:rsidR="1C5A615B">
        <w:rPr>
          <w:rFonts w:ascii="Arial Nova" w:hAnsi="Arial Nova" w:eastAsia="Arial Nova" w:cs="Arial Nova"/>
          <w:b w:val="0"/>
          <w:bCs w:val="0"/>
          <w:i w:val="1"/>
          <w:iCs w:val="1"/>
          <w:sz w:val="24"/>
          <w:szCs w:val="24"/>
        </w:rPr>
        <w:t xml:space="preserve">4.2 Improved Access to NHS Healthcare </w:t>
      </w:r>
      <w:r w:rsidRPr="22A5FA13" w:rsidR="666EB8F5">
        <w:rPr>
          <w:rFonts w:ascii="Arial Nova" w:hAnsi="Arial Nova" w:eastAsia="Arial Nova" w:cs="Arial Nova"/>
          <w:b w:val="0"/>
          <w:bCs w:val="0"/>
          <w:i w:val="1"/>
          <w:iCs w:val="1"/>
          <w:sz w:val="24"/>
          <w:szCs w:val="24"/>
        </w:rPr>
        <w:t>Services</w:t>
      </w:r>
      <w:r w:rsidRPr="22A5FA13" w:rsidR="1C5A615B">
        <w:rPr>
          <w:rFonts w:ascii="Arial Nova" w:hAnsi="Arial Nova" w:eastAsia="Arial Nova" w:cs="Arial Nova"/>
          <w:b w:val="0"/>
          <w:bCs w:val="0"/>
          <w:i w:val="1"/>
          <w:iCs w:val="1"/>
          <w:sz w:val="24"/>
          <w:szCs w:val="24"/>
        </w:rPr>
        <w:t>.........................</w:t>
      </w:r>
      <w:r w:rsidRPr="22A5FA13" w:rsidR="38A31964">
        <w:rPr>
          <w:rFonts w:ascii="Arial Nova" w:hAnsi="Arial Nova" w:eastAsia="Arial Nova" w:cs="Arial Nova"/>
          <w:b w:val="0"/>
          <w:bCs w:val="0"/>
          <w:i w:val="1"/>
          <w:iCs w:val="1"/>
          <w:sz w:val="24"/>
          <w:szCs w:val="24"/>
        </w:rPr>
        <w:t>Pg 12</w:t>
      </w:r>
    </w:p>
    <w:p w:rsidR="2F559E67" w:rsidP="22A5FA13" w:rsidRDefault="2F559E67" w14:paraId="20A44989" w14:textId="06F49D76">
      <w:pPr>
        <w:pStyle w:val="Normal"/>
        <w:spacing w:line="360" w:lineRule="auto"/>
        <w:ind w:firstLine="0"/>
        <w:rPr>
          <w:rFonts w:ascii="Arial Nova" w:hAnsi="Arial Nova" w:eastAsia="Arial Nova" w:cs="Arial Nova"/>
          <w:b w:val="0"/>
          <w:bCs w:val="0"/>
          <w:i w:val="1"/>
          <w:iCs w:val="1"/>
          <w:sz w:val="24"/>
          <w:szCs w:val="24"/>
        </w:rPr>
      </w:pPr>
      <w:r w:rsidRPr="22A5FA13" w:rsidR="2F559E67">
        <w:rPr>
          <w:rFonts w:ascii="Arial Nova" w:hAnsi="Arial Nova" w:eastAsia="Arial Nova" w:cs="Arial Nova"/>
          <w:b w:val="0"/>
          <w:bCs w:val="0"/>
          <w:i w:val="1"/>
          <w:iCs w:val="1"/>
          <w:sz w:val="24"/>
          <w:szCs w:val="24"/>
        </w:rPr>
        <w:t>4.3 Patient Experience and Satisfaction..............................</w:t>
      </w:r>
      <w:r w:rsidRPr="22A5FA13" w:rsidR="21671EAA">
        <w:rPr>
          <w:rFonts w:ascii="Arial Nova" w:hAnsi="Arial Nova" w:eastAsia="Arial Nova" w:cs="Arial Nova"/>
          <w:b w:val="0"/>
          <w:bCs w:val="0"/>
          <w:i w:val="1"/>
          <w:iCs w:val="1"/>
          <w:sz w:val="24"/>
          <w:szCs w:val="24"/>
        </w:rPr>
        <w:t>.............</w:t>
      </w:r>
      <w:r w:rsidRPr="22A5FA13" w:rsidR="7CF94F88">
        <w:rPr>
          <w:rFonts w:ascii="Arial Nova" w:hAnsi="Arial Nova" w:eastAsia="Arial Nova" w:cs="Arial Nova"/>
          <w:b w:val="0"/>
          <w:bCs w:val="0"/>
          <w:i w:val="1"/>
          <w:iCs w:val="1"/>
          <w:sz w:val="24"/>
          <w:szCs w:val="24"/>
        </w:rPr>
        <w:t>Pg 12-13</w:t>
      </w:r>
    </w:p>
    <w:p w:rsidR="2F559E67" w:rsidP="22A5FA13" w:rsidRDefault="2F559E67" w14:paraId="7D8BF74D" w14:textId="5C9A9E8D">
      <w:pPr>
        <w:pStyle w:val="Normal"/>
        <w:spacing w:line="360" w:lineRule="auto"/>
        <w:jc w:val="both"/>
      </w:pPr>
      <w:r w:rsidRPr="22A5FA13" w:rsidR="2F559E67">
        <w:rPr>
          <w:rFonts w:ascii="Arial" w:hAnsi="Arial" w:cs="Arial"/>
          <w:i w:val="1"/>
          <w:iCs w:val="1"/>
          <w:sz w:val="22"/>
          <w:szCs w:val="22"/>
        </w:rPr>
        <w:t>4</w:t>
      </w:r>
      <w:r w:rsidRPr="22A5FA13" w:rsidR="2F559E67">
        <w:rPr>
          <w:rFonts w:ascii="Arial" w:hAnsi="Arial" w:cs="Arial"/>
          <w:i w:val="1"/>
          <w:iCs w:val="1"/>
          <w:sz w:val="24"/>
          <w:szCs w:val="24"/>
        </w:rPr>
        <w:t>.4 Barriers to Telemedicine........................................................</w:t>
      </w:r>
      <w:r w:rsidRPr="22A5FA13" w:rsidR="45EEAEED">
        <w:rPr>
          <w:rFonts w:ascii="Arial" w:hAnsi="Arial" w:cs="Arial"/>
          <w:i w:val="1"/>
          <w:iCs w:val="1"/>
          <w:sz w:val="24"/>
          <w:szCs w:val="24"/>
        </w:rPr>
        <w:t>Pg 13</w:t>
      </w:r>
    </w:p>
    <w:p w:rsidR="6065496F" w:rsidP="22A5FA13" w:rsidRDefault="6065496F" w14:paraId="55D626AA" w14:textId="76330ED6">
      <w:pPr>
        <w:pStyle w:val="Normal"/>
        <w:spacing w:line="360" w:lineRule="auto"/>
        <w:jc w:val="both"/>
        <w:rPr>
          <w:rFonts w:ascii="Arial" w:hAnsi="Arial" w:cs="Arial"/>
          <w:i w:val="1"/>
          <w:iCs w:val="1"/>
          <w:sz w:val="24"/>
          <w:szCs w:val="24"/>
        </w:rPr>
      </w:pPr>
      <w:r w:rsidRPr="22A5FA13" w:rsidR="6065496F">
        <w:rPr>
          <w:rFonts w:ascii="Arial" w:hAnsi="Arial" w:cs="Arial"/>
          <w:i w:val="1"/>
          <w:iCs w:val="1"/>
          <w:sz w:val="24"/>
          <w:szCs w:val="24"/>
        </w:rPr>
        <w:t>4.5 Implications for Future NHS Practice....................................</w:t>
      </w:r>
      <w:r w:rsidRPr="22A5FA13" w:rsidR="1308A2CD">
        <w:rPr>
          <w:rFonts w:ascii="Arial" w:hAnsi="Arial" w:cs="Arial"/>
          <w:i w:val="1"/>
          <w:iCs w:val="1"/>
          <w:sz w:val="24"/>
          <w:szCs w:val="24"/>
        </w:rPr>
        <w:t>Pg 13-14</w:t>
      </w:r>
    </w:p>
    <w:p w:rsidR="22A5FA13" w:rsidP="22A5FA13" w:rsidRDefault="22A5FA13" w14:paraId="7BBFFEA5" w14:textId="7F04111B">
      <w:pPr>
        <w:pStyle w:val="Normal"/>
        <w:spacing w:line="360" w:lineRule="auto"/>
        <w:jc w:val="both"/>
        <w:rPr>
          <w:rFonts w:ascii="Arial" w:hAnsi="Arial" w:cs="Arial"/>
          <w:i w:val="1"/>
          <w:iCs w:val="1"/>
          <w:sz w:val="22"/>
          <w:szCs w:val="22"/>
        </w:rPr>
      </w:pPr>
    </w:p>
    <w:p w:rsidR="6065496F" w:rsidP="22A5FA13" w:rsidRDefault="6065496F" w14:paraId="1F704561" w14:textId="665EDDEC">
      <w:pPr>
        <w:pStyle w:val="Normal"/>
        <w:spacing w:line="360" w:lineRule="auto"/>
        <w:jc w:val="both"/>
      </w:pPr>
      <w:r w:rsidRPr="22A5FA13" w:rsidR="6065496F">
        <w:rPr>
          <w:rFonts w:ascii="Arial" w:hAnsi="Arial" w:cs="Arial"/>
          <w:i w:val="0"/>
          <w:iCs w:val="0"/>
          <w:sz w:val="24"/>
          <w:szCs w:val="24"/>
        </w:rPr>
        <w:t>5. Discussion</w:t>
      </w:r>
    </w:p>
    <w:p w:rsidR="6065496F" w:rsidP="22A5FA13" w:rsidRDefault="6065496F" w14:paraId="3147F126" w14:textId="55E54C2D">
      <w:pPr>
        <w:pStyle w:val="Normal"/>
        <w:spacing w:line="360" w:lineRule="auto"/>
        <w:jc w:val="both"/>
      </w:pPr>
      <w:r w:rsidRPr="22A5FA13" w:rsidR="6065496F">
        <w:rPr>
          <w:rFonts w:ascii="Arial" w:hAnsi="Arial" w:cs="Arial"/>
          <w:i w:val="1"/>
          <w:iCs w:val="1"/>
          <w:sz w:val="24"/>
          <w:szCs w:val="24"/>
        </w:rPr>
        <w:t>5.1 Principal Findings...............................................................</w:t>
      </w:r>
      <w:r w:rsidRPr="22A5FA13" w:rsidR="49C87B79">
        <w:rPr>
          <w:rFonts w:ascii="Arial" w:hAnsi="Arial" w:cs="Arial"/>
          <w:i w:val="1"/>
          <w:iCs w:val="1"/>
          <w:sz w:val="24"/>
          <w:szCs w:val="24"/>
        </w:rPr>
        <w:t>Pg 14</w:t>
      </w:r>
    </w:p>
    <w:p w:rsidR="6065496F" w:rsidP="22A5FA13" w:rsidRDefault="6065496F" w14:paraId="5DB6B17C" w14:textId="15DF4BA1">
      <w:pPr>
        <w:pStyle w:val="Normal"/>
        <w:spacing w:line="360" w:lineRule="auto"/>
        <w:jc w:val="both"/>
      </w:pPr>
      <w:r w:rsidRPr="22A5FA13" w:rsidR="6065496F">
        <w:rPr>
          <w:rFonts w:ascii="Arial" w:hAnsi="Arial" w:cs="Arial"/>
          <w:i w:val="1"/>
          <w:iCs w:val="1"/>
          <w:sz w:val="24"/>
          <w:szCs w:val="24"/>
        </w:rPr>
        <w:t>5.2 Interpretation of Findings....................................................</w:t>
      </w:r>
      <w:r w:rsidRPr="22A5FA13" w:rsidR="6D9EA8EA">
        <w:rPr>
          <w:rFonts w:ascii="Arial" w:hAnsi="Arial" w:cs="Arial"/>
          <w:i w:val="1"/>
          <w:iCs w:val="1"/>
          <w:sz w:val="24"/>
          <w:szCs w:val="24"/>
        </w:rPr>
        <w:t>Pg 14</w:t>
      </w:r>
    </w:p>
    <w:p w:rsidR="6065496F" w:rsidP="22A5FA13" w:rsidRDefault="6065496F" w14:paraId="4C56EF40" w14:textId="5C6C2B18">
      <w:pPr>
        <w:pStyle w:val="Normal"/>
        <w:spacing w:line="360" w:lineRule="auto"/>
        <w:jc w:val="both"/>
      </w:pPr>
      <w:r w:rsidRPr="22A5FA13" w:rsidR="6065496F">
        <w:rPr>
          <w:rFonts w:ascii="Arial" w:hAnsi="Arial" w:cs="Arial"/>
          <w:i w:val="1"/>
          <w:iCs w:val="1"/>
          <w:sz w:val="24"/>
          <w:szCs w:val="24"/>
        </w:rPr>
        <w:t>5.3 Strength and Limitations.....................................................</w:t>
      </w:r>
      <w:r w:rsidRPr="22A5FA13" w:rsidR="3EC76438">
        <w:rPr>
          <w:rFonts w:ascii="Arial" w:hAnsi="Arial" w:cs="Arial"/>
          <w:i w:val="1"/>
          <w:iCs w:val="1"/>
          <w:sz w:val="24"/>
          <w:szCs w:val="24"/>
        </w:rPr>
        <w:t>Pg 14-15</w:t>
      </w:r>
    </w:p>
    <w:p w:rsidR="6065496F" w:rsidP="22A5FA13" w:rsidRDefault="6065496F" w14:paraId="2694E119" w14:textId="07A90D7B">
      <w:pPr>
        <w:pStyle w:val="Normal"/>
        <w:spacing w:line="360" w:lineRule="auto"/>
        <w:jc w:val="both"/>
      </w:pPr>
      <w:r w:rsidRPr="22A5FA13" w:rsidR="6065496F">
        <w:rPr>
          <w:rFonts w:ascii="Arial" w:hAnsi="Arial" w:cs="Arial"/>
          <w:i w:val="1"/>
          <w:iCs w:val="1"/>
          <w:sz w:val="24"/>
          <w:szCs w:val="24"/>
        </w:rPr>
        <w:t>5.4 Implications for NHS Practice.............................................</w:t>
      </w:r>
      <w:r w:rsidRPr="22A5FA13" w:rsidR="559D6265">
        <w:rPr>
          <w:rFonts w:ascii="Arial" w:hAnsi="Arial" w:cs="Arial"/>
          <w:i w:val="1"/>
          <w:iCs w:val="1"/>
          <w:sz w:val="24"/>
          <w:szCs w:val="24"/>
        </w:rPr>
        <w:t>Pg 15</w:t>
      </w:r>
    </w:p>
    <w:p w:rsidR="6065496F" w:rsidP="22A5FA13" w:rsidRDefault="6065496F" w14:paraId="32831DD3" w14:textId="1EE3319C">
      <w:pPr>
        <w:pStyle w:val="Normal"/>
        <w:spacing w:line="360" w:lineRule="auto"/>
        <w:jc w:val="both"/>
      </w:pPr>
      <w:r w:rsidRPr="22A5FA13" w:rsidR="6065496F">
        <w:rPr>
          <w:rFonts w:ascii="Arial" w:hAnsi="Arial" w:cs="Arial"/>
          <w:i w:val="0"/>
          <w:iCs w:val="0"/>
          <w:sz w:val="24"/>
          <w:szCs w:val="24"/>
        </w:rPr>
        <w:t xml:space="preserve">6. Conclusion and </w:t>
      </w:r>
      <w:r w:rsidRPr="22A5FA13" w:rsidR="6065496F">
        <w:rPr>
          <w:rFonts w:ascii="Arial" w:hAnsi="Arial" w:cs="Arial"/>
          <w:i w:val="0"/>
          <w:iCs w:val="0"/>
          <w:sz w:val="24"/>
          <w:szCs w:val="24"/>
        </w:rPr>
        <w:t>Recommendations</w:t>
      </w:r>
    </w:p>
    <w:p w:rsidR="6065496F" w:rsidP="22A5FA13" w:rsidRDefault="6065496F" w14:paraId="2A4CAC46" w14:textId="65CF19BF">
      <w:pPr>
        <w:pStyle w:val="Normal"/>
        <w:spacing w:line="360" w:lineRule="auto"/>
        <w:jc w:val="both"/>
      </w:pPr>
      <w:r w:rsidRPr="22A5FA13" w:rsidR="6065496F">
        <w:rPr>
          <w:rFonts w:ascii="Arial" w:hAnsi="Arial" w:cs="Arial"/>
          <w:i w:val="1"/>
          <w:iCs w:val="1"/>
          <w:sz w:val="24"/>
          <w:szCs w:val="24"/>
        </w:rPr>
        <w:t>6.1 Conclusion..........................................................................</w:t>
      </w:r>
      <w:r w:rsidRPr="22A5FA13" w:rsidR="1575AA33">
        <w:rPr>
          <w:rFonts w:ascii="Arial" w:hAnsi="Arial" w:cs="Arial"/>
          <w:i w:val="1"/>
          <w:iCs w:val="1"/>
          <w:sz w:val="24"/>
          <w:szCs w:val="24"/>
        </w:rPr>
        <w:t>Pg 15-16</w:t>
      </w:r>
    </w:p>
    <w:p w:rsidR="6065496F" w:rsidP="22A5FA13" w:rsidRDefault="6065496F" w14:paraId="60E3BA6C" w14:textId="2D42A94B">
      <w:pPr>
        <w:pStyle w:val="Normal"/>
        <w:spacing w:line="360" w:lineRule="auto"/>
        <w:jc w:val="both"/>
      </w:pPr>
      <w:r w:rsidRPr="22A5FA13" w:rsidR="6065496F">
        <w:rPr>
          <w:rFonts w:ascii="Arial" w:hAnsi="Arial" w:cs="Arial"/>
          <w:i w:val="1"/>
          <w:iCs w:val="1"/>
          <w:sz w:val="24"/>
          <w:szCs w:val="24"/>
        </w:rPr>
        <w:t>6.2 Recommendations..............................................................</w:t>
      </w:r>
      <w:r w:rsidRPr="22A5FA13" w:rsidR="02F06CD5">
        <w:rPr>
          <w:rFonts w:ascii="Arial" w:hAnsi="Arial" w:cs="Arial"/>
          <w:i w:val="1"/>
          <w:iCs w:val="1"/>
          <w:sz w:val="24"/>
          <w:szCs w:val="24"/>
        </w:rPr>
        <w:t>Pg 16</w:t>
      </w:r>
    </w:p>
    <w:p w:rsidR="6065496F" w:rsidP="22A5FA13" w:rsidRDefault="6065496F" w14:paraId="3E24A938" w14:textId="5B85E975">
      <w:pPr>
        <w:pStyle w:val="Normal"/>
        <w:spacing w:line="360" w:lineRule="auto"/>
        <w:jc w:val="both"/>
        <w:rPr>
          <w:rFonts w:ascii="Arial" w:hAnsi="Arial" w:cs="Arial"/>
          <w:i w:val="0"/>
          <w:iCs w:val="0"/>
          <w:sz w:val="24"/>
          <w:szCs w:val="24"/>
        </w:rPr>
      </w:pPr>
      <w:r w:rsidRPr="22A5FA13" w:rsidR="6065496F">
        <w:rPr>
          <w:rFonts w:ascii="Arial" w:hAnsi="Arial" w:cs="Arial"/>
          <w:i w:val="0"/>
          <w:iCs w:val="0"/>
          <w:sz w:val="24"/>
          <w:szCs w:val="24"/>
        </w:rPr>
        <w:t>References..........................................................................................</w:t>
      </w:r>
      <w:r w:rsidRPr="22A5FA13" w:rsidR="45A305AF">
        <w:rPr>
          <w:rFonts w:ascii="Arial" w:hAnsi="Arial" w:cs="Arial"/>
          <w:i w:val="0"/>
          <w:iCs w:val="0"/>
          <w:sz w:val="24"/>
          <w:szCs w:val="24"/>
        </w:rPr>
        <w:t>Pg 17-19</w:t>
      </w:r>
    </w:p>
    <w:p w:rsidR="22A5FA13" w:rsidP="22A5FA13" w:rsidRDefault="22A5FA13" w14:paraId="4C496D23" w14:textId="14E376AC">
      <w:pPr>
        <w:pStyle w:val="Normal"/>
        <w:spacing w:line="360" w:lineRule="auto"/>
        <w:ind w:firstLine="0"/>
        <w:rPr>
          <w:rFonts w:ascii="Arial" w:hAnsi="Arial" w:eastAsia="Arial" w:cs="Arial"/>
          <w:i w:val="1"/>
          <w:iCs w:val="1"/>
        </w:rPr>
      </w:pPr>
    </w:p>
    <w:p w:rsidR="68B68665" w:rsidP="22A5FA13" w:rsidRDefault="68B68665" w14:paraId="1013E22D" w14:textId="76579E7D">
      <w:pPr>
        <w:pStyle w:val="Normal"/>
        <w:spacing w:line="360" w:lineRule="auto"/>
        <w:ind w:firstLine="0"/>
        <w:rPr>
          <w:rFonts w:ascii="Arial" w:hAnsi="Arial" w:eastAsia="Arial" w:cs="Arial"/>
          <w:i w:val="1"/>
          <w:iCs w:val="1"/>
        </w:rPr>
      </w:pPr>
    </w:p>
    <w:p w:rsidR="22A5FA13" w:rsidP="22A5FA13" w:rsidRDefault="22A5FA13" w14:paraId="3CC8AEEE" w14:textId="132F32C0">
      <w:pPr>
        <w:pStyle w:val="Normal"/>
        <w:spacing w:line="360" w:lineRule="auto"/>
        <w:ind w:firstLine="0"/>
        <w:rPr>
          <w:rFonts w:ascii="Arial" w:hAnsi="Arial" w:eastAsia="Arial" w:cs="Arial"/>
          <w:i w:val="1"/>
          <w:iCs w:val="1"/>
        </w:rPr>
      </w:pPr>
    </w:p>
    <w:p w:rsidR="21E6E822" w:rsidP="22A5FA13" w:rsidRDefault="21E6E822" w14:paraId="043EB3F4" w14:textId="5A126AB5">
      <w:pPr>
        <w:pStyle w:val="Normal"/>
        <w:spacing w:line="360" w:lineRule="auto"/>
        <w:ind w:firstLine="0"/>
        <w:rPr>
          <w:rFonts w:ascii="Arial" w:hAnsi="Arial" w:cs="Arial"/>
        </w:rPr>
      </w:pPr>
    </w:p>
    <w:p w:rsidR="00DA2AEF" w:rsidP="00AC1F35" w:rsidRDefault="00DA2AEF" w14:paraId="79C24BB9" w14:textId="77777777">
      <w:pPr>
        <w:spacing w:line="360" w:lineRule="auto"/>
        <w:rPr>
          <w:rFonts w:ascii="Arial" w:hAnsi="Arial" w:cs="Arial"/>
        </w:rPr>
      </w:pPr>
    </w:p>
    <w:p w:rsidRPr="00AC2DE3" w:rsidR="00AC2DE3" w:rsidP="00AC1F35" w:rsidRDefault="00AC2DE3" w14:paraId="5567D26F" w14:textId="77777777">
      <w:pPr>
        <w:spacing w:line="360" w:lineRule="auto"/>
        <w:rPr>
          <w:rFonts w:ascii="Arial" w:hAnsi="Arial" w:cs="Arial"/>
        </w:rPr>
      </w:pPr>
    </w:p>
    <w:p w:rsidRPr="00CD33A8" w:rsidR="00B87E75" w:rsidP="00CD33A8" w:rsidRDefault="00B87E75" w14:paraId="2E79F7ED" w14:textId="182913C0">
      <w:pPr>
        <w:spacing w:line="360" w:lineRule="auto"/>
        <w:rPr>
          <w:rFonts w:asciiTheme="minorBidi" w:hAnsiTheme="minorBidi"/>
          <w:sz w:val="22"/>
        </w:rPr>
      </w:pPr>
    </w:p>
    <w:p w:rsidRPr="00CD33A8" w:rsidR="00B87E75" w:rsidP="00CD33A8" w:rsidRDefault="00B87E75" w14:paraId="7AE771D5" w14:textId="1C06E45A">
      <w:pPr>
        <w:spacing w:line="360" w:lineRule="auto"/>
        <w:rPr>
          <w:rFonts w:asciiTheme="minorBidi" w:hAnsiTheme="minorBidi"/>
          <w:sz w:val="22"/>
        </w:rPr>
      </w:pPr>
    </w:p>
    <w:p w:rsidRPr="00CD33A8" w:rsidR="00B87E75" w:rsidP="00CD33A8" w:rsidRDefault="00B87E75" w14:paraId="4F7320CB" w14:textId="000D21B8">
      <w:pPr>
        <w:spacing w:line="360" w:lineRule="auto"/>
        <w:rPr>
          <w:rFonts w:asciiTheme="minorBidi" w:hAnsiTheme="minorBidi"/>
          <w:sz w:val="22"/>
        </w:rPr>
      </w:pPr>
      <w:r w:rsidRPr="00CD33A8">
        <w:rPr>
          <w:rFonts w:asciiTheme="minorBidi" w:hAnsiTheme="minorBidi"/>
          <w:sz w:val="22"/>
        </w:rPr>
        <w:br w:type="page"/>
      </w:r>
    </w:p>
    <w:p w:rsidR="006970FA" w:rsidP="00DA7EB9" w:rsidRDefault="00B8304B" w14:paraId="78AE3BE0" w14:textId="77777777">
      <w:pPr>
        <w:pStyle w:val="Heading1"/>
      </w:pPr>
      <w:r w:rsidRPr="00D3514A">
        <w:lastRenderedPageBreak/>
        <w:t xml:space="preserve">Topic: </w:t>
      </w:r>
    </w:p>
    <w:p w:rsidRPr="00796C9F" w:rsidR="00796C9F" w:rsidP="00CE0C93" w:rsidRDefault="00796C9F" w14:paraId="5CF4F17C" w14:textId="4624466A">
      <w:pPr>
        <w:pStyle w:val="Heading1"/>
        <w:jc w:val="both"/>
      </w:pPr>
      <w:r w:rsidRPr="00796C9F">
        <w:t>The effectiveness of telemedicine in improving access to NHS healthcare services in post-COVID-19 UK practice: A scoping review</w:t>
      </w:r>
    </w:p>
    <w:p w:rsidR="00CD33A8" w:rsidP="00CE0C93" w:rsidRDefault="00CD33A8" w14:paraId="3914D9AE" w14:textId="6D95F55A">
      <w:pPr>
        <w:pStyle w:val="Heading1"/>
        <w:jc w:val="both"/>
      </w:pPr>
      <w:r>
        <w:t>Abstract</w:t>
      </w:r>
    </w:p>
    <w:p w:rsidRPr="006970FA" w:rsidR="006970FA" w:rsidP="00CE0C93" w:rsidRDefault="006970FA" w14:paraId="073EF3ED" w14:textId="77777777">
      <w:pPr>
        <w:spacing w:line="360" w:lineRule="auto"/>
        <w:jc w:val="both"/>
        <w:rPr>
          <w:rFonts w:ascii="Arial" w:hAnsi="Arial" w:cs="Arial"/>
          <w:sz w:val="22"/>
          <w:lang w:val="en-US"/>
        </w:rPr>
      </w:pPr>
      <w:r w:rsidRPr="006970FA">
        <w:rPr>
          <w:rFonts w:ascii="Arial" w:hAnsi="Arial" w:cs="Arial"/>
          <w:sz w:val="22"/>
          <w:lang w:val="en-US"/>
        </w:rPr>
        <w:t>The COVID-19 pandemic accelerated the adoption of telemedicine across the National Health Service (NHS), transforming how healthcare services are delivered throughout the United Kingdom. While telemedicine has improved access to healthcare for many patients, concerns remain regarding digital exclusion and inequalities in access to digital services. This scoping review explores the effectiveness of telemedicine in improving access to NHS healthcare services in post-COVID-19 UK practice.</w:t>
      </w:r>
    </w:p>
    <w:p w:rsidRPr="006970FA" w:rsidR="006970FA" w:rsidP="00CE0C93" w:rsidRDefault="006970FA" w14:paraId="1B905479" w14:textId="77777777">
      <w:pPr>
        <w:spacing w:line="360" w:lineRule="auto"/>
        <w:jc w:val="both"/>
        <w:rPr>
          <w:rFonts w:ascii="Arial" w:hAnsi="Arial" w:cs="Arial"/>
          <w:sz w:val="22"/>
          <w:lang w:val="en-US"/>
        </w:rPr>
      </w:pPr>
      <w:r w:rsidRPr="006970FA">
        <w:rPr>
          <w:rFonts w:ascii="Arial" w:hAnsi="Arial" w:cs="Arial"/>
          <w:sz w:val="22"/>
          <w:lang w:val="en-US"/>
        </w:rPr>
        <w:t xml:space="preserve">The review aimed to identify how telemedicine has been implemented within NHS healthcare services, evaluate its reported benefits and challenges, and explore its implications for future health, social care and digital health practice. A scoping review methodology was adopted to identify relevant peer-reviewed literature. Searches were conducted using CINAHL, PubMed and Google Scholar, applying predefined inclusion and exclusion criteria. Five peer-reviewed studies published between 2020 and 2024 were selected for analysis. Data were </w:t>
      </w:r>
      <w:proofErr w:type="spellStart"/>
      <w:r w:rsidRPr="006970FA">
        <w:rPr>
          <w:rFonts w:ascii="Arial" w:hAnsi="Arial" w:cs="Arial"/>
          <w:sz w:val="22"/>
          <w:lang w:val="en-US"/>
        </w:rPr>
        <w:t>synthesised</w:t>
      </w:r>
      <w:proofErr w:type="spellEnd"/>
      <w:r w:rsidRPr="006970FA">
        <w:rPr>
          <w:rFonts w:ascii="Arial" w:hAnsi="Arial" w:cs="Arial"/>
          <w:sz w:val="22"/>
          <w:lang w:val="en-US"/>
        </w:rPr>
        <w:t xml:space="preserve"> using thematic analysis to identify recurring patterns across the evidence.</w:t>
      </w:r>
    </w:p>
    <w:p w:rsidR="00743A11" w:rsidP="00CE0C93" w:rsidRDefault="006970FA" w14:paraId="175809AF" w14:textId="77777777">
      <w:pPr>
        <w:spacing w:line="360" w:lineRule="auto"/>
        <w:jc w:val="both"/>
        <w:rPr>
          <w:rFonts w:ascii="Arial" w:hAnsi="Arial" w:cs="Arial"/>
          <w:sz w:val="22"/>
          <w:lang w:val="en-US"/>
        </w:rPr>
      </w:pPr>
      <w:r w:rsidRPr="006970FA">
        <w:rPr>
          <w:rFonts w:ascii="Arial" w:hAnsi="Arial" w:cs="Arial"/>
          <w:sz w:val="22"/>
          <w:lang w:val="en-US"/>
        </w:rPr>
        <w:t xml:space="preserve">The review found that telemedicine has generally improved healthcare accessibility by increasing convenience, reducing travel requirements and supporting continuity of care. However, the evidence also highlighted significant challenges, including digital exclusion, limited digital literacy and unequal access for some patient groups. These findings demonstrate that although telemedicine has become an integral component of NHS healthcare delivery, further action is required to ensure equitable access and </w:t>
      </w:r>
      <w:proofErr w:type="spellStart"/>
      <w:r w:rsidRPr="006970FA">
        <w:rPr>
          <w:rFonts w:ascii="Arial" w:hAnsi="Arial" w:cs="Arial"/>
          <w:sz w:val="22"/>
          <w:lang w:val="en-US"/>
        </w:rPr>
        <w:t>optimise</w:t>
      </w:r>
      <w:proofErr w:type="spellEnd"/>
      <w:r w:rsidRPr="006970FA">
        <w:rPr>
          <w:rFonts w:ascii="Arial" w:hAnsi="Arial" w:cs="Arial"/>
          <w:sz w:val="22"/>
          <w:lang w:val="en-US"/>
        </w:rPr>
        <w:t xml:space="preserve"> patient outcomes. The review concludes by recommending continued research, targeted policy development and investment in digital inclusion to support sustainable and accessible telemedicine services across the NHS.</w:t>
      </w:r>
    </w:p>
    <w:p w:rsidRPr="00CE0C93" w:rsidR="00CF0C60" w:rsidP="00CE0C93" w:rsidRDefault="00B87E75" w14:paraId="463829DF" w14:textId="77777777">
      <w:pPr>
        <w:spacing w:line="360" w:lineRule="auto"/>
        <w:jc w:val="both"/>
        <w:rPr>
          <w:rFonts w:ascii="Arial" w:hAnsi="Arial" w:cs="Arial"/>
          <w:sz w:val="22"/>
        </w:rPr>
      </w:pPr>
      <w:r w:rsidRPr="00CE0C93">
        <w:rPr>
          <w:rFonts w:ascii="Arial" w:hAnsi="Arial" w:cs="Arial"/>
          <w:sz w:val="22"/>
        </w:rPr>
        <w:t>Introduction</w:t>
      </w:r>
    </w:p>
    <w:p w:rsidRPr="00CE0C93" w:rsidR="00EC26C1" w:rsidP="22A5FA13" w:rsidRDefault="00872C0A" w14:paraId="6669E14D" w14:textId="1EE15F11">
      <w:pPr>
        <w:spacing w:line="360" w:lineRule="auto"/>
        <w:jc w:val="both"/>
        <w:rPr>
          <w:rFonts w:ascii="Arial" w:hAnsi="Arial" w:cs="Arial"/>
          <w:sz w:val="22"/>
          <w:szCs w:val="22"/>
        </w:rPr>
      </w:pPr>
      <w:r w:rsidRPr="22A5FA13" w:rsidR="00872C0A">
        <w:rPr>
          <w:rFonts w:ascii="Arial" w:hAnsi="Arial" w:cs="Arial"/>
          <w:sz w:val="22"/>
          <w:szCs w:val="22"/>
        </w:rPr>
        <w:t xml:space="preserve">Telemedicine has become an increasingly </w:t>
      </w:r>
      <w:r w:rsidRPr="22A5FA13" w:rsidR="00872C0A">
        <w:rPr>
          <w:rFonts w:ascii="Arial" w:hAnsi="Arial" w:cs="Arial"/>
          <w:sz w:val="22"/>
          <w:szCs w:val="22"/>
        </w:rPr>
        <w:t>important component</w:t>
      </w:r>
      <w:r w:rsidRPr="22A5FA13" w:rsidR="00872C0A">
        <w:rPr>
          <w:rFonts w:ascii="Arial" w:hAnsi="Arial" w:cs="Arial"/>
          <w:sz w:val="22"/>
          <w:szCs w:val="22"/>
        </w:rPr>
        <w:t xml:space="preserve"> of healthcare delivery within the United Kingdom (UK), particularly following the COVID-19 pandemic. The World Health Organization (WHO) defines telemedicine as the delivery of healthcare services using information and communication technologies when distance is a critical factor, enabling healthcare professionals to assess, diagnose, </w:t>
      </w:r>
      <w:r w:rsidRPr="22A5FA13" w:rsidR="00872C0A">
        <w:rPr>
          <w:rFonts w:ascii="Arial" w:hAnsi="Arial" w:cs="Arial"/>
          <w:sz w:val="22"/>
          <w:szCs w:val="22"/>
        </w:rPr>
        <w:t>treat</w:t>
      </w:r>
      <w:r w:rsidRPr="22A5FA13" w:rsidR="00872C0A">
        <w:rPr>
          <w:rFonts w:ascii="Arial" w:hAnsi="Arial" w:cs="Arial"/>
          <w:sz w:val="22"/>
          <w:szCs w:val="22"/>
        </w:rPr>
        <w:t xml:space="preserve"> and </w:t>
      </w:r>
      <w:r w:rsidRPr="22A5FA13" w:rsidR="00872C0A">
        <w:rPr>
          <w:rFonts w:ascii="Arial" w:hAnsi="Arial" w:cs="Arial"/>
          <w:sz w:val="22"/>
          <w:szCs w:val="22"/>
        </w:rPr>
        <w:t>monitor</w:t>
      </w:r>
      <w:r w:rsidRPr="22A5FA13" w:rsidR="00872C0A">
        <w:rPr>
          <w:rFonts w:ascii="Arial" w:hAnsi="Arial" w:cs="Arial"/>
          <w:sz w:val="22"/>
          <w:szCs w:val="22"/>
        </w:rPr>
        <w:t xml:space="preserve"> patients remotely (World Health Organization, 2021). Telemedicine forms part of the broader concept of digital health and includes telephone consultations, video consultations and secure online communication </w:t>
      </w:r>
      <w:r w:rsidRPr="22A5FA13" w:rsidR="00872C0A">
        <w:rPr>
          <w:rFonts w:ascii="Arial" w:hAnsi="Arial" w:cs="Arial"/>
          <w:sz w:val="22"/>
          <w:szCs w:val="22"/>
        </w:rPr>
        <w:t xml:space="preserve">between patients and healthcare professionals. Within the National Health Service (NHS), these technologies have been adopted to improve access to healthcare while maintaining safe, timely and patient-centred </w:t>
      </w:r>
      <w:r w:rsidRPr="22A5FA13" w:rsidR="00872C0A">
        <w:rPr>
          <w:rFonts w:ascii="Arial" w:hAnsi="Arial" w:cs="Arial"/>
          <w:sz w:val="22"/>
          <w:szCs w:val="22"/>
        </w:rPr>
        <w:t>ca</w:t>
      </w:r>
      <w:r w:rsidRPr="22A5FA13" w:rsidR="1DA83C02">
        <w:rPr>
          <w:rFonts w:ascii="Arial" w:hAnsi="Arial" w:cs="Arial"/>
          <w:sz w:val="22"/>
          <w:szCs w:val="22"/>
        </w:rPr>
        <w:t xml:space="preserve">re. </w:t>
      </w:r>
      <w:r w:rsidRPr="22A5FA13" w:rsidR="00872C0A">
        <w:rPr>
          <w:rFonts w:ascii="Arial" w:hAnsi="Arial" w:cs="Arial"/>
          <w:sz w:val="22"/>
          <w:szCs w:val="22"/>
        </w:rPr>
        <w:t>The</w:t>
      </w:r>
      <w:r w:rsidRPr="22A5FA13" w:rsidR="00872C0A">
        <w:rPr>
          <w:rFonts w:ascii="Arial" w:hAnsi="Arial" w:cs="Arial"/>
          <w:sz w:val="22"/>
          <w:szCs w:val="22"/>
        </w:rPr>
        <w:t xml:space="preserve"> COVID-19 pandemic accelerated the implementation of telemedicine across NHS services as face-to-face consultations were restricted to reduce viral transmission and protect both patients and healthcare staff (Murphy et al., 2021). Although initially introduced as a response to a public health emergency, remote consultations have since become an established feature of healthcare delivery. Evidence suggests that telemedicine can improve access to healthcare by reducing travel time, increasing appointment</w:t>
      </w:r>
      <w:r w:rsidRPr="22A5FA13" w:rsidR="00872C0A">
        <w:rPr>
          <w:rFonts w:ascii="Arial" w:hAnsi="Arial" w:cs="Arial"/>
          <w:sz w:val="22"/>
          <w:szCs w:val="22"/>
        </w:rPr>
        <w:t xml:space="preserve"> </w:t>
      </w:r>
      <w:r w:rsidRPr="22A5FA13" w:rsidR="00872C0A">
        <w:rPr>
          <w:rFonts w:ascii="Arial" w:hAnsi="Arial" w:cs="Arial"/>
          <w:sz w:val="22"/>
          <w:szCs w:val="22"/>
        </w:rPr>
        <w:t>flexibilit</w:t>
      </w:r>
      <w:r w:rsidRPr="22A5FA13" w:rsidR="00872C0A">
        <w:rPr>
          <w:rFonts w:ascii="Arial" w:hAnsi="Arial" w:cs="Arial"/>
          <w:sz w:val="22"/>
          <w:szCs w:val="22"/>
        </w:rPr>
        <w:t>y</w:t>
      </w:r>
      <w:r w:rsidRPr="22A5FA13" w:rsidR="00872C0A">
        <w:rPr>
          <w:rFonts w:ascii="Arial" w:hAnsi="Arial" w:cs="Arial"/>
          <w:sz w:val="22"/>
          <w:szCs w:val="22"/>
        </w:rPr>
        <w:t xml:space="preserve"> and supporting continuity of care, particularly for individuals with long-term conditions and those living in geographically isolated areas </w:t>
      </w:r>
      <w:r w:rsidRPr="22A5FA13" w:rsidR="00872C0A">
        <w:rPr>
          <w:rFonts w:ascii="Arial" w:hAnsi="Arial" w:cs="Arial"/>
          <w:sz w:val="22"/>
          <w:szCs w:val="22"/>
        </w:rPr>
        <w:t>(</w:t>
      </w:r>
      <w:r w:rsidRPr="22A5FA13" w:rsidR="00872C0A">
        <w:rPr>
          <w:rFonts w:ascii="Arial" w:hAnsi="Arial" w:cs="Arial"/>
          <w:sz w:val="22"/>
          <w:szCs w:val="22"/>
        </w:rPr>
        <w:t>O’Cathai</w:t>
      </w:r>
      <w:r w:rsidRPr="22A5FA13" w:rsidR="00872C0A">
        <w:rPr>
          <w:rFonts w:ascii="Arial" w:hAnsi="Arial" w:cs="Arial"/>
          <w:sz w:val="22"/>
          <w:szCs w:val="22"/>
        </w:rPr>
        <w:t>l</w:t>
      </w:r>
      <w:r w:rsidRPr="22A5FA13" w:rsidR="00872C0A">
        <w:rPr>
          <w:rFonts w:ascii="Arial" w:hAnsi="Arial" w:cs="Arial"/>
          <w:sz w:val="22"/>
          <w:szCs w:val="22"/>
        </w:rPr>
        <w:t xml:space="preserve"> et al., 2020; Murphy et al., 2021). However, concerns remain regarding digital exclusion, limited digital literacy and unequal access to technology, which may prevent some population groups from benefiting equally from telemedicine services (Parker et al., 202</w:t>
      </w:r>
      <w:r w:rsidRPr="22A5FA13" w:rsidR="00872C0A">
        <w:rPr>
          <w:rFonts w:ascii="Arial" w:hAnsi="Arial" w:cs="Arial"/>
          <w:sz w:val="22"/>
          <w:szCs w:val="22"/>
        </w:rPr>
        <w:t>1</w:t>
      </w:r>
      <w:r w:rsidRPr="22A5FA13" w:rsidR="00872C0A">
        <w:rPr>
          <w:rFonts w:ascii="Arial" w:hAnsi="Arial" w:cs="Arial"/>
          <w:sz w:val="22"/>
          <w:szCs w:val="22"/>
        </w:rPr>
        <w:t>).A</w:t>
      </w:r>
      <w:r w:rsidRPr="22A5FA13" w:rsidR="00872C0A">
        <w:rPr>
          <w:rFonts w:ascii="Arial" w:hAnsi="Arial" w:cs="Arial"/>
          <w:sz w:val="22"/>
          <w:szCs w:val="22"/>
        </w:rPr>
        <w:t>s</w:t>
      </w:r>
      <w:r w:rsidRPr="22A5FA13" w:rsidR="00872C0A">
        <w:rPr>
          <w:rFonts w:ascii="Arial" w:hAnsi="Arial" w:cs="Arial"/>
          <w:sz w:val="22"/>
          <w:szCs w:val="22"/>
        </w:rPr>
        <w:t xml:space="preserve"> telemedicine continues to develop within post-pandemic NHS practice, it is important to understand both its benefits and its limitations. While a growing body of research has examined remote healthcare delivery, the evidence is dispersed across different healthcare settings and patient populations. A scoping review is therefore</w:t>
      </w:r>
      <w:r w:rsidRPr="22A5FA13" w:rsidR="00872C0A">
        <w:rPr>
          <w:rFonts w:ascii="Arial" w:hAnsi="Arial" w:cs="Arial"/>
          <w:sz w:val="22"/>
          <w:szCs w:val="22"/>
        </w:rPr>
        <w:t xml:space="preserve"> </w:t>
      </w:r>
      <w:r w:rsidRPr="22A5FA13" w:rsidR="00872C0A">
        <w:rPr>
          <w:rFonts w:ascii="Arial" w:hAnsi="Arial" w:cs="Arial"/>
          <w:sz w:val="22"/>
          <w:szCs w:val="22"/>
        </w:rPr>
        <w:t>appropriate becaus</w:t>
      </w:r>
      <w:r w:rsidRPr="22A5FA13" w:rsidR="00872C0A">
        <w:rPr>
          <w:rFonts w:ascii="Arial" w:hAnsi="Arial" w:cs="Arial"/>
          <w:sz w:val="22"/>
          <w:szCs w:val="22"/>
        </w:rPr>
        <w:t>e</w:t>
      </w:r>
      <w:r w:rsidRPr="22A5FA13" w:rsidR="00872C0A">
        <w:rPr>
          <w:rFonts w:ascii="Arial" w:hAnsi="Arial" w:cs="Arial"/>
          <w:sz w:val="22"/>
          <w:szCs w:val="22"/>
        </w:rPr>
        <w:t xml:space="preserve"> it enables the systematic identification,</w:t>
      </w:r>
      <w:r w:rsidRPr="22A5FA13" w:rsidR="00872C0A">
        <w:rPr>
          <w:rFonts w:ascii="Arial" w:hAnsi="Arial" w:cs="Arial"/>
          <w:sz w:val="22"/>
          <w:szCs w:val="22"/>
        </w:rPr>
        <w:t xml:space="preserve"> </w:t>
      </w:r>
      <w:r w:rsidRPr="22A5FA13" w:rsidR="00872C0A">
        <w:rPr>
          <w:rFonts w:ascii="Arial" w:hAnsi="Arial" w:cs="Arial"/>
          <w:sz w:val="22"/>
          <w:szCs w:val="22"/>
        </w:rPr>
        <w:t>mappin</w:t>
      </w:r>
      <w:r w:rsidRPr="22A5FA13" w:rsidR="00872C0A">
        <w:rPr>
          <w:rFonts w:ascii="Arial" w:hAnsi="Arial" w:cs="Arial"/>
          <w:sz w:val="22"/>
          <w:szCs w:val="22"/>
        </w:rPr>
        <w:t>g</w:t>
      </w:r>
      <w:r w:rsidRPr="22A5FA13" w:rsidR="00872C0A">
        <w:rPr>
          <w:rFonts w:ascii="Arial" w:hAnsi="Arial" w:cs="Arial"/>
          <w:sz w:val="22"/>
          <w:szCs w:val="22"/>
        </w:rPr>
        <w:t xml:space="preserve"> and synthesis of the available evidence, while highlighting gaps that may inform future research,</w:t>
      </w:r>
      <w:r w:rsidRPr="22A5FA13" w:rsidR="00872C0A">
        <w:rPr>
          <w:rFonts w:ascii="Arial" w:hAnsi="Arial" w:cs="Arial"/>
          <w:sz w:val="22"/>
          <w:szCs w:val="22"/>
        </w:rPr>
        <w:t xml:space="preserve"> </w:t>
      </w:r>
      <w:r w:rsidRPr="22A5FA13" w:rsidR="00872C0A">
        <w:rPr>
          <w:rFonts w:ascii="Arial" w:hAnsi="Arial" w:cs="Arial"/>
          <w:sz w:val="22"/>
          <w:szCs w:val="22"/>
        </w:rPr>
        <w:t>polic</w:t>
      </w:r>
      <w:r w:rsidRPr="22A5FA13" w:rsidR="00872C0A">
        <w:rPr>
          <w:rFonts w:ascii="Arial" w:hAnsi="Arial" w:cs="Arial"/>
          <w:sz w:val="22"/>
          <w:szCs w:val="22"/>
        </w:rPr>
        <w:t>y</w:t>
      </w:r>
      <w:r w:rsidRPr="22A5FA13" w:rsidR="00872C0A">
        <w:rPr>
          <w:rFonts w:ascii="Arial" w:hAnsi="Arial" w:cs="Arial"/>
          <w:sz w:val="22"/>
          <w:szCs w:val="22"/>
        </w:rPr>
        <w:t xml:space="preserve"> and practice. This review aims to provide an overview of the current evidence</w:t>
      </w:r>
      <w:r w:rsidRPr="22A5FA13" w:rsidR="00872C0A">
        <w:rPr>
          <w:rFonts w:ascii="Arial" w:hAnsi="Arial" w:cs="Arial"/>
          <w:sz w:val="22"/>
          <w:szCs w:val="22"/>
        </w:rPr>
        <w:t xml:space="preserve"> </w:t>
      </w:r>
      <w:r w:rsidRPr="22A5FA13" w:rsidR="00872C0A">
        <w:rPr>
          <w:rFonts w:ascii="Arial" w:hAnsi="Arial" w:cs="Arial"/>
          <w:sz w:val="22"/>
          <w:szCs w:val="22"/>
        </w:rPr>
        <w:t>regardin</w:t>
      </w:r>
      <w:r w:rsidRPr="22A5FA13" w:rsidR="00872C0A">
        <w:rPr>
          <w:rFonts w:ascii="Arial" w:hAnsi="Arial" w:cs="Arial"/>
          <w:sz w:val="22"/>
          <w:szCs w:val="22"/>
        </w:rPr>
        <w:t>g</w:t>
      </w:r>
      <w:r w:rsidRPr="22A5FA13" w:rsidR="00872C0A">
        <w:rPr>
          <w:rFonts w:ascii="Arial" w:hAnsi="Arial" w:cs="Arial"/>
          <w:sz w:val="22"/>
          <w:szCs w:val="22"/>
        </w:rPr>
        <w:t xml:space="preserve"> the effectiveness of telemedicine in improving access to NHS healthcare services in post-COVID-19 UK practice.</w:t>
      </w:r>
    </w:p>
    <w:p w:rsidRPr="00CE0C93" w:rsidR="00EC26C1" w:rsidP="22A5FA13" w:rsidRDefault="00872C0A" w14:paraId="19257C33" w14:textId="4F1CCEC5">
      <w:pPr>
        <w:pStyle w:val="Normal"/>
        <w:spacing w:line="360" w:lineRule="auto"/>
        <w:ind w:left="0"/>
        <w:jc w:val="both"/>
        <w:rPr>
          <w:rFonts w:ascii="Arial" w:hAnsi="Arial" w:cs="Arial"/>
          <w:sz w:val="22"/>
          <w:szCs w:val="22"/>
        </w:rPr>
      </w:pPr>
      <w:r w:rsidRPr="22A5FA13" w:rsidR="64EC7786">
        <w:rPr>
          <w:rFonts w:ascii="Arial" w:hAnsi="Arial" w:cs="Arial"/>
          <w:sz w:val="22"/>
          <w:szCs w:val="22"/>
        </w:rPr>
        <w:t>1.</w:t>
      </w:r>
      <w:r w:rsidRPr="22A5FA13" w:rsidR="00872C0A">
        <w:rPr>
          <w:rFonts w:ascii="Arial" w:hAnsi="Arial" w:cs="Arial"/>
          <w:sz w:val="22"/>
          <w:szCs w:val="22"/>
        </w:rPr>
        <w:t>Review Question</w:t>
      </w:r>
    </w:p>
    <w:p w:rsidR="00EC26C1" w:rsidP="00EC26C1" w:rsidRDefault="00872C0A" w14:paraId="31214884" w14:textId="77777777">
      <w:pPr>
        <w:spacing w:line="360" w:lineRule="auto"/>
        <w:rPr>
          <w:rFonts w:ascii="Arial" w:hAnsi="Arial" w:cs="Arial"/>
          <w:sz w:val="22"/>
        </w:rPr>
      </w:pPr>
      <w:r w:rsidRPr="00CE0C93">
        <w:rPr>
          <w:rFonts w:ascii="Arial" w:hAnsi="Arial" w:cs="Arial"/>
          <w:sz w:val="22"/>
        </w:rPr>
        <w:t>How effective is telemedicine in improving access to healthcare services within the NHS following the COVID-19 pandemic?</w:t>
      </w:r>
    </w:p>
    <w:p w:rsidR="00872C0A" w:rsidP="00EC26C1" w:rsidRDefault="00872C0A" w14:paraId="58E7E9BF" w14:textId="5256D0A3">
      <w:pPr>
        <w:spacing w:line="360" w:lineRule="auto"/>
        <w:rPr>
          <w:rFonts w:ascii="Arial" w:hAnsi="Arial" w:cs="Arial"/>
          <w:sz w:val="22"/>
        </w:rPr>
      </w:pPr>
      <w:r w:rsidRPr="00CE0C93">
        <w:rPr>
          <w:rFonts w:ascii="Arial" w:hAnsi="Arial" w:cs="Arial"/>
          <w:sz w:val="22"/>
        </w:rPr>
        <w:t>Objectives</w:t>
      </w:r>
    </w:p>
    <w:p w:rsidRPr="008D7222" w:rsidR="008D7222" w:rsidP="008D7222" w:rsidRDefault="008D7222" w14:paraId="2AAFF364" w14:textId="77777777">
      <w:pPr>
        <w:numPr>
          <w:ilvl w:val="0"/>
          <w:numId w:val="1"/>
        </w:numPr>
        <w:spacing w:line="360" w:lineRule="auto"/>
        <w:rPr>
          <w:rFonts w:ascii="Arial" w:hAnsi="Arial" w:cs="Arial"/>
          <w:sz w:val="22"/>
          <w:lang w:val="en-US"/>
        </w:rPr>
      </w:pPr>
      <w:r w:rsidRPr="008D7222">
        <w:rPr>
          <w:rFonts w:ascii="Arial" w:hAnsi="Arial" w:cs="Arial"/>
          <w:sz w:val="22"/>
          <w:lang w:val="en-US"/>
        </w:rPr>
        <w:t>To identify how telemedicine has been implemented across NHS healthcare services since the COVID-19 pandemic.</w:t>
      </w:r>
    </w:p>
    <w:p w:rsidRPr="008D7222" w:rsidR="008D7222" w:rsidP="008D7222" w:rsidRDefault="008D7222" w14:paraId="3B190A70" w14:textId="77777777">
      <w:pPr>
        <w:numPr>
          <w:ilvl w:val="0"/>
          <w:numId w:val="1"/>
        </w:numPr>
        <w:spacing w:line="360" w:lineRule="auto"/>
        <w:rPr>
          <w:rFonts w:ascii="Arial" w:hAnsi="Arial" w:cs="Arial"/>
          <w:sz w:val="22"/>
          <w:lang w:val="en-US"/>
        </w:rPr>
      </w:pPr>
      <w:r w:rsidRPr="008D7222">
        <w:rPr>
          <w:rFonts w:ascii="Arial" w:hAnsi="Arial" w:cs="Arial"/>
          <w:sz w:val="22"/>
          <w:lang w:val="en-US"/>
        </w:rPr>
        <w:t>To explore the reported benefits of telemedicine for patients and healthcare professionals.</w:t>
      </w:r>
    </w:p>
    <w:p w:rsidRPr="008D7222" w:rsidR="008D7222" w:rsidP="008D7222" w:rsidRDefault="008D7222" w14:paraId="4AB22CA0" w14:textId="77777777">
      <w:pPr>
        <w:numPr>
          <w:ilvl w:val="0"/>
          <w:numId w:val="1"/>
        </w:numPr>
        <w:spacing w:line="360" w:lineRule="auto"/>
        <w:rPr>
          <w:rFonts w:ascii="Arial" w:hAnsi="Arial" w:cs="Arial"/>
          <w:sz w:val="22"/>
          <w:lang w:val="en-US"/>
        </w:rPr>
      </w:pPr>
      <w:r w:rsidRPr="008D7222">
        <w:rPr>
          <w:rFonts w:ascii="Arial" w:hAnsi="Arial" w:cs="Arial"/>
          <w:sz w:val="22"/>
          <w:lang w:val="en-US"/>
        </w:rPr>
        <w:t>To examine barriers associated with telemedicine, including digital exclusion and health inequalities.</w:t>
      </w:r>
    </w:p>
    <w:p w:rsidRPr="008D7222" w:rsidR="008D7222" w:rsidP="008D7222" w:rsidRDefault="008D7222" w14:paraId="3066C9F9" w14:textId="77777777">
      <w:pPr>
        <w:numPr>
          <w:ilvl w:val="0"/>
          <w:numId w:val="1"/>
        </w:numPr>
        <w:spacing w:line="360" w:lineRule="auto"/>
        <w:rPr>
          <w:rFonts w:ascii="Arial" w:hAnsi="Arial" w:cs="Arial"/>
          <w:sz w:val="22"/>
          <w:lang w:val="en-US"/>
        </w:rPr>
      </w:pPr>
      <w:r w:rsidRPr="008D7222">
        <w:rPr>
          <w:rFonts w:ascii="Arial" w:hAnsi="Arial" w:cs="Arial"/>
          <w:sz w:val="22"/>
          <w:lang w:val="en-US"/>
        </w:rPr>
        <w:t>To identify implications for future NHS practice and future research.</w:t>
      </w:r>
    </w:p>
    <w:p w:rsidR="0026393A" w:rsidP="00CE0C93" w:rsidRDefault="0026393A" w14:paraId="0F7D7609" w14:textId="0B1F6AA6">
      <w:pPr>
        <w:pStyle w:val="Heading1"/>
        <w:jc w:val="both"/>
      </w:pPr>
      <w:r w:rsidR="3A386F8E">
        <w:rPr/>
        <w:t xml:space="preserve">2. </w:t>
      </w:r>
      <w:r w:rsidR="0026393A">
        <w:rPr/>
        <w:t>Background</w:t>
      </w:r>
    </w:p>
    <w:p w:rsidRPr="003B670E" w:rsidR="003B670E" w:rsidP="00CE0C93" w:rsidRDefault="003B670E" w14:paraId="17020919" w14:textId="77777777">
      <w:pPr>
        <w:spacing w:line="360" w:lineRule="auto"/>
        <w:jc w:val="both"/>
        <w:rPr>
          <w:rFonts w:ascii="Arial" w:hAnsi="Arial" w:cs="Arial"/>
          <w:sz w:val="22"/>
          <w:lang w:val="en-US"/>
        </w:rPr>
      </w:pPr>
      <w:r w:rsidRPr="003B670E">
        <w:rPr>
          <w:rFonts w:ascii="Arial" w:hAnsi="Arial" w:cs="Arial"/>
          <w:sz w:val="22"/>
          <w:lang w:val="en-US"/>
        </w:rPr>
        <w:t xml:space="preserve">Telemedicine has been part of healthcare delivery for several decades, although its routine use within the NHS was relatively limited before the COVID-19 pandemic. Prior to 2020, digital technologies were increasingly </w:t>
      </w:r>
      <w:proofErr w:type="spellStart"/>
      <w:r w:rsidRPr="003B670E">
        <w:rPr>
          <w:rFonts w:ascii="Arial" w:hAnsi="Arial" w:cs="Arial"/>
          <w:sz w:val="22"/>
          <w:lang w:val="en-US"/>
        </w:rPr>
        <w:t>recognised</w:t>
      </w:r>
      <w:proofErr w:type="spellEnd"/>
      <w:r w:rsidRPr="003B670E">
        <w:rPr>
          <w:rFonts w:ascii="Arial" w:hAnsi="Arial" w:cs="Arial"/>
          <w:sz w:val="22"/>
          <w:lang w:val="en-US"/>
        </w:rPr>
        <w:t xml:space="preserve"> as an important means of improving healthcare access, service efficiency and patient experience, as highlighted in the </w:t>
      </w:r>
      <w:r w:rsidRPr="003B670E">
        <w:rPr>
          <w:rFonts w:ascii="Arial" w:hAnsi="Arial" w:cs="Arial"/>
          <w:i/>
          <w:iCs/>
          <w:sz w:val="22"/>
          <w:lang w:val="en-US"/>
        </w:rPr>
        <w:t>NHS Long Term Plan</w:t>
      </w:r>
      <w:r w:rsidRPr="003B670E">
        <w:rPr>
          <w:rFonts w:ascii="Arial" w:hAnsi="Arial" w:cs="Arial"/>
          <w:sz w:val="22"/>
          <w:lang w:val="en-US"/>
        </w:rPr>
        <w:t xml:space="preserve">, which identified digitally enabled care as a strategic priority (NHS England, 2019). The COVID-19 pandemic, however, accelerated the adoption of remote consultations across NHS services on an unprecedented scale. To reduce the transmission of infection while maintaining essential healthcare services, NHS </w:t>
      </w:r>
      <w:proofErr w:type="spellStart"/>
      <w:r w:rsidRPr="003B670E">
        <w:rPr>
          <w:rFonts w:ascii="Arial" w:hAnsi="Arial" w:cs="Arial"/>
          <w:sz w:val="22"/>
          <w:lang w:val="en-US"/>
        </w:rPr>
        <w:t>organisations</w:t>
      </w:r>
      <w:proofErr w:type="spellEnd"/>
      <w:r w:rsidRPr="003B670E">
        <w:rPr>
          <w:rFonts w:ascii="Arial" w:hAnsi="Arial" w:cs="Arial"/>
          <w:sz w:val="22"/>
          <w:lang w:val="en-US"/>
        </w:rPr>
        <w:t xml:space="preserve"> rapidly expanded the use of telephone and video consultations across primary and secondary care settings (Murphy </w:t>
      </w:r>
      <w:r w:rsidRPr="003B670E">
        <w:rPr>
          <w:rFonts w:ascii="Arial" w:hAnsi="Arial" w:cs="Arial"/>
          <w:i/>
          <w:iCs/>
          <w:sz w:val="22"/>
          <w:lang w:val="en-US"/>
        </w:rPr>
        <w:t>et al</w:t>
      </w:r>
      <w:r w:rsidRPr="003B670E">
        <w:rPr>
          <w:rFonts w:ascii="Arial" w:hAnsi="Arial" w:cs="Arial"/>
          <w:sz w:val="22"/>
          <w:lang w:val="en-US"/>
        </w:rPr>
        <w:t xml:space="preserve">., 2021). This rapid transition demonstrated the potential of telemedicine to support continuity of care during a public health emergency, while also exposing challenges relating to digital infrastructure, workforce readiness and equitable access to healthcare (Murphy </w:t>
      </w:r>
      <w:r w:rsidRPr="003B670E">
        <w:rPr>
          <w:rFonts w:ascii="Arial" w:hAnsi="Arial" w:cs="Arial"/>
          <w:i/>
          <w:iCs/>
          <w:sz w:val="22"/>
          <w:lang w:val="en-US"/>
        </w:rPr>
        <w:t>et al</w:t>
      </w:r>
      <w:r w:rsidRPr="003B670E">
        <w:rPr>
          <w:rFonts w:ascii="Arial" w:hAnsi="Arial" w:cs="Arial"/>
          <w:sz w:val="22"/>
          <w:lang w:val="en-US"/>
        </w:rPr>
        <w:t>., 2021). As telemedicine has become an established component of many NHS services beyond the pandemic, evaluating whether it has genuinely improved access to healthcare while reducing health inequalities has become an increasingly important area of research, with implications for future NHS policy and practice.</w:t>
      </w:r>
    </w:p>
    <w:p w:rsidRPr="00BA6261" w:rsidR="00BA6261" w:rsidP="00CE0C93" w:rsidRDefault="00BA6261" w14:paraId="69F31550" w14:textId="77777777">
      <w:pPr>
        <w:spacing w:line="360" w:lineRule="auto"/>
        <w:jc w:val="both"/>
        <w:rPr>
          <w:rFonts w:ascii="Arial" w:hAnsi="Arial" w:cs="Arial"/>
          <w:sz w:val="22"/>
          <w:lang w:val="en-US"/>
        </w:rPr>
      </w:pPr>
      <w:r w:rsidRPr="00BA6261">
        <w:rPr>
          <w:rFonts w:ascii="Arial" w:hAnsi="Arial" w:cs="Arial"/>
          <w:sz w:val="22"/>
          <w:lang w:val="en-US"/>
        </w:rPr>
        <w:t>Evidence from several studies suggests that telemedicine has improved access to healthcare by providing more flexible and convenient consultation options. Remote appointments enable patients to receive healthcare without the need to travel, reducing both time and financial costs while supporting continuity of care for individuals requiring ongoing monitoring or follow-up appointments (</w:t>
      </w:r>
      <w:proofErr w:type="spellStart"/>
      <w:r w:rsidRPr="00BA6261">
        <w:rPr>
          <w:rFonts w:ascii="Arial" w:hAnsi="Arial" w:cs="Arial"/>
          <w:sz w:val="22"/>
          <w:lang w:val="en-US"/>
        </w:rPr>
        <w:t>O’Cathail</w:t>
      </w:r>
      <w:proofErr w:type="spellEnd"/>
      <w:r w:rsidRPr="00BA6261">
        <w:rPr>
          <w:rFonts w:ascii="Arial" w:hAnsi="Arial" w:cs="Arial"/>
          <w:sz w:val="22"/>
          <w:lang w:val="en-US"/>
        </w:rPr>
        <w:t xml:space="preserve"> </w:t>
      </w:r>
      <w:r w:rsidRPr="00BA6261">
        <w:rPr>
          <w:rFonts w:ascii="Arial" w:hAnsi="Arial" w:cs="Arial"/>
          <w:i/>
          <w:iCs/>
          <w:sz w:val="22"/>
          <w:lang w:val="en-US"/>
        </w:rPr>
        <w:t>et al</w:t>
      </w:r>
      <w:r w:rsidRPr="00BA6261">
        <w:rPr>
          <w:rFonts w:ascii="Arial" w:hAnsi="Arial" w:cs="Arial"/>
          <w:sz w:val="22"/>
          <w:lang w:val="en-US"/>
        </w:rPr>
        <w:t xml:space="preserve">., 2020; Carrillo de Albornoz </w:t>
      </w:r>
      <w:r w:rsidRPr="00BA6261">
        <w:rPr>
          <w:rFonts w:ascii="Arial" w:hAnsi="Arial" w:cs="Arial"/>
          <w:i/>
          <w:iCs/>
          <w:sz w:val="22"/>
          <w:lang w:val="en-US"/>
        </w:rPr>
        <w:t>et al</w:t>
      </w:r>
      <w:r w:rsidRPr="00BA6261">
        <w:rPr>
          <w:rFonts w:ascii="Arial" w:hAnsi="Arial" w:cs="Arial"/>
          <w:sz w:val="22"/>
          <w:lang w:val="en-US"/>
        </w:rPr>
        <w:t xml:space="preserve">., 2022). Evidence from UK primary care also demonstrates that remote consultations enabled healthcare services to continue during the COVID-19 pandemic while offering patients greater choice in how they accessed care (Murphy </w:t>
      </w:r>
      <w:r w:rsidRPr="00BA6261">
        <w:rPr>
          <w:rFonts w:ascii="Arial" w:hAnsi="Arial" w:cs="Arial"/>
          <w:i/>
          <w:iCs/>
          <w:sz w:val="22"/>
          <w:lang w:val="en-US"/>
        </w:rPr>
        <w:t>et al</w:t>
      </w:r>
      <w:r w:rsidRPr="00BA6261">
        <w:rPr>
          <w:rFonts w:ascii="Arial" w:hAnsi="Arial" w:cs="Arial"/>
          <w:sz w:val="22"/>
          <w:lang w:val="en-US"/>
        </w:rPr>
        <w:t xml:space="preserve">., 2021). Similarly, Leighton </w:t>
      </w:r>
      <w:r w:rsidRPr="00BA6261">
        <w:rPr>
          <w:rFonts w:ascii="Arial" w:hAnsi="Arial" w:cs="Arial"/>
          <w:i/>
          <w:iCs/>
          <w:sz w:val="22"/>
          <w:lang w:val="en-US"/>
        </w:rPr>
        <w:t>et al</w:t>
      </w:r>
      <w:r w:rsidRPr="00BA6261">
        <w:rPr>
          <w:rFonts w:ascii="Arial" w:hAnsi="Arial" w:cs="Arial"/>
          <w:sz w:val="22"/>
          <w:lang w:val="en-US"/>
        </w:rPr>
        <w:t>. (2024) found that asynchronous telemedicine can improve the efficiency of primary care services by allowing clinicians to manage some patient concerns without the need for traditional face-to-face consultations. Collectively, these findings suggest that telemedicine has the potential to improve healthcare accessibility and enhance the patient experience. However, the effectiveness of telemedicine is influenced by individual patient circumstances, including digital skills, the nature of the clinical condition and access to appropriate technology, suggesting that its benefits are not experienced equally across all population groups.</w:t>
      </w:r>
    </w:p>
    <w:p w:rsidR="0026393A" w:rsidP="00CE0C93" w:rsidRDefault="006417B2" w14:paraId="232E6A2E" w14:textId="0FDDB9B8">
      <w:pPr>
        <w:spacing w:line="360" w:lineRule="auto"/>
        <w:jc w:val="both"/>
        <w:rPr>
          <w:rFonts w:ascii="Arial" w:hAnsi="Arial" w:cs="Arial"/>
          <w:sz w:val="22"/>
          <w:lang w:val="en-US"/>
        </w:rPr>
      </w:pPr>
      <w:r w:rsidRPr="006417B2">
        <w:rPr>
          <w:rFonts w:ascii="Arial" w:hAnsi="Arial" w:cs="Arial"/>
          <w:sz w:val="22"/>
          <w:lang w:val="en-US"/>
        </w:rPr>
        <w:t xml:space="preserve">Despite the </w:t>
      </w:r>
      <w:proofErr w:type="spellStart"/>
      <w:r w:rsidRPr="006417B2">
        <w:rPr>
          <w:rFonts w:ascii="Arial" w:hAnsi="Arial" w:cs="Arial"/>
          <w:sz w:val="22"/>
          <w:lang w:val="en-US"/>
        </w:rPr>
        <w:t>recognised</w:t>
      </w:r>
      <w:proofErr w:type="spellEnd"/>
      <w:r w:rsidRPr="006417B2">
        <w:rPr>
          <w:rFonts w:ascii="Arial" w:hAnsi="Arial" w:cs="Arial"/>
          <w:sz w:val="22"/>
          <w:lang w:val="en-US"/>
        </w:rPr>
        <w:t xml:space="preserve"> benefits of telemedicine, digital exclusion remains a significant barrier to equitable healthcare access. Parker et al. (2021) observed that while remote consultations increased access for many patients, the advantages were not experienced equally across the population. Older adults, individuals with limited digital literacy and those from </w:t>
      </w:r>
      <w:r w:rsidRPr="006417B2">
        <w:rPr>
          <w:rFonts w:ascii="Arial" w:hAnsi="Arial" w:cs="Arial"/>
          <w:sz w:val="22"/>
          <w:lang w:val="en-US"/>
        </w:rPr>
        <w:lastRenderedPageBreak/>
        <w:t>socioeconomically disadvantaged backgrounds encountered greater barriers to accessing remote healthcare services. Similarly, Murphy et al. (2021) reported that although clinicians valued the flexibility of remote consultations, concerns remained regarding patients who lacked access to appropriate technology or reliable internet connections. These findings are supported by The King’s Fund (2023), which warns that without appropriate support, digital healthcare has the potential to widen existing health inequalities. Together, this evidence suggests that while telemedicine can improve healthcare accessibility, it may also reinforce existing inequalities if digital inclusion is not addressed through targeted support and equitable service design. Consequently, the long-term success of telemedicine depends not only on technological innovation but also on ensuring that all patients are able to access and benefit from digital healthcare services.</w:t>
      </w:r>
    </w:p>
    <w:p w:rsidRPr="00421016" w:rsidR="00421016" w:rsidP="00CE0C93" w:rsidRDefault="00421016" w14:paraId="0DE0C93F" w14:textId="77777777">
      <w:pPr>
        <w:tabs>
          <w:tab w:val="left" w:pos="6540"/>
        </w:tabs>
        <w:spacing w:line="360" w:lineRule="auto"/>
        <w:jc w:val="both"/>
        <w:rPr>
          <w:rFonts w:asciiTheme="minorBidi" w:hAnsiTheme="minorBidi"/>
          <w:sz w:val="22"/>
          <w:lang w:val="en-US"/>
        </w:rPr>
      </w:pPr>
      <w:r w:rsidRPr="00421016">
        <w:rPr>
          <w:rFonts w:asciiTheme="minorBidi" w:hAnsiTheme="minorBidi"/>
          <w:sz w:val="22"/>
          <w:lang w:val="en-US"/>
        </w:rPr>
        <w:t xml:space="preserve">The current literature demonstrates that telemedicine has become an established component of healthcare delivery within the NHS, improving access, convenience and continuity of care for many patients. However, the evidence also highlights significant challenges, particularly in relation to digital exclusion and inequalities in healthcare access. Although numerous studies have explored telemedicine within specific healthcare settings, patient populations and clinical specialties, the evidence remains dispersed and, in some cases, reports inconsistent findings. Therefore, there is a need to </w:t>
      </w:r>
      <w:proofErr w:type="spellStart"/>
      <w:r w:rsidRPr="00421016">
        <w:rPr>
          <w:rFonts w:asciiTheme="minorBidi" w:hAnsiTheme="minorBidi"/>
          <w:sz w:val="22"/>
          <w:lang w:val="en-US"/>
        </w:rPr>
        <w:t>synthesise</w:t>
      </w:r>
      <w:proofErr w:type="spellEnd"/>
      <w:r w:rsidRPr="00421016">
        <w:rPr>
          <w:rFonts w:asciiTheme="minorBidi" w:hAnsiTheme="minorBidi"/>
          <w:sz w:val="22"/>
          <w:lang w:val="en-US"/>
        </w:rPr>
        <w:t xml:space="preserve"> the available research to provide a broader understanding of how effectively telemedicine has improved access to NHS healthcare services in the post-COVID-19 era. A scoping review is an appropriate methodology for this purpose, as it systematically maps the existing evidence, identifies recurring themes and highlights gaps in the current literature. The following section outlines the methods used to identify, select and </w:t>
      </w:r>
      <w:proofErr w:type="spellStart"/>
      <w:r w:rsidRPr="00421016">
        <w:rPr>
          <w:rFonts w:asciiTheme="minorBidi" w:hAnsiTheme="minorBidi"/>
          <w:sz w:val="22"/>
          <w:lang w:val="en-US"/>
        </w:rPr>
        <w:t>analyse</w:t>
      </w:r>
      <w:proofErr w:type="spellEnd"/>
      <w:r w:rsidRPr="00421016">
        <w:rPr>
          <w:rFonts w:asciiTheme="minorBidi" w:hAnsiTheme="minorBidi"/>
          <w:sz w:val="22"/>
          <w:lang w:val="en-US"/>
        </w:rPr>
        <w:t xml:space="preserve"> the evidence included in this review.</w:t>
      </w:r>
    </w:p>
    <w:p w:rsidR="00B87E75" w:rsidP="00CE0C93" w:rsidRDefault="005740F9" w14:paraId="60B2CDC3" w14:textId="5A752B49">
      <w:pPr>
        <w:pStyle w:val="Heading1"/>
        <w:jc w:val="both"/>
      </w:pPr>
      <w:r>
        <w:t xml:space="preserve">3. </w:t>
      </w:r>
      <w:r w:rsidRPr="00CD33A8" w:rsidR="00B87E75">
        <w:t>Method</w:t>
      </w:r>
      <w:r w:rsidRPr="00CD33A8" w:rsidR="003E4ECF">
        <w:t>s</w:t>
      </w:r>
    </w:p>
    <w:p w:rsidRPr="005B33B9" w:rsidR="005740F9" w:rsidP="00CE0C93" w:rsidRDefault="005B33B9" w14:paraId="162E0376" w14:textId="22DECD69">
      <w:pPr>
        <w:jc w:val="both"/>
        <w:rPr>
          <w:rFonts w:ascii="Arial" w:hAnsi="Arial" w:cs="Arial"/>
          <w:sz w:val="22"/>
          <w:lang w:val="en-US"/>
        </w:rPr>
      </w:pPr>
      <w:r w:rsidRPr="005B33B9">
        <w:rPr>
          <w:rFonts w:ascii="Arial" w:hAnsi="Arial" w:cs="Arial"/>
          <w:sz w:val="22"/>
          <w:lang w:val="en-US"/>
        </w:rPr>
        <w:t>3.1 Research Design</w:t>
      </w:r>
    </w:p>
    <w:p w:rsidRPr="009B0595" w:rsidR="00992DF0" w:rsidP="00CE0C93" w:rsidRDefault="004C24C0" w14:paraId="30683A23" w14:textId="71CD2A0D">
      <w:pPr>
        <w:spacing w:line="360" w:lineRule="auto"/>
        <w:jc w:val="both"/>
        <w:rPr>
          <w:rFonts w:ascii="Arial" w:hAnsi="Arial" w:cs="Arial"/>
          <w:sz w:val="22"/>
          <w:lang w:val="en-US"/>
        </w:rPr>
      </w:pPr>
      <w:r w:rsidRPr="004C24C0">
        <w:rPr>
          <w:rFonts w:ascii="Arial" w:hAnsi="Arial" w:cs="Arial"/>
          <w:sz w:val="22"/>
          <w:lang w:val="en-US"/>
        </w:rPr>
        <w:t xml:space="preserve">A scoping review methodology was used to examine the effectiveness of telemedicine in improving access to NHS healthcare services in post-COVID-19 UK practice. Scoping reviews systematically identify, map and </w:t>
      </w:r>
      <w:proofErr w:type="spellStart"/>
      <w:r w:rsidRPr="004C24C0">
        <w:rPr>
          <w:rFonts w:ascii="Arial" w:hAnsi="Arial" w:cs="Arial"/>
          <w:sz w:val="22"/>
          <w:lang w:val="en-US"/>
        </w:rPr>
        <w:t>synthesise</w:t>
      </w:r>
      <w:proofErr w:type="spellEnd"/>
      <w:r w:rsidRPr="004C24C0">
        <w:rPr>
          <w:rFonts w:ascii="Arial" w:hAnsi="Arial" w:cs="Arial"/>
          <w:sz w:val="22"/>
          <w:lang w:val="en-US"/>
        </w:rPr>
        <w:t xml:space="preserve"> evidence on broad research topics, making them particularly suitable for exploring emerging areas of healthcare research </w:t>
      </w:r>
      <w:proofErr w:type="spellStart"/>
      <w:r w:rsidRPr="004C24C0">
        <w:rPr>
          <w:rFonts w:ascii="Arial" w:hAnsi="Arial" w:cs="Arial"/>
          <w:sz w:val="22"/>
          <w:lang w:val="en-US"/>
        </w:rPr>
        <w:t>characterised</w:t>
      </w:r>
      <w:proofErr w:type="spellEnd"/>
      <w:r w:rsidRPr="004C24C0">
        <w:rPr>
          <w:rFonts w:ascii="Arial" w:hAnsi="Arial" w:cs="Arial"/>
          <w:sz w:val="22"/>
          <w:lang w:val="en-US"/>
        </w:rPr>
        <w:t xml:space="preserve"> by diverse study designs and healthcare settings (Arksey and O’Malley, 2005). Unlike systematic reviews, which typically address narrowly focused clinical questions, scoping reviews provide an overview of the available evidence while identifying key concepts, recurring themes and gaps within the existing literature (Peters </w:t>
      </w:r>
      <w:r w:rsidRPr="004C24C0">
        <w:rPr>
          <w:rFonts w:ascii="Arial" w:hAnsi="Arial" w:cs="Arial"/>
          <w:i/>
          <w:iCs/>
          <w:sz w:val="22"/>
          <w:lang w:val="en-US"/>
        </w:rPr>
        <w:t>et al</w:t>
      </w:r>
      <w:r w:rsidRPr="004C24C0">
        <w:rPr>
          <w:rFonts w:ascii="Arial" w:hAnsi="Arial" w:cs="Arial"/>
          <w:sz w:val="22"/>
          <w:lang w:val="en-US"/>
        </w:rPr>
        <w:t xml:space="preserve">., 2020). The review process was guided by the framework developed by Arksey and O’Malley (2005), together with the refinements proposed by Levac </w:t>
      </w:r>
      <w:r w:rsidRPr="004C24C0">
        <w:rPr>
          <w:rFonts w:ascii="Arial" w:hAnsi="Arial" w:cs="Arial"/>
          <w:i/>
          <w:iCs/>
          <w:sz w:val="22"/>
          <w:lang w:val="en-US"/>
        </w:rPr>
        <w:t>et al</w:t>
      </w:r>
      <w:r w:rsidRPr="004C24C0">
        <w:rPr>
          <w:rFonts w:ascii="Arial" w:hAnsi="Arial" w:cs="Arial"/>
          <w:sz w:val="22"/>
          <w:lang w:val="en-US"/>
        </w:rPr>
        <w:t xml:space="preserve">. (2010), to ensure a transparent and systematic approach to the identification, </w:t>
      </w:r>
      <w:r w:rsidRPr="004C24C0">
        <w:rPr>
          <w:rFonts w:ascii="Arial" w:hAnsi="Arial" w:cs="Arial"/>
          <w:sz w:val="22"/>
          <w:lang w:val="en-US"/>
        </w:rPr>
        <w:lastRenderedPageBreak/>
        <w:t>selection and analysis of relevant studies.</w:t>
      </w:r>
      <w:r w:rsidR="009B0595">
        <w:rPr>
          <w:rFonts w:ascii="Arial" w:hAnsi="Arial" w:cs="Arial"/>
          <w:sz w:val="22"/>
          <w:lang w:val="en-US"/>
        </w:rPr>
        <w:t xml:space="preserve"> </w:t>
      </w:r>
      <w:r w:rsidRPr="00992DF0" w:rsidR="00992DF0">
        <w:rPr>
          <w:rFonts w:ascii="Arial" w:hAnsi="Arial" w:cs="Arial"/>
          <w:sz w:val="22"/>
          <w:lang w:val="en-US"/>
        </w:rPr>
        <w:t>Studies identified through the search were subsequently assessed against predefined inclusion and exclusion criteria to determine their eligibility for the review.</w:t>
      </w:r>
    </w:p>
    <w:p w:rsidRPr="006B171C" w:rsidR="006B171C" w:rsidP="00CE0C93" w:rsidRDefault="006B171C" w14:paraId="7C0F1EFA" w14:textId="77777777">
      <w:pPr>
        <w:spacing w:line="360" w:lineRule="auto"/>
        <w:jc w:val="both"/>
        <w:rPr>
          <w:rFonts w:ascii="Arial" w:hAnsi="Arial" w:cs="Arial"/>
          <w:sz w:val="22"/>
          <w:lang w:val="en-US"/>
        </w:rPr>
      </w:pPr>
      <w:r w:rsidRPr="006B171C">
        <w:rPr>
          <w:rFonts w:ascii="Arial" w:hAnsi="Arial" w:cs="Arial"/>
          <w:sz w:val="22"/>
          <w:lang w:val="en-US"/>
        </w:rPr>
        <w:t>3.2 Search Strategy</w:t>
      </w:r>
    </w:p>
    <w:p w:rsidR="006B171C" w:rsidP="00CE0C93" w:rsidRDefault="006B171C" w14:paraId="6B2454EE" w14:textId="77777777">
      <w:pPr>
        <w:spacing w:line="360" w:lineRule="auto"/>
        <w:jc w:val="both"/>
        <w:rPr>
          <w:rFonts w:ascii="Arial" w:hAnsi="Arial" w:cs="Arial"/>
          <w:sz w:val="22"/>
          <w:lang w:val="en-US"/>
        </w:rPr>
      </w:pPr>
      <w:r w:rsidRPr="006B171C">
        <w:rPr>
          <w:rFonts w:ascii="Arial" w:hAnsi="Arial" w:cs="Arial"/>
          <w:sz w:val="22"/>
          <w:lang w:val="en-US"/>
        </w:rPr>
        <w:t>Electronic literature searches were conducted using the CINAHL, PubMed and Google Scholar databases to identify studies relevant to the review question. These databases were selected because they provide comprehensive coverage of healthcare, nursing and medical literature, making them appropriate sources for identifying evidence relating to telemedicine and healthcare access. An initial exploratory search was undertaken to refine the search strategy and identify the most appropriate keywords. Boolean operators (</w:t>
      </w:r>
      <w:r w:rsidRPr="006B171C">
        <w:rPr>
          <w:rFonts w:ascii="Arial" w:hAnsi="Arial" w:cs="Arial"/>
          <w:b/>
          <w:bCs/>
          <w:sz w:val="22"/>
          <w:lang w:val="en-US"/>
        </w:rPr>
        <w:t>AND</w:t>
      </w:r>
      <w:r w:rsidRPr="006B171C">
        <w:rPr>
          <w:rFonts w:ascii="Arial" w:hAnsi="Arial" w:cs="Arial"/>
          <w:sz w:val="22"/>
          <w:lang w:val="en-US"/>
        </w:rPr>
        <w:t xml:space="preserve"> </w:t>
      </w:r>
      <w:proofErr w:type="spellStart"/>
      <w:r w:rsidRPr="006B171C">
        <w:rPr>
          <w:rFonts w:ascii="Arial" w:hAnsi="Arial" w:cs="Arial"/>
          <w:sz w:val="22"/>
          <w:lang w:val="en-US"/>
        </w:rPr>
        <w:t>and</w:t>
      </w:r>
      <w:proofErr w:type="spellEnd"/>
      <w:r w:rsidRPr="006B171C">
        <w:rPr>
          <w:rFonts w:ascii="Arial" w:hAnsi="Arial" w:cs="Arial"/>
          <w:sz w:val="22"/>
          <w:lang w:val="en-US"/>
        </w:rPr>
        <w:t xml:space="preserve"> </w:t>
      </w:r>
      <w:r w:rsidRPr="006B171C">
        <w:rPr>
          <w:rFonts w:ascii="Arial" w:hAnsi="Arial" w:cs="Arial"/>
          <w:b/>
          <w:bCs/>
          <w:sz w:val="22"/>
          <w:lang w:val="en-US"/>
        </w:rPr>
        <w:t>OR</w:t>
      </w:r>
      <w:r w:rsidRPr="006B171C">
        <w:rPr>
          <w:rFonts w:ascii="Arial" w:hAnsi="Arial" w:cs="Arial"/>
          <w:sz w:val="22"/>
          <w:lang w:val="en-US"/>
        </w:rPr>
        <w:t xml:space="preserve">) were used to combine search terms including </w:t>
      </w:r>
      <w:r w:rsidRPr="006B171C">
        <w:rPr>
          <w:rFonts w:ascii="Arial" w:hAnsi="Arial" w:cs="Arial"/>
          <w:i/>
          <w:iCs/>
          <w:sz w:val="22"/>
          <w:lang w:val="en-US"/>
        </w:rPr>
        <w:t>telemedicine</w:t>
      </w:r>
      <w:r w:rsidRPr="006B171C">
        <w:rPr>
          <w:rFonts w:ascii="Arial" w:hAnsi="Arial" w:cs="Arial"/>
          <w:sz w:val="22"/>
          <w:lang w:val="en-US"/>
        </w:rPr>
        <w:t xml:space="preserve">, </w:t>
      </w:r>
      <w:r w:rsidRPr="006B171C">
        <w:rPr>
          <w:rFonts w:ascii="Arial" w:hAnsi="Arial" w:cs="Arial"/>
          <w:i/>
          <w:iCs/>
          <w:sz w:val="22"/>
          <w:lang w:val="en-US"/>
        </w:rPr>
        <w:t>digital health</w:t>
      </w:r>
      <w:r w:rsidRPr="006B171C">
        <w:rPr>
          <w:rFonts w:ascii="Arial" w:hAnsi="Arial" w:cs="Arial"/>
          <w:sz w:val="22"/>
          <w:lang w:val="en-US"/>
        </w:rPr>
        <w:t xml:space="preserve">, </w:t>
      </w:r>
      <w:r w:rsidRPr="006B171C">
        <w:rPr>
          <w:rFonts w:ascii="Arial" w:hAnsi="Arial" w:cs="Arial"/>
          <w:i/>
          <w:iCs/>
          <w:sz w:val="22"/>
          <w:lang w:val="en-US"/>
        </w:rPr>
        <w:t>remote consultation</w:t>
      </w:r>
      <w:r w:rsidRPr="006B171C">
        <w:rPr>
          <w:rFonts w:ascii="Arial" w:hAnsi="Arial" w:cs="Arial"/>
          <w:sz w:val="22"/>
          <w:lang w:val="en-US"/>
        </w:rPr>
        <w:t xml:space="preserve">, </w:t>
      </w:r>
      <w:r w:rsidRPr="006B171C">
        <w:rPr>
          <w:rFonts w:ascii="Arial" w:hAnsi="Arial" w:cs="Arial"/>
          <w:i/>
          <w:iCs/>
          <w:sz w:val="22"/>
          <w:lang w:val="en-US"/>
        </w:rPr>
        <w:t>healthcare access</w:t>
      </w:r>
      <w:r w:rsidRPr="006B171C">
        <w:rPr>
          <w:rFonts w:ascii="Arial" w:hAnsi="Arial" w:cs="Arial"/>
          <w:sz w:val="22"/>
          <w:lang w:val="en-US"/>
        </w:rPr>
        <w:t xml:space="preserve">, </w:t>
      </w:r>
      <w:r w:rsidRPr="006B171C">
        <w:rPr>
          <w:rFonts w:ascii="Arial" w:hAnsi="Arial" w:cs="Arial"/>
          <w:i/>
          <w:iCs/>
          <w:sz w:val="22"/>
          <w:lang w:val="en-US"/>
        </w:rPr>
        <w:t>NHS</w:t>
      </w:r>
      <w:r w:rsidRPr="006B171C">
        <w:rPr>
          <w:rFonts w:ascii="Arial" w:hAnsi="Arial" w:cs="Arial"/>
          <w:sz w:val="22"/>
          <w:lang w:val="en-US"/>
        </w:rPr>
        <w:t xml:space="preserve"> and </w:t>
      </w:r>
      <w:r w:rsidRPr="006B171C">
        <w:rPr>
          <w:rFonts w:ascii="Arial" w:hAnsi="Arial" w:cs="Arial"/>
          <w:i/>
          <w:iCs/>
          <w:sz w:val="22"/>
          <w:lang w:val="en-US"/>
        </w:rPr>
        <w:t>United Kingdom</w:t>
      </w:r>
      <w:r w:rsidRPr="006B171C">
        <w:rPr>
          <w:rFonts w:ascii="Arial" w:hAnsi="Arial" w:cs="Arial"/>
          <w:sz w:val="22"/>
          <w:lang w:val="en-US"/>
        </w:rPr>
        <w:t xml:space="preserve"> to </w:t>
      </w:r>
      <w:proofErr w:type="spellStart"/>
      <w:r w:rsidRPr="006B171C">
        <w:rPr>
          <w:rFonts w:ascii="Arial" w:hAnsi="Arial" w:cs="Arial"/>
          <w:sz w:val="22"/>
          <w:lang w:val="en-US"/>
        </w:rPr>
        <w:t>maximise</w:t>
      </w:r>
      <w:proofErr w:type="spellEnd"/>
      <w:r w:rsidRPr="006B171C">
        <w:rPr>
          <w:rFonts w:ascii="Arial" w:hAnsi="Arial" w:cs="Arial"/>
          <w:sz w:val="22"/>
          <w:lang w:val="en-US"/>
        </w:rPr>
        <w:t xml:space="preserve"> the retrieval of relevant studies. The search was limited to peer-reviewed articles published in English between 2020 and 2026 to capture evidence relating to telemedicine in post-COVID-19 healthcare practice.</w:t>
      </w:r>
    </w:p>
    <w:p w:rsidR="00EC26C1" w:rsidP="00CE0C93" w:rsidRDefault="00A71D2D" w14:paraId="5F1B0E4C" w14:textId="39B2BC44">
      <w:pPr>
        <w:spacing w:line="360" w:lineRule="auto"/>
        <w:jc w:val="both"/>
        <w:rPr>
          <w:rFonts w:ascii="Arial" w:hAnsi="Arial" w:cs="Arial"/>
          <w:b/>
          <w:bCs/>
          <w:sz w:val="22"/>
          <w:lang w:val="en-US"/>
        </w:rPr>
      </w:pPr>
      <w:r w:rsidRPr="00A71D2D">
        <w:rPr>
          <w:rFonts w:ascii="Arial" w:hAnsi="Arial" w:cs="Arial"/>
          <w:sz w:val="22"/>
          <w:lang w:val="en-US"/>
        </w:rPr>
        <w:t>Studies identified through the search strategy were subsequently assessed against predefined inclusion and exclusion criteria to determine their eligibility for inclusion in the review</w:t>
      </w:r>
      <w:r w:rsidRPr="00A71D2D">
        <w:rPr>
          <w:rFonts w:ascii="Arial" w:hAnsi="Arial" w:cs="Arial"/>
          <w:b/>
          <w:bCs/>
          <w:sz w:val="22"/>
          <w:lang w:val="en-US"/>
        </w:rPr>
        <w:t>.</w:t>
      </w:r>
    </w:p>
    <w:p w:rsidRPr="00F0160F" w:rsidR="00C236E9" w:rsidP="00CE0C93" w:rsidRDefault="003A3B2F" w14:paraId="2E114DF3" w14:textId="4EA6E92C">
      <w:pPr>
        <w:spacing w:line="360" w:lineRule="auto"/>
        <w:jc w:val="both"/>
        <w:rPr>
          <w:rFonts w:ascii="Arial" w:hAnsi="Arial" w:cs="Arial"/>
          <w:sz w:val="22"/>
          <w:lang w:val="en-US"/>
        </w:rPr>
      </w:pPr>
      <w:r w:rsidRPr="00F0160F">
        <w:rPr>
          <w:rFonts w:ascii="Arial" w:hAnsi="Arial" w:cs="Arial"/>
          <w:sz w:val="22"/>
          <w:lang w:val="en-US"/>
        </w:rPr>
        <w:t>3.3 Eli</w:t>
      </w:r>
      <w:r w:rsidR="007D4B4A">
        <w:rPr>
          <w:rFonts w:ascii="Arial" w:hAnsi="Arial" w:cs="Arial"/>
          <w:sz w:val="22"/>
          <w:lang w:val="en-US"/>
        </w:rPr>
        <w:t>gi</w:t>
      </w:r>
      <w:r w:rsidRPr="00F0160F">
        <w:rPr>
          <w:rFonts w:ascii="Arial" w:hAnsi="Arial" w:cs="Arial"/>
          <w:sz w:val="22"/>
          <w:lang w:val="en-US"/>
        </w:rPr>
        <w:t>bility C</w:t>
      </w:r>
      <w:r w:rsidR="007D4B4A">
        <w:rPr>
          <w:rFonts w:ascii="Arial" w:hAnsi="Arial" w:cs="Arial"/>
          <w:sz w:val="22"/>
          <w:lang w:val="en-US"/>
        </w:rPr>
        <w:t>r</w:t>
      </w:r>
      <w:r w:rsidRPr="00F0160F">
        <w:rPr>
          <w:rFonts w:ascii="Arial" w:hAnsi="Arial" w:cs="Arial"/>
          <w:sz w:val="22"/>
          <w:lang w:val="en-US"/>
        </w:rPr>
        <w:t>iteria</w:t>
      </w:r>
    </w:p>
    <w:p w:rsidR="003A3B2F" w:rsidP="00CE0C93" w:rsidRDefault="003A3B2F" w14:paraId="320EF534" w14:textId="77777777">
      <w:pPr>
        <w:spacing w:line="360" w:lineRule="auto"/>
        <w:jc w:val="both"/>
      </w:pPr>
      <w:r w:rsidRPr="22A5FA13" w:rsidR="003A3B2F">
        <w:rPr>
          <w:rFonts w:ascii="Arial" w:hAnsi="Arial" w:eastAsia="Times New Roman" w:cs="Arial"/>
          <w:sz w:val="22"/>
          <w:szCs w:val="22"/>
          <w:lang w:val="en-US"/>
        </w:rPr>
        <w:t xml:space="preserve">Studies identified through the search strategy were assessed against predefined inclusion and exclusion criteria to ensure that only evidence relevant to the review question was included. Clear eligibility criteria support a transparent and systematic study selection process and help </w:t>
      </w:r>
      <w:r w:rsidRPr="22A5FA13" w:rsidR="003A3B2F">
        <w:rPr>
          <w:rFonts w:ascii="Arial" w:hAnsi="Arial" w:eastAsia="Times New Roman" w:cs="Arial"/>
          <w:sz w:val="22"/>
          <w:szCs w:val="22"/>
          <w:lang w:val="en-US"/>
        </w:rPr>
        <w:t>minimise</w:t>
      </w:r>
      <w:r w:rsidRPr="22A5FA13" w:rsidR="003A3B2F">
        <w:rPr>
          <w:rFonts w:ascii="Arial" w:hAnsi="Arial" w:eastAsia="Times New Roman" w:cs="Arial"/>
          <w:sz w:val="22"/>
          <w:szCs w:val="22"/>
          <w:lang w:val="en-US"/>
        </w:rPr>
        <w:t xml:space="preserve"> selection bias. The eligibility criteria were developed in accordance with the aims of the review and considered factors such as publication type, language, publication date, study focus and relevance to UK healthcare. These criteria guided the screening of all retrieved studies before data extraction and synthesis.</w:t>
      </w:r>
    </w:p>
    <w:p w:rsidR="22A5FA13" w:rsidP="22A5FA13" w:rsidRDefault="22A5FA13" w14:paraId="39247C4D" w14:textId="7767C33F">
      <w:pPr>
        <w:spacing w:line="360" w:lineRule="auto"/>
        <w:jc w:val="both"/>
        <w:rPr>
          <w:rFonts w:ascii="Arial" w:hAnsi="Arial" w:eastAsia="Times New Roman" w:cs="Arial"/>
          <w:sz w:val="22"/>
          <w:szCs w:val="22"/>
          <w:lang w:val="en-US"/>
        </w:rPr>
      </w:pPr>
    </w:p>
    <w:p w:rsidR="22A5FA13" w:rsidP="22A5FA13" w:rsidRDefault="22A5FA13" w14:paraId="3C4EEC70" w14:textId="32999AAC">
      <w:pPr>
        <w:spacing w:line="360" w:lineRule="auto"/>
        <w:jc w:val="both"/>
        <w:rPr>
          <w:rFonts w:ascii="Arial" w:hAnsi="Arial" w:eastAsia="Times New Roman" w:cs="Arial"/>
          <w:sz w:val="22"/>
          <w:szCs w:val="22"/>
          <w:lang w:val="en-US"/>
        </w:rPr>
      </w:pPr>
    </w:p>
    <w:p w:rsidR="00F0160F" w:rsidP="003A3B2F" w:rsidRDefault="00E025F1" w14:paraId="33F3935D" w14:textId="6E656733">
      <w:pPr>
        <w:spacing w:line="360" w:lineRule="auto"/>
        <w:rPr>
          <w:rFonts w:ascii="Arial" w:hAnsi="Arial" w:eastAsia="Times New Roman" w:cs="Arial"/>
          <w:sz w:val="22"/>
          <w:lang w:val="en-US"/>
        </w:rPr>
      </w:pPr>
      <w:proofErr w:type="gramStart"/>
      <w:r>
        <w:rPr>
          <w:rFonts w:ascii="Arial" w:hAnsi="Arial" w:eastAsia="Times New Roman" w:cs="Arial"/>
          <w:sz w:val="22"/>
          <w:lang w:val="en-US"/>
        </w:rPr>
        <w:t>Table  1</w:t>
      </w:r>
      <w:proofErr w:type="gramEnd"/>
      <w:r>
        <w:rPr>
          <w:rFonts w:ascii="Arial" w:hAnsi="Arial" w:eastAsia="Times New Roman" w:cs="Arial"/>
          <w:sz w:val="22"/>
          <w:lang w:val="en-US"/>
        </w:rPr>
        <w:t>. Eligibil</w:t>
      </w:r>
      <w:r w:rsidR="00800820">
        <w:rPr>
          <w:rFonts w:ascii="Arial" w:hAnsi="Arial" w:eastAsia="Times New Roman" w:cs="Arial"/>
          <w:sz w:val="22"/>
          <w:lang w:val="en-US"/>
        </w:rPr>
        <w:t>i</w:t>
      </w:r>
      <w:r>
        <w:rPr>
          <w:rFonts w:ascii="Arial" w:hAnsi="Arial" w:eastAsia="Times New Roman" w:cs="Arial"/>
          <w:sz w:val="22"/>
          <w:lang w:val="en-US"/>
        </w:rPr>
        <w:t>ty Crit</w:t>
      </w:r>
      <w:r w:rsidR="00800820">
        <w:rPr>
          <w:rFonts w:ascii="Arial" w:hAnsi="Arial" w:eastAsia="Times New Roman" w:cs="Arial"/>
          <w:sz w:val="22"/>
          <w:lang w:val="en-US"/>
        </w:rPr>
        <w:t>e</w:t>
      </w:r>
      <w:r>
        <w:rPr>
          <w:rFonts w:ascii="Arial" w:hAnsi="Arial" w:eastAsia="Times New Roman" w:cs="Arial"/>
          <w:sz w:val="22"/>
          <w:lang w:val="en-US"/>
        </w:rPr>
        <w:t xml:space="preserve">ria </w:t>
      </w:r>
      <w:proofErr w:type="gramStart"/>
      <w:r w:rsidR="00800820">
        <w:rPr>
          <w:rFonts w:ascii="Arial" w:hAnsi="Arial" w:eastAsia="Times New Roman" w:cs="Arial"/>
          <w:sz w:val="22"/>
          <w:lang w:val="en-US"/>
        </w:rPr>
        <w:t>For</w:t>
      </w:r>
      <w:proofErr w:type="gramEnd"/>
      <w:r w:rsidR="00800820">
        <w:rPr>
          <w:rFonts w:ascii="Arial" w:hAnsi="Arial" w:eastAsia="Times New Roman" w:cs="Arial"/>
          <w:sz w:val="22"/>
          <w:lang w:val="en-US"/>
        </w:rPr>
        <w:t xml:space="preserve"> Study Selection</w:t>
      </w:r>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4760"/>
        <w:gridCol w:w="4250"/>
      </w:tblGrid>
      <w:tr w:rsidRPr="00800820" w:rsidR="00800820" w14:paraId="33F95F0B"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4FE827FB" w14:textId="77777777">
            <w:pPr>
              <w:spacing w:before="100" w:beforeAutospacing="1" w:after="100" w:afterAutospacing="1" w:line="240" w:lineRule="auto"/>
              <w:jc w:val="center"/>
              <w:rPr>
                <w:rFonts w:ascii="Arial" w:hAnsi="Arial" w:eastAsia="Times New Roman" w:cs="Arial"/>
                <w:sz w:val="22"/>
                <w:lang w:val="en-US"/>
              </w:rPr>
            </w:pPr>
            <w:r w:rsidRPr="00800820">
              <w:rPr>
                <w:rFonts w:ascii="Arial" w:hAnsi="Arial" w:eastAsia="Times New Roman" w:cs="Arial"/>
                <w:sz w:val="22"/>
                <w:lang w:val="en-US"/>
              </w:rPr>
              <w:t>Inclusion Criteria</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18529A62" w14:textId="77777777">
            <w:pPr>
              <w:spacing w:before="100" w:beforeAutospacing="1" w:after="100" w:afterAutospacing="1" w:line="240" w:lineRule="auto"/>
              <w:jc w:val="center"/>
              <w:rPr>
                <w:rFonts w:ascii="Arial" w:hAnsi="Arial" w:eastAsia="Times New Roman" w:cs="Arial"/>
                <w:sz w:val="22"/>
                <w:lang w:val="en-US"/>
              </w:rPr>
            </w:pPr>
            <w:r w:rsidRPr="00800820">
              <w:rPr>
                <w:rFonts w:ascii="Arial" w:hAnsi="Arial" w:eastAsia="Times New Roman" w:cs="Arial"/>
                <w:sz w:val="22"/>
                <w:lang w:val="en-US"/>
              </w:rPr>
              <w:t>Exclusion Criteria</w:t>
            </w:r>
          </w:p>
        </w:tc>
      </w:tr>
      <w:tr w:rsidRPr="00800820" w:rsidR="00800820" w14:paraId="6AA52FF5"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00C000BE"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t>Peer-reviewed research articles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60E92109"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t>Editorials, opinion pieces, letters, conference abstracts and articles without full text</w:t>
            </w:r>
          </w:p>
        </w:tc>
      </w:tr>
      <w:tr w:rsidRPr="00800820" w:rsidR="00800820" w14:paraId="518DB503"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5E2DBF91"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t>Published in English</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1C1AF74B"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t>Published in languages other than English</w:t>
            </w:r>
          </w:p>
        </w:tc>
      </w:tr>
      <w:tr w:rsidRPr="00800820" w:rsidR="00800820" w14:paraId="6A8BF75B"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446619D8"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t>Published between 2020 and 2026</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1BFA4093"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t>Published before 2020</w:t>
            </w:r>
          </w:p>
        </w:tc>
      </w:tr>
      <w:tr w:rsidRPr="00800820" w:rsidR="00800820" w14:paraId="7F593076"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169D417E"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lastRenderedPageBreak/>
              <w:t>Examined telemedicine, digital health or remote consultations in relation to healthcare access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29E633AD"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t>Studies not focused on telemedicine or healthcare access</w:t>
            </w:r>
          </w:p>
        </w:tc>
      </w:tr>
      <w:tr w:rsidRPr="00800820" w:rsidR="00800820" w14:paraId="596B10F5"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1BA51D0D"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t>Relevant to NHS or UK healthcare practice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28582AB4"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t>Studies not relevant to UK healthcare practice</w:t>
            </w:r>
          </w:p>
        </w:tc>
      </w:tr>
      <w:tr w:rsidRPr="00800820" w:rsidR="00800820" w14:paraId="457DE232"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7B767179"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t>Addressed the review question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0820" w:rsidR="00800820" w:rsidP="00800820" w:rsidRDefault="00800820" w14:paraId="09EC336F" w14:textId="77777777">
            <w:pPr>
              <w:spacing w:before="100" w:beforeAutospacing="1" w:after="100" w:afterAutospacing="1" w:line="240" w:lineRule="auto"/>
              <w:rPr>
                <w:rFonts w:ascii="Arial" w:hAnsi="Arial" w:eastAsia="Times New Roman" w:cs="Arial"/>
                <w:sz w:val="22"/>
                <w:lang w:val="en-US"/>
              </w:rPr>
            </w:pPr>
            <w:r w:rsidRPr="00800820">
              <w:rPr>
                <w:rFonts w:ascii="Arial" w:hAnsi="Arial" w:eastAsia="Times New Roman" w:cs="Arial"/>
                <w:sz w:val="22"/>
                <w:lang w:val="en-US"/>
              </w:rPr>
              <w:t>Studies that did not address the review question</w:t>
            </w:r>
          </w:p>
        </w:tc>
      </w:tr>
    </w:tbl>
    <w:p w:rsidRPr="00A71D2D" w:rsidR="00A71D2D" w:rsidP="00A71D2D" w:rsidRDefault="00A71D2D" w14:paraId="3EFD0876" w14:textId="77777777">
      <w:pPr>
        <w:spacing w:line="360" w:lineRule="auto"/>
        <w:rPr>
          <w:rFonts w:ascii="Arial" w:hAnsi="Arial" w:cs="Arial"/>
          <w:sz w:val="22"/>
          <w:lang w:val="en-US"/>
        </w:rPr>
      </w:pPr>
    </w:p>
    <w:p w:rsidRPr="00E011CA" w:rsidR="00E011CA" w:rsidP="00E011CA" w:rsidRDefault="00E011CA" w14:paraId="4EF00005" w14:textId="77777777">
      <w:pPr>
        <w:tabs>
          <w:tab w:val="left" w:pos="6540"/>
        </w:tabs>
        <w:spacing w:line="360" w:lineRule="auto"/>
        <w:jc w:val="both"/>
        <w:rPr>
          <w:rFonts w:asciiTheme="minorBidi" w:hAnsiTheme="minorBidi"/>
          <w:sz w:val="22"/>
          <w:lang w:val="en-US"/>
        </w:rPr>
      </w:pPr>
      <w:r w:rsidRPr="00E011CA">
        <w:rPr>
          <w:rFonts w:asciiTheme="minorBidi" w:hAnsiTheme="minorBidi"/>
          <w:sz w:val="22"/>
          <w:lang w:val="en-US"/>
        </w:rPr>
        <w:t>3.4 Study Selection and Data Extraction</w:t>
      </w:r>
    </w:p>
    <w:p w:rsidR="00E011CA" w:rsidP="00E011CA" w:rsidRDefault="00E011CA" w14:paraId="683D99CE" w14:textId="77777777">
      <w:pPr>
        <w:tabs>
          <w:tab w:val="left" w:pos="6540"/>
        </w:tabs>
        <w:spacing w:line="360" w:lineRule="auto"/>
        <w:jc w:val="both"/>
      </w:pPr>
      <w:r w:rsidRPr="22A5FA13" w:rsidR="00E011CA">
        <w:rPr>
          <w:rFonts w:ascii="Arial" w:hAnsi="Arial" w:asciiTheme="minorBidi" w:hAnsiTheme="minorBidi"/>
          <w:sz w:val="22"/>
          <w:szCs w:val="22"/>
          <w:lang w:val="en-US"/>
        </w:rPr>
        <w:t>After applying the eligibility criteria, the retrieved studies were first screened by examining their titles and abstracts. Those meeting the inclusion criteria were then evaluated in full to confirm their relevance for the review. Key details from each included study, such as the author, publication year, aims, methodology and main findings, were systematically documented using a structured data extraction sheet. These data facilitated comparison between the included studies and supported the subsequent thematic analysis. The extracted information is presented in Table 2.</w:t>
      </w:r>
    </w:p>
    <w:p w:rsidR="22A5FA13" w:rsidP="22A5FA13" w:rsidRDefault="22A5FA13" w14:paraId="15E37718" w14:textId="7A34B142">
      <w:pPr>
        <w:tabs>
          <w:tab w:val="left" w:leader="none" w:pos="6540"/>
        </w:tabs>
        <w:spacing w:line="360" w:lineRule="auto"/>
        <w:jc w:val="both"/>
        <w:rPr>
          <w:rFonts w:ascii="Arial" w:hAnsi="Arial" w:asciiTheme="minorBidi" w:hAnsiTheme="minorBidi"/>
          <w:sz w:val="22"/>
          <w:szCs w:val="22"/>
          <w:lang w:val="en-US"/>
        </w:rPr>
      </w:pPr>
    </w:p>
    <w:p w:rsidR="22A5FA13" w:rsidP="22A5FA13" w:rsidRDefault="22A5FA13" w14:paraId="0459F824" w14:textId="31E80A23">
      <w:pPr>
        <w:tabs>
          <w:tab w:val="left" w:leader="none" w:pos="6540"/>
        </w:tabs>
        <w:spacing w:line="360" w:lineRule="auto"/>
        <w:jc w:val="both"/>
        <w:rPr>
          <w:rFonts w:ascii="Arial" w:hAnsi="Arial" w:asciiTheme="minorBidi" w:hAnsiTheme="minorBidi"/>
          <w:sz w:val="22"/>
          <w:szCs w:val="22"/>
          <w:lang w:val="en-US"/>
        </w:rPr>
      </w:pPr>
    </w:p>
    <w:p w:rsidR="22A5FA13" w:rsidP="22A5FA13" w:rsidRDefault="22A5FA13" w14:paraId="525C7FCF" w14:textId="59281A3C">
      <w:pPr>
        <w:tabs>
          <w:tab w:val="left" w:leader="none" w:pos="6540"/>
        </w:tabs>
        <w:spacing w:line="360" w:lineRule="auto"/>
        <w:jc w:val="both"/>
        <w:rPr>
          <w:rFonts w:ascii="Arial" w:hAnsi="Arial" w:asciiTheme="minorBidi" w:hAnsiTheme="minorBidi"/>
          <w:sz w:val="22"/>
          <w:szCs w:val="22"/>
          <w:lang w:val="en-US"/>
        </w:rPr>
      </w:pPr>
    </w:p>
    <w:p w:rsidR="22A5FA13" w:rsidP="22A5FA13" w:rsidRDefault="22A5FA13" w14:paraId="51952F94" w14:textId="2E47F487">
      <w:pPr>
        <w:tabs>
          <w:tab w:val="left" w:leader="none" w:pos="6540"/>
        </w:tabs>
        <w:spacing w:line="360" w:lineRule="auto"/>
        <w:jc w:val="both"/>
        <w:rPr>
          <w:rFonts w:ascii="Arial" w:hAnsi="Arial" w:asciiTheme="minorBidi" w:hAnsiTheme="minorBidi"/>
          <w:sz w:val="22"/>
          <w:szCs w:val="22"/>
          <w:lang w:val="en-US"/>
        </w:rPr>
      </w:pPr>
    </w:p>
    <w:p w:rsidR="22A5FA13" w:rsidP="22A5FA13" w:rsidRDefault="22A5FA13" w14:paraId="7743FA1C" w14:textId="3F3653CD">
      <w:pPr>
        <w:tabs>
          <w:tab w:val="left" w:leader="none" w:pos="6540"/>
        </w:tabs>
        <w:spacing w:line="360" w:lineRule="auto"/>
        <w:jc w:val="both"/>
        <w:rPr>
          <w:rFonts w:ascii="Arial" w:hAnsi="Arial" w:asciiTheme="minorBidi" w:hAnsiTheme="minorBidi"/>
          <w:sz w:val="22"/>
          <w:szCs w:val="22"/>
          <w:lang w:val="en-US"/>
        </w:rPr>
      </w:pPr>
    </w:p>
    <w:p w:rsidR="22A5FA13" w:rsidP="22A5FA13" w:rsidRDefault="22A5FA13" w14:paraId="3F660A93" w14:textId="1790BEFE">
      <w:pPr>
        <w:tabs>
          <w:tab w:val="left" w:leader="none" w:pos="6540"/>
        </w:tabs>
        <w:spacing w:line="360" w:lineRule="auto"/>
        <w:jc w:val="both"/>
        <w:rPr>
          <w:rFonts w:ascii="Arial" w:hAnsi="Arial" w:asciiTheme="minorBidi" w:hAnsiTheme="minorBidi"/>
          <w:sz w:val="22"/>
          <w:szCs w:val="22"/>
          <w:lang w:val="en-US"/>
        </w:rPr>
      </w:pPr>
    </w:p>
    <w:p w:rsidR="22A5FA13" w:rsidP="22A5FA13" w:rsidRDefault="22A5FA13" w14:paraId="4664162B" w14:textId="746F4516">
      <w:pPr>
        <w:tabs>
          <w:tab w:val="left" w:leader="none" w:pos="6540"/>
        </w:tabs>
        <w:spacing w:line="360" w:lineRule="auto"/>
        <w:jc w:val="both"/>
        <w:rPr>
          <w:rFonts w:ascii="Arial" w:hAnsi="Arial" w:asciiTheme="minorBidi" w:hAnsiTheme="minorBidi"/>
          <w:sz w:val="22"/>
          <w:szCs w:val="22"/>
          <w:lang w:val="en-US"/>
        </w:rPr>
      </w:pPr>
    </w:p>
    <w:p w:rsidR="00EC26C1" w:rsidP="22A5FA13" w:rsidRDefault="00EC26C1" w14:paraId="4DF64F98" w14:textId="338DFD5A">
      <w:pPr>
        <w:tabs>
          <w:tab w:val="left" w:pos="6540"/>
        </w:tabs>
        <w:spacing w:line="360" w:lineRule="auto"/>
        <w:jc w:val="both"/>
        <w:rPr>
          <w:rFonts w:ascii="Arial" w:hAnsi="Arial" w:asciiTheme="minorBidi" w:hAnsiTheme="minorBidi"/>
          <w:sz w:val="22"/>
          <w:szCs w:val="22"/>
          <w:lang w:val="en-US"/>
        </w:rPr>
      </w:pPr>
      <w:r w:rsidRPr="22A5FA13" w:rsidR="007D4B4A">
        <w:rPr>
          <w:rFonts w:ascii="Arial" w:hAnsi="Arial" w:asciiTheme="minorBidi" w:hAnsiTheme="minorBidi"/>
          <w:sz w:val="22"/>
          <w:szCs w:val="22"/>
          <w:lang w:val="en-US"/>
        </w:rPr>
        <w:t>Table 2. Data Extraction Summary of Included Studies</w:t>
      </w:r>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960"/>
        <w:gridCol w:w="2109"/>
        <w:gridCol w:w="2440"/>
        <w:gridCol w:w="3501"/>
      </w:tblGrid>
      <w:tr w:rsidRPr="0028527C" w:rsidR="0028527C" w14:paraId="09CDBF62"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287451DA" w14:textId="77777777">
            <w:pPr>
              <w:spacing w:before="100" w:beforeAutospacing="1" w:after="100" w:afterAutospacing="1" w:line="240" w:lineRule="auto"/>
              <w:jc w:val="center"/>
              <w:rPr>
                <w:rFonts w:ascii="Arial" w:hAnsi="Arial" w:eastAsia="Times New Roman" w:cs="Arial"/>
                <w:sz w:val="22"/>
                <w:lang w:val="en-US"/>
              </w:rPr>
            </w:pPr>
            <w:r w:rsidRPr="0028527C">
              <w:rPr>
                <w:rFonts w:ascii="Arial" w:hAnsi="Arial" w:eastAsia="Times New Roman" w:cs="Arial"/>
                <w:sz w:val="22"/>
                <w:lang w:val="en-US"/>
              </w:rPr>
              <w:t>Article citation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1174ECB8" w14:textId="77777777">
            <w:pPr>
              <w:spacing w:before="100" w:beforeAutospacing="1" w:after="100" w:afterAutospacing="1" w:line="240" w:lineRule="auto"/>
              <w:jc w:val="center"/>
              <w:rPr>
                <w:rFonts w:ascii="Arial" w:hAnsi="Arial" w:eastAsia="Times New Roman" w:cs="Arial"/>
                <w:sz w:val="22"/>
                <w:lang w:val="en-US"/>
              </w:rPr>
            </w:pPr>
            <w:r w:rsidRPr="0028527C">
              <w:rPr>
                <w:rFonts w:ascii="Arial" w:hAnsi="Arial" w:eastAsia="Times New Roman" w:cs="Arial"/>
                <w:sz w:val="22"/>
                <w:lang w:val="en-US"/>
              </w:rPr>
              <w:t>Aim of study</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4DA9FE1F" w14:textId="77777777">
            <w:pPr>
              <w:spacing w:before="100" w:beforeAutospacing="1" w:after="100" w:afterAutospacing="1" w:line="240" w:lineRule="auto"/>
              <w:jc w:val="center"/>
              <w:rPr>
                <w:rFonts w:ascii="Arial" w:hAnsi="Arial" w:eastAsia="Times New Roman" w:cs="Arial"/>
                <w:sz w:val="22"/>
                <w:lang w:val="en-US"/>
              </w:rPr>
            </w:pPr>
            <w:r w:rsidRPr="0028527C">
              <w:rPr>
                <w:rFonts w:ascii="Arial" w:hAnsi="Arial" w:eastAsia="Times New Roman" w:cs="Arial"/>
                <w:sz w:val="22"/>
                <w:lang w:val="en-US"/>
              </w:rPr>
              <w:t>Methods, sample size and characteristics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0D86DCB5" w14:textId="77777777">
            <w:pPr>
              <w:spacing w:before="100" w:beforeAutospacing="1" w:after="100" w:afterAutospacing="1" w:line="240" w:lineRule="auto"/>
              <w:jc w:val="center"/>
              <w:rPr>
                <w:rFonts w:ascii="Arial" w:hAnsi="Arial" w:eastAsia="Times New Roman" w:cs="Arial"/>
                <w:sz w:val="22"/>
                <w:lang w:val="en-US"/>
              </w:rPr>
            </w:pPr>
            <w:r w:rsidRPr="0028527C">
              <w:rPr>
                <w:rFonts w:ascii="Arial" w:hAnsi="Arial" w:eastAsia="Times New Roman" w:cs="Arial"/>
                <w:sz w:val="22"/>
                <w:lang w:val="en-US"/>
              </w:rPr>
              <w:t>Summary of main findings</w:t>
            </w:r>
          </w:p>
        </w:tc>
      </w:tr>
      <w:tr w:rsidRPr="0028527C" w:rsidR="0028527C" w14:paraId="0F2BD871"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3533CBD9"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Murphy, M. et al. (2021)</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1F2014FB"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To examine the implementation of remote consulting in UK primary care during the COVID-19 pandemic.</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2CD1B029"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Mixed-methods longitudinal study involving UK general practice, including interviews, observations and routine practice data.</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035FD99C"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 xml:space="preserve">Remote </w:t>
            </w:r>
            <w:proofErr w:type="gramStart"/>
            <w:r w:rsidRPr="0028527C">
              <w:rPr>
                <w:rFonts w:ascii="Arial" w:hAnsi="Arial" w:eastAsia="Times New Roman" w:cs="Arial"/>
                <w:sz w:val="22"/>
                <w:lang w:val="en-US"/>
              </w:rPr>
              <w:t>consulting maintained</w:t>
            </w:r>
            <w:proofErr w:type="gramEnd"/>
            <w:r w:rsidRPr="0028527C">
              <w:rPr>
                <w:rFonts w:ascii="Arial" w:hAnsi="Arial" w:eastAsia="Times New Roman" w:cs="Arial"/>
                <w:sz w:val="22"/>
                <w:lang w:val="en-US"/>
              </w:rPr>
              <w:t xml:space="preserve"> access to primary care and improved service continuity, but highlighted implementation challenges, communication issues and digital exclusion.</w:t>
            </w:r>
          </w:p>
        </w:tc>
      </w:tr>
      <w:tr w:rsidRPr="0028527C" w:rsidR="0028527C" w14:paraId="34FA6D0D"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201B2552"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Parker, R.F. et al. (2021)</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4C736C17"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To systematically review inequalities associated with remote consultations in general practice.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03069C21"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Systematic review of published studies examining inequalities in remote consultation use.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2FA05570"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Remote consultations improved access for many patients but risked increasing inequalities among older adults, digitally excluded groups and socioeconomically disadvantaged populations.</w:t>
            </w:r>
          </w:p>
        </w:tc>
      </w:tr>
      <w:tr w:rsidRPr="0028527C" w:rsidR="0028527C" w14:paraId="29AF9B35"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06366185"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lastRenderedPageBreak/>
              <w:t>Carrillo de Albornoz, S. et al. (2022)</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6F47DDF7"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To evaluate the effectiveness of telemedicine in improving healthcare access.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331B44D7"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Systematic review of telemedicine interventions across healthcare settings.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382CCC8A"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 xml:space="preserve">Telemedicine reduced geographical and logistical barriers to </w:t>
            </w:r>
            <w:proofErr w:type="gramStart"/>
            <w:r w:rsidRPr="0028527C">
              <w:rPr>
                <w:rFonts w:ascii="Arial" w:hAnsi="Arial" w:eastAsia="Times New Roman" w:cs="Arial"/>
                <w:sz w:val="22"/>
                <w:lang w:val="en-US"/>
              </w:rPr>
              <w:t>healthcare</w:t>
            </w:r>
            <w:proofErr w:type="gramEnd"/>
            <w:r w:rsidRPr="0028527C">
              <w:rPr>
                <w:rFonts w:ascii="Arial" w:hAnsi="Arial" w:eastAsia="Times New Roman" w:cs="Arial"/>
                <w:sz w:val="22"/>
                <w:lang w:val="en-US"/>
              </w:rPr>
              <w:t xml:space="preserve"> but equitable access remained dependent on digital inclusion and technological availability.</w:t>
            </w:r>
          </w:p>
        </w:tc>
      </w:tr>
      <w:tr w:rsidRPr="0028527C" w:rsidR="0028527C" w14:paraId="06E30A79"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50E20842"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Campbell, K. et al. (2023)</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0A63BB2C"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To assess the impact of virtual consultations on the quality of primary care.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2F104FBE"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Systematic review of studies evaluating virtual consultations in primary care.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1FCFEDD0"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Virtual consultations improved convenience, efficiency and continuity of care, although evidence suggested they should complement rather than replace face-to-face consultations.</w:t>
            </w:r>
          </w:p>
        </w:tc>
      </w:tr>
      <w:tr w:rsidRPr="0028527C" w:rsidR="0028527C" w14:paraId="1EB33940"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4F15897D"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Greenhalgh, T. et al. (2024)</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08486FD5"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To identify the training needs of staff delivering remote services in UK general practice.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5DF6F5AD"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Mixed-methods study involving healthcare professionals working in general practice.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28527C" w:rsidR="0028527C" w:rsidP="0028527C" w:rsidRDefault="0028527C" w14:paraId="663BC9A2" w14:textId="77777777">
            <w:pPr>
              <w:spacing w:before="100" w:beforeAutospacing="1" w:after="100" w:afterAutospacing="1" w:line="240" w:lineRule="auto"/>
              <w:rPr>
                <w:rFonts w:ascii="Arial" w:hAnsi="Arial" w:eastAsia="Times New Roman" w:cs="Arial"/>
                <w:sz w:val="22"/>
                <w:lang w:val="en-US"/>
              </w:rPr>
            </w:pPr>
            <w:r w:rsidRPr="0028527C">
              <w:rPr>
                <w:rFonts w:ascii="Arial" w:hAnsi="Arial" w:eastAsia="Times New Roman" w:cs="Arial"/>
                <w:sz w:val="22"/>
                <w:lang w:val="en-US"/>
              </w:rPr>
              <w:t xml:space="preserve">Effective telemedicine requires staff training, </w:t>
            </w:r>
            <w:proofErr w:type="spellStart"/>
            <w:r w:rsidRPr="0028527C">
              <w:rPr>
                <w:rFonts w:ascii="Arial" w:hAnsi="Arial" w:eastAsia="Times New Roman" w:cs="Arial"/>
                <w:sz w:val="22"/>
                <w:lang w:val="en-US"/>
              </w:rPr>
              <w:t>organisational</w:t>
            </w:r>
            <w:proofErr w:type="spellEnd"/>
            <w:r w:rsidRPr="0028527C">
              <w:rPr>
                <w:rFonts w:ascii="Arial" w:hAnsi="Arial" w:eastAsia="Times New Roman" w:cs="Arial"/>
                <w:sz w:val="22"/>
                <w:lang w:val="en-US"/>
              </w:rPr>
              <w:t xml:space="preserve"> support and digital competencies to deliver safe, patient-</w:t>
            </w:r>
            <w:proofErr w:type="spellStart"/>
            <w:r w:rsidRPr="0028527C">
              <w:rPr>
                <w:rFonts w:ascii="Arial" w:hAnsi="Arial" w:eastAsia="Times New Roman" w:cs="Arial"/>
                <w:sz w:val="22"/>
                <w:lang w:val="en-US"/>
              </w:rPr>
              <w:t>centred</w:t>
            </w:r>
            <w:proofErr w:type="spellEnd"/>
            <w:r w:rsidRPr="0028527C">
              <w:rPr>
                <w:rFonts w:ascii="Arial" w:hAnsi="Arial" w:eastAsia="Times New Roman" w:cs="Arial"/>
                <w:sz w:val="22"/>
                <w:lang w:val="en-US"/>
              </w:rPr>
              <w:t xml:space="preserve"> remote care.</w:t>
            </w:r>
          </w:p>
        </w:tc>
      </w:tr>
    </w:tbl>
    <w:p w:rsidR="00500066" w:rsidP="00CE0C93" w:rsidRDefault="00500066" w14:paraId="6A1C3B01" w14:textId="77777777">
      <w:pPr>
        <w:tabs>
          <w:tab w:val="left" w:pos="6540"/>
        </w:tabs>
        <w:spacing w:line="360" w:lineRule="auto"/>
        <w:jc w:val="both"/>
        <w:rPr>
          <w:rFonts w:asciiTheme="minorBidi" w:hAnsiTheme="minorBidi"/>
          <w:sz w:val="22"/>
          <w:lang w:val="en-US"/>
        </w:rPr>
      </w:pPr>
    </w:p>
    <w:p w:rsidR="22A5FA13" w:rsidP="22A5FA13" w:rsidRDefault="22A5FA13" w14:paraId="13670111" w14:textId="47384188">
      <w:pPr>
        <w:tabs>
          <w:tab w:val="left" w:leader="none" w:pos="6540"/>
        </w:tabs>
        <w:spacing w:line="360" w:lineRule="auto"/>
        <w:jc w:val="both"/>
        <w:rPr>
          <w:rFonts w:ascii="Arial" w:hAnsi="Arial" w:asciiTheme="minorBidi" w:hAnsiTheme="minorBidi"/>
          <w:sz w:val="22"/>
          <w:szCs w:val="22"/>
          <w:lang w:val="en-US"/>
        </w:rPr>
      </w:pPr>
    </w:p>
    <w:p w:rsidR="22A5FA13" w:rsidP="22A5FA13" w:rsidRDefault="22A5FA13" w14:paraId="5AE0F794" w14:textId="54D1E739">
      <w:pPr>
        <w:tabs>
          <w:tab w:val="left" w:leader="none" w:pos="6540"/>
        </w:tabs>
        <w:spacing w:line="360" w:lineRule="auto"/>
        <w:jc w:val="both"/>
        <w:rPr>
          <w:rFonts w:ascii="Arial" w:hAnsi="Arial" w:asciiTheme="minorBidi" w:hAnsiTheme="minorBidi"/>
          <w:sz w:val="22"/>
          <w:szCs w:val="22"/>
          <w:lang w:val="en-US"/>
        </w:rPr>
      </w:pPr>
    </w:p>
    <w:p w:rsidR="008D76B3" w:rsidP="00CE0C93" w:rsidRDefault="008D76B3" w14:paraId="574FB7BF" w14:textId="7612E55E">
      <w:pPr>
        <w:tabs>
          <w:tab w:val="left" w:pos="6540"/>
        </w:tabs>
        <w:spacing w:line="360" w:lineRule="auto"/>
        <w:jc w:val="both"/>
        <w:rPr>
          <w:rFonts w:asciiTheme="minorBidi" w:hAnsiTheme="minorBidi"/>
          <w:sz w:val="22"/>
          <w:lang w:val="en-US"/>
        </w:rPr>
      </w:pPr>
      <w:r w:rsidRPr="008D76B3">
        <w:rPr>
          <w:rFonts w:asciiTheme="minorBidi" w:hAnsiTheme="minorBidi"/>
          <w:sz w:val="22"/>
          <w:lang w:val="en-US"/>
        </w:rPr>
        <w:t>3.5 Data Analysis </w:t>
      </w:r>
    </w:p>
    <w:p w:rsidR="007D4B4A" w:rsidP="00CE0C93" w:rsidRDefault="00080019" w14:paraId="5CF02317" w14:textId="617123B7">
      <w:pPr>
        <w:tabs>
          <w:tab w:val="left" w:pos="6540"/>
        </w:tabs>
        <w:spacing w:line="360" w:lineRule="auto"/>
        <w:jc w:val="both"/>
        <w:rPr>
          <w:rFonts w:asciiTheme="minorBidi" w:hAnsiTheme="minorBidi"/>
          <w:sz w:val="22"/>
          <w:lang w:val="en-US"/>
        </w:rPr>
      </w:pPr>
      <w:r w:rsidRPr="00080019">
        <w:rPr>
          <w:rFonts w:asciiTheme="minorBidi" w:hAnsiTheme="minorBidi"/>
          <w:sz w:val="22"/>
          <w:lang w:val="en-US"/>
        </w:rPr>
        <w:t xml:space="preserve">The extracted data were examined using thematic analysis to identify common patterns and themes across the included studies. Notes from each study were reviewed and compared to identify similarities and differences relating to telemedicine and access to NHS healthcare services. The identified themes were </w:t>
      </w:r>
      <w:proofErr w:type="spellStart"/>
      <w:r w:rsidRPr="00080019">
        <w:rPr>
          <w:rFonts w:asciiTheme="minorBidi" w:hAnsiTheme="minorBidi"/>
          <w:sz w:val="22"/>
          <w:lang w:val="en-US"/>
        </w:rPr>
        <w:t>organised</w:t>
      </w:r>
      <w:proofErr w:type="spellEnd"/>
      <w:r w:rsidRPr="00080019">
        <w:rPr>
          <w:rFonts w:asciiTheme="minorBidi" w:hAnsiTheme="minorBidi"/>
          <w:sz w:val="22"/>
          <w:lang w:val="en-US"/>
        </w:rPr>
        <w:t xml:space="preserve"> according to shared findings and interpreted in relation to the review question. This approach enabled the evidence to be </w:t>
      </w:r>
      <w:proofErr w:type="spellStart"/>
      <w:r w:rsidRPr="00080019">
        <w:rPr>
          <w:rFonts w:asciiTheme="minorBidi" w:hAnsiTheme="minorBidi"/>
          <w:sz w:val="22"/>
          <w:lang w:val="en-US"/>
        </w:rPr>
        <w:t>synthesised</w:t>
      </w:r>
      <w:proofErr w:type="spellEnd"/>
      <w:r w:rsidRPr="00080019">
        <w:rPr>
          <w:rFonts w:asciiTheme="minorBidi" w:hAnsiTheme="minorBidi"/>
          <w:sz w:val="22"/>
          <w:lang w:val="en-US"/>
        </w:rPr>
        <w:t xml:space="preserve"> in a clear and structured manner while highlighting the key issues identified within the existing literature.</w:t>
      </w:r>
    </w:p>
    <w:p w:rsidRPr="00E16BFB" w:rsidR="007D4B4A" w:rsidP="00CE0C93" w:rsidRDefault="0086250B" w14:paraId="0F92A678" w14:textId="01EF85E4">
      <w:pPr>
        <w:tabs>
          <w:tab w:val="left" w:pos="6540"/>
        </w:tabs>
        <w:spacing w:line="360" w:lineRule="auto"/>
        <w:jc w:val="both"/>
        <w:rPr>
          <w:rFonts w:asciiTheme="minorBidi" w:hAnsiTheme="minorBidi"/>
          <w:sz w:val="22"/>
          <w:lang w:val="en-US"/>
        </w:rPr>
      </w:pPr>
      <w:r>
        <w:rPr>
          <w:rFonts w:asciiTheme="minorBidi" w:hAnsiTheme="minorBidi"/>
          <w:sz w:val="22"/>
          <w:lang w:val="en-US"/>
        </w:rPr>
        <w:t>4. Results</w:t>
      </w:r>
    </w:p>
    <w:p w:rsidR="0086250B" w:rsidP="00CE0C93" w:rsidRDefault="00704341" w14:paraId="578C1425" w14:textId="77777777">
      <w:pPr>
        <w:pStyle w:val="p1"/>
        <w:spacing w:line="360" w:lineRule="auto"/>
        <w:jc w:val="both"/>
        <w:rPr>
          <w:rFonts w:ascii="Arial" w:hAnsi="Arial" w:cs="Arial"/>
          <w:sz w:val="22"/>
        </w:rPr>
      </w:pPr>
      <w:r w:rsidRPr="00704341">
        <w:rPr>
          <w:rFonts w:ascii="Arial" w:hAnsi="Arial" w:cs="Arial"/>
          <w:sz w:val="22"/>
        </w:rPr>
        <w:t>4.1 Overview of Findings</w:t>
      </w:r>
    </w:p>
    <w:p w:rsidRPr="00F03FA3" w:rsidR="00F03FA3" w:rsidP="00CE0C93" w:rsidRDefault="00F03FA3" w14:paraId="54444F5E" w14:textId="639F168F">
      <w:pPr>
        <w:pStyle w:val="p1"/>
        <w:spacing w:line="360" w:lineRule="auto"/>
        <w:jc w:val="both"/>
        <w:rPr>
          <w:rFonts w:ascii="Arial" w:hAnsi="Arial" w:cs="Arial"/>
          <w:sz w:val="22"/>
        </w:rPr>
      </w:pPr>
      <w:r w:rsidRPr="00F03FA3">
        <w:rPr>
          <w:rFonts w:ascii="Arial" w:hAnsi="Arial" w:cs="Arial"/>
          <w:sz w:val="22"/>
        </w:rPr>
        <w:t xml:space="preserve">The reviewed literature identified several common themes regarding the role of telemedicine in improving access to NHS healthcare services following the COVID-19 pandemic. Overall, the evidence demonstrated that telemedicine enhanced accessibility by reducing travel </w:t>
      </w:r>
      <w:r w:rsidRPr="00F03FA3">
        <w:rPr>
          <w:rFonts w:ascii="Arial" w:hAnsi="Arial" w:cs="Arial"/>
          <w:sz w:val="22"/>
        </w:rPr>
        <w:lastRenderedPageBreak/>
        <w:t xml:space="preserve">requirements, increasing appointment flexibility, and supporting continuity of care. Many studies also reported positive patient experiences, particularly in relation to the convenience and satisfaction associated with remote consultations. However, the literature consistently highlighted challenges, including digital exclusion, technological barriers, and concerns regarding equitable access to healthcare services. These findings were </w:t>
      </w:r>
      <w:proofErr w:type="spellStart"/>
      <w:r w:rsidRPr="00F03FA3">
        <w:rPr>
          <w:rFonts w:ascii="Arial" w:hAnsi="Arial" w:cs="Arial"/>
          <w:sz w:val="22"/>
        </w:rPr>
        <w:t>organised</w:t>
      </w:r>
      <w:proofErr w:type="spellEnd"/>
      <w:r w:rsidRPr="00F03FA3">
        <w:rPr>
          <w:rFonts w:ascii="Arial" w:hAnsi="Arial" w:cs="Arial"/>
          <w:sz w:val="22"/>
        </w:rPr>
        <w:t xml:space="preserve"> into four key themes to address the review question and research objectives.</w:t>
      </w:r>
    </w:p>
    <w:p w:rsidRPr="00F03FA3" w:rsidR="00F03FA3" w:rsidP="00CE0C93" w:rsidRDefault="00F03FA3" w14:paraId="7C22B8D0" w14:textId="380DBEB8">
      <w:pPr>
        <w:pStyle w:val="p1"/>
        <w:spacing w:line="360" w:lineRule="auto"/>
        <w:jc w:val="both"/>
        <w:rPr>
          <w:rFonts w:ascii="Arial" w:hAnsi="Arial" w:cs="Arial"/>
          <w:sz w:val="22"/>
        </w:rPr>
      </w:pPr>
      <w:r w:rsidRPr="00F03FA3">
        <w:rPr>
          <w:rFonts w:ascii="Arial" w:hAnsi="Arial" w:cs="Arial"/>
          <w:sz w:val="22"/>
        </w:rPr>
        <w:t>Following the screening and eligibility assessment, seven sources of evidence were included in this scoping review. These comprised three research studies and four policy and guidance documents. Together, the included sources examined the effectiveness of telemedicine in improving healthcare access, the implementation of remote consultations within NHS primary care, digital exclusion and health inequalities, and the policy context supporting digital transformation in healthcare.</w:t>
      </w:r>
    </w:p>
    <w:p w:rsidR="00EC26C1" w:rsidP="006755BE" w:rsidRDefault="00F03FA3" w14:paraId="18E95DB8" w14:textId="1F4ABE49">
      <w:pPr>
        <w:pStyle w:val="p1"/>
        <w:spacing w:line="360" w:lineRule="auto"/>
        <w:jc w:val="both"/>
      </w:pPr>
      <w:r w:rsidRPr="22A5FA13" w:rsidR="00F03FA3">
        <w:rPr>
          <w:rFonts w:ascii="Arial" w:hAnsi="Arial" w:cs="Arial"/>
          <w:sz w:val="22"/>
          <w:szCs w:val="22"/>
        </w:rPr>
        <w:t>Table 1 present</w:t>
      </w:r>
      <w:r w:rsidRPr="22A5FA13" w:rsidR="00EA5002">
        <w:rPr>
          <w:rFonts w:ascii="Arial" w:hAnsi="Arial" w:cs="Arial"/>
          <w:sz w:val="22"/>
          <w:szCs w:val="22"/>
        </w:rPr>
        <w:t>s</w:t>
      </w:r>
      <w:r w:rsidRPr="22A5FA13" w:rsidR="00F03FA3">
        <w:rPr>
          <w:rFonts w:ascii="Arial" w:hAnsi="Arial" w:cs="Arial"/>
          <w:sz w:val="22"/>
          <w:szCs w:val="22"/>
        </w:rPr>
        <w:t xml:space="preserve"> the characteristics of the included research studies and policy and guidance sources, providing an overview of the evidence base before the findings are </w:t>
      </w:r>
      <w:r w:rsidRPr="22A5FA13" w:rsidR="00F03FA3">
        <w:rPr>
          <w:rFonts w:ascii="Arial" w:hAnsi="Arial" w:cs="Arial"/>
          <w:sz w:val="22"/>
          <w:szCs w:val="22"/>
        </w:rPr>
        <w:t>synthesised</w:t>
      </w:r>
      <w:r w:rsidRPr="22A5FA13" w:rsidR="00F03FA3">
        <w:rPr>
          <w:rFonts w:ascii="Arial" w:hAnsi="Arial" w:cs="Arial"/>
          <w:sz w:val="22"/>
          <w:szCs w:val="22"/>
        </w:rPr>
        <w:t xml:space="preserve"> according to the four themes </w:t>
      </w:r>
      <w:r w:rsidRPr="22A5FA13" w:rsidR="00F03FA3">
        <w:rPr>
          <w:rFonts w:ascii="Arial" w:hAnsi="Arial" w:cs="Arial"/>
          <w:sz w:val="22"/>
          <w:szCs w:val="22"/>
        </w:rPr>
        <w:t>identified</w:t>
      </w:r>
      <w:r w:rsidRPr="22A5FA13" w:rsidR="00F03FA3">
        <w:rPr>
          <w:rFonts w:ascii="Arial" w:hAnsi="Arial" w:cs="Arial"/>
          <w:sz w:val="22"/>
          <w:szCs w:val="22"/>
        </w:rPr>
        <w:t xml:space="preserve"> in this review</w:t>
      </w:r>
      <w:r w:rsidRPr="22A5FA13" w:rsidR="686EB103">
        <w:rPr>
          <w:rFonts w:ascii="Arial" w:hAnsi="Arial" w:cs="Arial"/>
          <w:sz w:val="22"/>
          <w:szCs w:val="22"/>
        </w:rPr>
        <w:t>.</w:t>
      </w:r>
    </w:p>
    <w:p w:rsidRPr="006D7296" w:rsidR="00002C89" w:rsidP="22A5FA13" w:rsidRDefault="00AC22DB" w14:paraId="274BEB5B" w14:textId="5FDE7C43">
      <w:pPr>
        <w:pStyle w:val="p1"/>
        <w:spacing w:before="100" w:beforeAutospacing="1" w:after="100" w:afterAutospacing="1" w:line="360" w:lineRule="auto"/>
        <w:jc w:val="both"/>
        <w:rPr>
          <w:rFonts w:ascii="Arial" w:hAnsi="Arial" w:cs="Arial"/>
          <w:sz w:val="22"/>
          <w:szCs w:val="22"/>
        </w:rPr>
      </w:pPr>
    </w:p>
    <w:p w:rsidRPr="006D7296" w:rsidR="00002C89" w:rsidP="22A5FA13" w:rsidRDefault="00AC22DB" w14:paraId="21604553" w14:textId="08F2A58B">
      <w:pPr>
        <w:pStyle w:val="Normal"/>
        <w:spacing w:before="100" w:beforeAutospacing="1" w:after="100" w:afterAutospacing="1" w:line="360" w:lineRule="auto"/>
        <w:jc w:val="both"/>
        <w:rPr>
          <w:rFonts w:ascii="Arial" w:hAnsi="Arial" w:cs="Arial"/>
          <w:sz w:val="22"/>
          <w:szCs w:val="22"/>
        </w:rPr>
      </w:pPr>
    </w:p>
    <w:p w:rsidRPr="006D7296" w:rsidR="00002C89" w:rsidP="22A5FA13" w:rsidRDefault="00AC22DB" w14:paraId="001FFE6F" w14:textId="624BD8F2">
      <w:pPr>
        <w:pStyle w:val="Normal"/>
        <w:spacing w:before="100" w:beforeAutospacing="1" w:after="100" w:afterAutospacing="1" w:line="360" w:lineRule="auto"/>
        <w:jc w:val="both"/>
        <w:rPr>
          <w:rFonts w:eastAsia="Times New Roman" w:cs="Times New Roman"/>
          <w:lang w:val="en-US"/>
        </w:rPr>
      </w:pPr>
      <w:r w:rsidRPr="22A5FA13" w:rsidR="00AC22DB">
        <w:rPr>
          <w:rFonts w:ascii="Arial" w:hAnsi="Arial" w:cs="Arial"/>
          <w:sz w:val="22"/>
          <w:szCs w:val="22"/>
        </w:rPr>
        <w:t>Table 1</w:t>
      </w:r>
      <w:r w:rsidRPr="22A5FA13" w:rsidR="003C3FAF">
        <w:rPr>
          <w:rFonts w:ascii="Arial" w:hAnsi="Arial" w:cs="Arial"/>
          <w:sz w:val="22"/>
          <w:szCs w:val="22"/>
        </w:rPr>
        <w:t xml:space="preserve">. </w:t>
      </w:r>
      <w:r w:rsidRPr="22A5FA13" w:rsidR="003C3FAF">
        <w:rPr>
          <w:rFonts w:ascii="Arial" w:hAnsi="Arial" w:eastAsia="Times New Roman" w:cs="Arial"/>
          <w:sz w:val="22"/>
          <w:szCs w:val="22"/>
          <w:lang w:val="en-US"/>
        </w:rPr>
        <w:t>Characteristics of Included Research Studies</w:t>
      </w:r>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1176"/>
        <w:gridCol w:w="1202"/>
        <w:gridCol w:w="4271"/>
        <w:gridCol w:w="2361"/>
      </w:tblGrid>
      <w:tr w:rsidRPr="00EE04F0" w:rsidR="00EE04F0" w14:paraId="4C21B8DE"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4BD44988" w14:textId="77777777">
            <w:pPr>
              <w:spacing w:before="100" w:beforeAutospacing="1" w:after="100" w:afterAutospacing="1" w:line="240" w:lineRule="auto"/>
              <w:jc w:val="center"/>
              <w:rPr>
                <w:rFonts w:ascii="Arial" w:hAnsi="Arial" w:eastAsia="Times New Roman" w:cs="Arial"/>
                <w:sz w:val="22"/>
                <w:lang w:val="en-US"/>
              </w:rPr>
            </w:pPr>
            <w:r w:rsidRPr="00EE04F0">
              <w:rPr>
                <w:rFonts w:ascii="Arial" w:hAnsi="Arial" w:eastAsia="Times New Roman" w:cs="Arial"/>
                <w:sz w:val="22"/>
                <w:lang w:val="en-US"/>
              </w:rPr>
              <w:t>Study</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2A15BBD3" w14:textId="77777777">
            <w:pPr>
              <w:spacing w:before="100" w:beforeAutospacing="1" w:after="100" w:afterAutospacing="1" w:line="240" w:lineRule="auto"/>
              <w:jc w:val="center"/>
              <w:rPr>
                <w:rFonts w:ascii="Arial" w:hAnsi="Arial" w:eastAsia="Times New Roman" w:cs="Arial"/>
                <w:sz w:val="22"/>
                <w:lang w:val="en-US"/>
              </w:rPr>
            </w:pPr>
            <w:r w:rsidRPr="00EE04F0">
              <w:rPr>
                <w:rFonts w:ascii="Arial" w:hAnsi="Arial" w:eastAsia="Times New Roman" w:cs="Arial"/>
                <w:sz w:val="22"/>
                <w:lang w:val="en-US"/>
              </w:rPr>
              <w:t>Study Design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1ED36A31" w14:textId="77777777">
            <w:pPr>
              <w:spacing w:before="100" w:beforeAutospacing="1" w:after="100" w:afterAutospacing="1" w:line="240" w:lineRule="auto"/>
              <w:jc w:val="center"/>
              <w:rPr>
                <w:rFonts w:ascii="Arial" w:hAnsi="Arial" w:eastAsia="Times New Roman" w:cs="Arial"/>
                <w:sz w:val="22"/>
                <w:lang w:val="en-US"/>
              </w:rPr>
            </w:pPr>
            <w:r w:rsidRPr="00EE04F0">
              <w:rPr>
                <w:rFonts w:ascii="Arial" w:hAnsi="Arial" w:eastAsia="Times New Roman" w:cs="Arial"/>
                <w:sz w:val="22"/>
                <w:lang w:val="en-US"/>
              </w:rPr>
              <w:t>Key Findings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2F9D99CA" w14:textId="77777777">
            <w:pPr>
              <w:spacing w:before="100" w:beforeAutospacing="1" w:after="100" w:afterAutospacing="1" w:line="240" w:lineRule="auto"/>
              <w:jc w:val="center"/>
              <w:rPr>
                <w:rFonts w:ascii="Arial" w:hAnsi="Arial" w:eastAsia="Times New Roman" w:cs="Arial"/>
                <w:sz w:val="22"/>
                <w:lang w:val="en-US"/>
              </w:rPr>
            </w:pPr>
            <w:r w:rsidRPr="00EE04F0">
              <w:rPr>
                <w:rFonts w:ascii="Arial" w:hAnsi="Arial" w:eastAsia="Times New Roman" w:cs="Arial"/>
                <w:sz w:val="22"/>
                <w:lang w:val="en-US"/>
              </w:rPr>
              <w:t>Relevance to the Review</w:t>
            </w:r>
          </w:p>
        </w:tc>
      </w:tr>
      <w:tr w:rsidRPr="00EE04F0" w:rsidR="00EE04F0" w14:paraId="196BDDFA"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44BDF85C"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Carrillo de Albornoz et al. (2022)</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46EDC7D9"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Systematic review</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2B18B549"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Telemedicine improved healthcare access by reducing geographical and logistical barriers, although inequalities remained for digitally excluded populations.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6DEF891C"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Demonstrates the effectiveness of telemedicine in improving healthcare access.</w:t>
            </w:r>
          </w:p>
        </w:tc>
      </w:tr>
      <w:tr w:rsidRPr="00EE04F0" w:rsidR="00EE04F0" w14:paraId="53CFDF98"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5A2F7B63"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Murphy et al. (2021)</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6A9D6E50"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Mixed-methods longitudinal study</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349DDBBD"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 xml:space="preserve">Remote </w:t>
            </w:r>
            <w:proofErr w:type="gramStart"/>
            <w:r w:rsidRPr="00EE04F0">
              <w:rPr>
                <w:rFonts w:ascii="Arial" w:hAnsi="Arial" w:eastAsia="Times New Roman" w:cs="Arial"/>
                <w:sz w:val="22"/>
                <w:lang w:val="en-US"/>
              </w:rPr>
              <w:t>consulting maintained</w:t>
            </w:r>
            <w:proofErr w:type="gramEnd"/>
            <w:r w:rsidRPr="00EE04F0">
              <w:rPr>
                <w:rFonts w:ascii="Arial" w:hAnsi="Arial" w:eastAsia="Times New Roman" w:cs="Arial"/>
                <w:sz w:val="22"/>
                <w:lang w:val="en-US"/>
              </w:rPr>
              <w:t xml:space="preserve"> access to NHS primary care during COVID-19 but highlighted implementation and communication challenges.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2703B1FC"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Provides evidence of telemedicine implementation within NHS primary care.</w:t>
            </w:r>
          </w:p>
        </w:tc>
      </w:tr>
      <w:tr w:rsidRPr="00EE04F0" w:rsidR="00EE04F0" w14:paraId="5DBD0421"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68C1BC42"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Parker et al. (2021)</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6B601B59"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Systematic review</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61060A55"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Remote consultations may increase inequalities for vulnerable and digitally excluded groups.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EE04F0" w:rsidR="00EE04F0" w:rsidP="00EE04F0" w:rsidRDefault="00EE04F0" w14:paraId="3FC75963" w14:textId="77777777">
            <w:pPr>
              <w:spacing w:before="100" w:beforeAutospacing="1" w:after="100" w:afterAutospacing="1" w:line="240" w:lineRule="auto"/>
              <w:rPr>
                <w:rFonts w:ascii="Arial" w:hAnsi="Arial" w:eastAsia="Times New Roman" w:cs="Arial"/>
                <w:sz w:val="22"/>
                <w:lang w:val="en-US"/>
              </w:rPr>
            </w:pPr>
            <w:r w:rsidRPr="00EE04F0">
              <w:rPr>
                <w:rFonts w:ascii="Arial" w:hAnsi="Arial" w:eastAsia="Times New Roman" w:cs="Arial"/>
                <w:sz w:val="22"/>
                <w:lang w:val="en-US"/>
              </w:rPr>
              <w:t>Highlights barriers to equitable access and the importance of digital inclusion.</w:t>
            </w:r>
          </w:p>
        </w:tc>
      </w:tr>
    </w:tbl>
    <w:p w:rsidR="00472DA4" w:rsidP="22A5FA13" w:rsidRDefault="00472DA4" w14:paraId="007E28CA" w14:textId="397DC873">
      <w:pPr>
        <w:pStyle w:val="p1"/>
        <w:spacing w:beforeAutospacing="on" w:afterAutospacing="on" w:line="240" w:lineRule="auto"/>
        <w:rPr>
          <w:rFonts w:ascii="Arial" w:hAnsi="Arial" w:cs="Arial"/>
          <w:sz w:val="22"/>
          <w:szCs w:val="22"/>
        </w:rPr>
      </w:pPr>
    </w:p>
    <w:p w:rsidRPr="00BF4EA4" w:rsidR="0020774D" w:rsidP="00002C89" w:rsidRDefault="00E02C46" w14:paraId="3D032A66" w14:textId="0F8F1DFD">
      <w:pPr>
        <w:pStyle w:val="p1"/>
        <w:spacing w:line="360" w:lineRule="auto"/>
        <w:rPr>
          <w:rFonts w:ascii="Arial" w:hAnsi="Arial" w:cs="Arial"/>
          <w:sz w:val="22"/>
          <w:szCs w:val="22"/>
        </w:rPr>
      </w:pPr>
      <w:r w:rsidRPr="00E02C46">
        <w:rPr>
          <w:rFonts w:ascii="Arial" w:hAnsi="Arial" w:cs="Arial"/>
          <w:sz w:val="22"/>
          <w:szCs w:val="22"/>
        </w:rPr>
        <w:lastRenderedPageBreak/>
        <w:t>4.2 Improved Access to NHS Healthcare Services</w:t>
      </w:r>
    </w:p>
    <w:p w:rsidRPr="00671987" w:rsidR="00B35F49" w:rsidP="00671987" w:rsidRDefault="00B35F49" w14:paraId="02BBDDCD" w14:textId="77777777">
      <w:pPr>
        <w:pStyle w:val="p1"/>
        <w:spacing w:line="360" w:lineRule="auto"/>
        <w:jc w:val="both"/>
        <w:rPr>
          <w:rFonts w:ascii="Arial" w:hAnsi="Arial" w:cs="Arial"/>
          <w:sz w:val="22"/>
          <w:szCs w:val="22"/>
        </w:rPr>
      </w:pPr>
      <w:r w:rsidRPr="00B35F49">
        <w:rPr>
          <w:rFonts w:ascii="Arial" w:hAnsi="Arial" w:cs="Arial"/>
          <w:sz w:val="22"/>
          <w:szCs w:val="22"/>
        </w:rPr>
        <w:t>The literature consistently demonstrates that telemedicine has improved access to NHS healthcare services following the COVID-19 pandemic. Several studies reported that remote consultations reduced the need for travel, making healthcare more accessible for individuals living in rural areas, patients with mobility limitations, and those managing long-term health conditions (Murphy et al., 2021; Carrillo de Albornoz et al., 2022). The increased availability of telephone and video consultations also enhanced flexibility, enabling patients to access healthcare more conveniently while supporting continuity of care (Murphy et al., 2021; NHS England, 2019). Furthermore, the rapid implementation of telemedicine helped maintain healthcare services during periods of disruption, reducing delays in patient care (Murphy et al., 2021). Overall, the evidence suggests that telemedicine has become an important component of NHS service delivery by improving accessibility and supporting more flexible models of healthcare provision (Carrillo de Albornoz et al., 2022; NHS England, 2019).</w:t>
      </w:r>
    </w:p>
    <w:p w:rsidRPr="00671987" w:rsidR="00B70CFF" w:rsidP="00671987" w:rsidRDefault="00B85A5B" w14:paraId="70EECBBF" w14:textId="77777777">
      <w:pPr>
        <w:pStyle w:val="p1"/>
        <w:jc w:val="both"/>
        <w:rPr>
          <w:rFonts w:ascii="Arial" w:hAnsi="Arial" w:cs="Arial"/>
          <w:sz w:val="22"/>
          <w:szCs w:val="22"/>
        </w:rPr>
      </w:pPr>
      <w:r w:rsidRPr="00671987">
        <w:rPr>
          <w:rFonts w:ascii="Arial" w:hAnsi="Arial" w:cs="Arial"/>
          <w:sz w:val="22"/>
          <w:szCs w:val="22"/>
        </w:rPr>
        <w:t>4.3</w:t>
      </w:r>
      <w:r w:rsidRPr="00671987" w:rsidR="00F215BD">
        <w:rPr>
          <w:rFonts w:ascii="Arial" w:hAnsi="Arial" w:cs="Arial"/>
          <w:sz w:val="22"/>
          <w:szCs w:val="22"/>
        </w:rPr>
        <w:t xml:space="preserve"> </w:t>
      </w:r>
      <w:r w:rsidRPr="00671987" w:rsidR="00B70CFF">
        <w:rPr>
          <w:rFonts w:ascii="Arial" w:hAnsi="Arial" w:cs="Arial"/>
          <w:sz w:val="22"/>
          <w:szCs w:val="22"/>
        </w:rPr>
        <w:t>Patient Experience and Satisfaction</w:t>
      </w:r>
    </w:p>
    <w:p w:rsidRPr="00671987" w:rsidR="00F215BD" w:rsidP="00671987" w:rsidRDefault="00F215BD" w14:paraId="73B890D2" w14:textId="77777777">
      <w:pPr>
        <w:pStyle w:val="p1"/>
        <w:spacing w:line="360" w:lineRule="auto"/>
        <w:jc w:val="both"/>
        <w:rPr>
          <w:rFonts w:ascii="Arial" w:hAnsi="Arial" w:cs="Arial"/>
          <w:sz w:val="22"/>
          <w:szCs w:val="22"/>
        </w:rPr>
      </w:pPr>
      <w:r w:rsidRPr="00F215BD">
        <w:rPr>
          <w:rFonts w:ascii="Arial" w:hAnsi="Arial" w:cs="Arial"/>
          <w:sz w:val="22"/>
          <w:szCs w:val="22"/>
        </w:rPr>
        <w:t>Research suggests that telemedicine generally improved patient experience and satisfaction within NHS services. Multiple studies highlighted that patients appreciated the convenience of remote consultations, particularly due to reduced travel, greater flexibility, and shorter waiting times for appointments (Parker et al., 2021; Carrillo de Albornoz et al., 2022). Patients with long-term conditions also benefited from maintaining regular contact with healthcare professionals without the need for frequent face-to-face appointments (Murphy et al., 2021). In addition, many patients considered remote consultations to be both efficient and accessible, particularly for routine health concerns and follow-up appointments. Nonetheless, some studies indicated that satisfaction levels varied according to individual circumstances, with some patients preferring face-to-face consultations for more complex or sensitive healthcare needs (Parker et al., 2021; Shaw et al., 2022).</w:t>
      </w:r>
    </w:p>
    <w:p w:rsidRPr="00671987" w:rsidR="00764EC0" w:rsidP="00671987" w:rsidRDefault="00810490" w14:paraId="691046BC" w14:textId="2558E651">
      <w:pPr>
        <w:pStyle w:val="p1"/>
        <w:spacing w:line="360" w:lineRule="auto"/>
        <w:jc w:val="both"/>
        <w:rPr>
          <w:rFonts w:ascii="Arial" w:hAnsi="Arial" w:cs="Arial"/>
          <w:sz w:val="22"/>
          <w:szCs w:val="22"/>
        </w:rPr>
      </w:pPr>
      <w:r w:rsidRPr="00810490">
        <w:rPr>
          <w:rFonts w:ascii="Arial" w:hAnsi="Arial" w:cs="Arial"/>
          <w:sz w:val="22"/>
          <w:szCs w:val="22"/>
        </w:rPr>
        <w:t>4.4 – Barriers to Telemedicine</w:t>
      </w:r>
    </w:p>
    <w:p w:rsidRPr="001969AF" w:rsidR="001969AF" w:rsidP="00671987" w:rsidRDefault="001969AF" w14:paraId="10C07A9E" w14:textId="77777777">
      <w:pPr>
        <w:pStyle w:val="p1"/>
        <w:spacing w:line="360" w:lineRule="auto"/>
        <w:jc w:val="both"/>
        <w:rPr>
          <w:rFonts w:ascii="Arial" w:hAnsi="Arial" w:cs="Arial"/>
          <w:sz w:val="22"/>
          <w:szCs w:val="22"/>
        </w:rPr>
      </w:pPr>
      <w:r w:rsidRPr="001969AF">
        <w:rPr>
          <w:rFonts w:ascii="Arial" w:hAnsi="Arial" w:cs="Arial"/>
          <w:sz w:val="22"/>
          <w:szCs w:val="22"/>
        </w:rPr>
        <w:t xml:space="preserve">The examined literature highlighted several obstacles that limited the effectiveness of telemedicine within NHS healthcare services. Digital exclusion emerged as one of the </w:t>
      </w:r>
      <w:proofErr w:type="gramStart"/>
      <w:r w:rsidRPr="001969AF">
        <w:rPr>
          <w:rFonts w:ascii="Arial" w:hAnsi="Arial" w:cs="Arial"/>
          <w:sz w:val="22"/>
          <w:szCs w:val="22"/>
        </w:rPr>
        <w:t>most commonly reported</w:t>
      </w:r>
      <w:proofErr w:type="gramEnd"/>
      <w:r w:rsidRPr="001969AF">
        <w:rPr>
          <w:rFonts w:ascii="Arial" w:hAnsi="Arial" w:cs="Arial"/>
          <w:sz w:val="22"/>
          <w:szCs w:val="22"/>
        </w:rPr>
        <w:t xml:space="preserve"> challenges, with older adults, individuals from lower socioeconomic backgrounds, and those with limited digital literacy facing greater difficulties in accessing remote healthcare services (Shaw et al., 2022; WHO, 2021). Technical issues, including poor internet connectivity, limited access to suitable devices, and software difficulties, also disrupted remote consultations and affected the quality of patient care (Carrillo de Albornoz et </w:t>
      </w:r>
      <w:r w:rsidRPr="001969AF">
        <w:rPr>
          <w:rFonts w:ascii="Arial" w:hAnsi="Arial" w:cs="Arial"/>
          <w:sz w:val="22"/>
          <w:szCs w:val="22"/>
        </w:rPr>
        <w:lastRenderedPageBreak/>
        <w:t>al., 2022). Additionally, some healthcare professionals expressed concerns about the inability to perform physical examinations remotely, limiting the suitability of telemedicine for more complex clinical assessments. These findings suggest that, while telemedicine offers considerable benefits, addressing technological and social barriers is essential to ensure equitable access and maintain high-quality NHS healthcare services.</w:t>
      </w:r>
    </w:p>
    <w:p w:rsidRPr="00671987" w:rsidR="005B599F" w:rsidP="00671987" w:rsidRDefault="005B599F" w14:paraId="183A0227" w14:textId="77777777">
      <w:pPr>
        <w:pStyle w:val="p1"/>
        <w:spacing w:line="360" w:lineRule="auto"/>
        <w:jc w:val="both"/>
        <w:rPr>
          <w:rFonts w:ascii="Arial" w:hAnsi="Arial" w:cs="Arial"/>
          <w:sz w:val="22"/>
          <w:szCs w:val="22"/>
        </w:rPr>
      </w:pPr>
      <w:r w:rsidRPr="005B599F">
        <w:rPr>
          <w:rFonts w:ascii="Arial" w:hAnsi="Arial" w:cs="Arial"/>
          <w:sz w:val="22"/>
          <w:szCs w:val="22"/>
        </w:rPr>
        <w:t>4.5 – Implications for Future NHS Practice</w:t>
      </w:r>
    </w:p>
    <w:p w:rsidRPr="00671987" w:rsidR="003C20BB" w:rsidP="00671987" w:rsidRDefault="00AE6C4B" w14:paraId="4A752928" w14:textId="45E3CBEF">
      <w:pPr>
        <w:pStyle w:val="p1"/>
        <w:spacing w:line="360" w:lineRule="auto"/>
        <w:jc w:val="both"/>
        <w:rPr>
          <w:rFonts w:ascii="Arial" w:hAnsi="Arial" w:cs="Arial"/>
          <w:sz w:val="22"/>
          <w:szCs w:val="22"/>
        </w:rPr>
      </w:pPr>
      <w:r w:rsidRPr="00AE6C4B">
        <w:rPr>
          <w:rFonts w:ascii="Arial" w:hAnsi="Arial" w:cs="Arial"/>
          <w:sz w:val="22"/>
          <w:szCs w:val="22"/>
        </w:rPr>
        <w:t>The reviewed literature indicates that telemedicine is poised to remain a key component of NHS healthcare delivery beyond the COVID-19 pandemic. Several studies highlighted that remote consultations should complement, rather than replace, face-to-face care, enabling more flexible and patient-</w:t>
      </w:r>
      <w:proofErr w:type="spellStart"/>
      <w:r w:rsidRPr="00AE6C4B">
        <w:rPr>
          <w:rFonts w:ascii="Arial" w:hAnsi="Arial" w:cs="Arial"/>
          <w:sz w:val="22"/>
          <w:szCs w:val="22"/>
        </w:rPr>
        <w:t>centred</w:t>
      </w:r>
      <w:proofErr w:type="spellEnd"/>
      <w:r w:rsidRPr="00AE6C4B">
        <w:rPr>
          <w:rFonts w:ascii="Arial" w:hAnsi="Arial" w:cs="Arial"/>
          <w:sz w:val="22"/>
          <w:szCs w:val="22"/>
        </w:rPr>
        <w:t xml:space="preserve"> healthcare services (Murphy et al., 2021; Shaw et al., 2022). The findings also </w:t>
      </w:r>
      <w:proofErr w:type="spellStart"/>
      <w:r w:rsidRPr="00AE6C4B">
        <w:rPr>
          <w:rFonts w:ascii="Arial" w:hAnsi="Arial" w:cs="Arial"/>
          <w:sz w:val="22"/>
          <w:szCs w:val="22"/>
        </w:rPr>
        <w:t>emphasised</w:t>
      </w:r>
      <w:proofErr w:type="spellEnd"/>
      <w:r w:rsidRPr="00AE6C4B">
        <w:rPr>
          <w:rFonts w:ascii="Arial" w:hAnsi="Arial" w:cs="Arial"/>
          <w:sz w:val="22"/>
          <w:szCs w:val="22"/>
        </w:rPr>
        <w:t xml:space="preserve"> the importance of continued investment in digital infrastructure, staff training, and patient support to enhance the long-term sustainability of telemedicine services. Additionally, addressing digital exclusion and ensuring equitable access were identified as essential priorities for future NHS practice. Overall, the evidence suggests that a hybrid approach—combining remote and in-person consultations where clinically appropriate—offers the greatest potential to improve healthcare access while maintaining the quality and safety of patient care. Findings across NHS teleconsultation studies and the wider digital health literature consistently support hybrid models rather than the complete replacement of face-to-face care.</w:t>
      </w:r>
    </w:p>
    <w:p w:rsidRPr="00671987" w:rsidR="00A37F72" w:rsidP="22A5FA13" w:rsidRDefault="00A37F72" w14:paraId="5481B8B7" w14:textId="63B0DFD1">
      <w:pPr>
        <w:pStyle w:val="Normal"/>
        <w:tabs>
          <w:tab w:val="left" w:pos="6540"/>
        </w:tabs>
        <w:spacing w:line="360" w:lineRule="auto"/>
        <w:jc w:val="both"/>
        <w:rPr>
          <w:rFonts w:ascii="Arial" w:hAnsi="Arial" w:cs="Arial"/>
          <w:sz w:val="22"/>
          <w:szCs w:val="22"/>
          <w:lang w:val="en-US"/>
        </w:rPr>
      </w:pPr>
      <w:r w:rsidRPr="22A5FA13" w:rsidR="00A37F72">
        <w:rPr>
          <w:rFonts w:ascii="Arial" w:hAnsi="Arial" w:cs="Arial"/>
          <w:sz w:val="22"/>
          <w:szCs w:val="22"/>
          <w:lang w:val="en-US"/>
        </w:rPr>
        <w:t>5. Discussion</w:t>
      </w:r>
    </w:p>
    <w:p w:rsidRPr="00671987" w:rsidR="00CA1A5F" w:rsidP="00671987" w:rsidRDefault="00CA1A5F" w14:paraId="0AD0D69F" w14:textId="77777777">
      <w:pPr>
        <w:tabs>
          <w:tab w:val="left" w:pos="6540"/>
        </w:tabs>
        <w:spacing w:line="360" w:lineRule="auto"/>
        <w:jc w:val="both"/>
        <w:rPr>
          <w:rFonts w:ascii="Arial" w:hAnsi="Arial" w:cs="Arial"/>
          <w:sz w:val="22"/>
          <w:lang w:val="en-US"/>
        </w:rPr>
      </w:pPr>
      <w:r w:rsidRPr="00CA1A5F">
        <w:rPr>
          <w:rFonts w:ascii="Arial" w:hAnsi="Arial" w:cs="Arial"/>
          <w:sz w:val="22"/>
          <w:lang w:val="en-US"/>
        </w:rPr>
        <w:t>5.1 Principal Findings</w:t>
      </w:r>
    </w:p>
    <w:p w:rsidRPr="00BC0765" w:rsidR="00BC0765" w:rsidP="00671987" w:rsidRDefault="00BC0765" w14:paraId="2AB99697" w14:textId="77777777">
      <w:pPr>
        <w:tabs>
          <w:tab w:val="left" w:pos="6540"/>
        </w:tabs>
        <w:spacing w:line="360" w:lineRule="auto"/>
        <w:jc w:val="both"/>
        <w:rPr>
          <w:rFonts w:ascii="Arial" w:hAnsi="Arial" w:cs="Arial"/>
          <w:sz w:val="22"/>
          <w:lang w:val="en-US"/>
        </w:rPr>
      </w:pPr>
      <w:r w:rsidRPr="00BC0765">
        <w:rPr>
          <w:rFonts w:ascii="Arial" w:hAnsi="Arial" w:cs="Arial"/>
          <w:sz w:val="22"/>
          <w:lang w:val="en-US"/>
        </w:rPr>
        <w:t xml:space="preserve">This scoping review examined the impact of telemedicine on access to NHS healthcare services in the post-COVID-19 UK context. Overall, the findings indicate that telemedicine has become an important component of modern healthcare delivery by improving access to services, supporting continuity of care, and enhancing patient convenience. Many patients reported positive experiences with remote consultations, particularly for routine appointments and the management of long-term conditions. However, the review also identified barriers, including digital exclusion, technological limitations, and the inability to conduct physical examinations, which continue to hinder equitable healthcare delivery. Overall, these findings </w:t>
      </w:r>
      <w:r w:rsidRPr="00BC0765">
        <w:rPr>
          <w:rFonts w:ascii="Arial" w:hAnsi="Arial" w:cs="Arial"/>
          <w:sz w:val="22"/>
          <w:lang w:val="en-US"/>
        </w:rPr>
        <w:lastRenderedPageBreak/>
        <w:t>suggest that telemedicine is most effective when implemented as part of a hybrid model of care that combines remote and face-to-face services where clinically appropriate.</w:t>
      </w:r>
    </w:p>
    <w:p w:rsidRPr="00671987" w:rsidR="008D6A67" w:rsidP="00671987" w:rsidRDefault="008D6A67" w14:paraId="32B3FBF7" w14:textId="77777777">
      <w:pPr>
        <w:tabs>
          <w:tab w:val="left" w:pos="6540"/>
        </w:tabs>
        <w:spacing w:line="360" w:lineRule="auto"/>
        <w:jc w:val="both"/>
        <w:rPr>
          <w:rFonts w:ascii="Arial" w:hAnsi="Arial" w:cs="Arial"/>
          <w:sz w:val="22"/>
          <w:lang w:val="en-US"/>
        </w:rPr>
      </w:pPr>
      <w:r w:rsidRPr="008D6A67">
        <w:rPr>
          <w:rFonts w:ascii="Arial" w:hAnsi="Arial" w:cs="Arial"/>
          <w:sz w:val="22"/>
          <w:lang w:val="en-US"/>
        </w:rPr>
        <w:t>5.2 Interpretation of Findings</w:t>
      </w:r>
    </w:p>
    <w:p w:rsidRPr="00671987" w:rsidR="00A66ABB" w:rsidP="00671987" w:rsidRDefault="00A66ABB" w14:paraId="18CEE18F" w14:textId="77777777">
      <w:pPr>
        <w:tabs>
          <w:tab w:val="left" w:pos="6540"/>
        </w:tabs>
        <w:spacing w:line="360" w:lineRule="auto"/>
        <w:jc w:val="both"/>
        <w:rPr>
          <w:rFonts w:ascii="Arial" w:hAnsi="Arial" w:eastAsia="Times New Roman" w:cs="Arial"/>
          <w:sz w:val="22"/>
          <w:lang w:val="en-US"/>
        </w:rPr>
      </w:pPr>
      <w:r w:rsidRPr="00A66ABB">
        <w:rPr>
          <w:rFonts w:ascii="Arial" w:hAnsi="Arial" w:eastAsia="Times New Roman" w:cs="Arial"/>
          <w:sz w:val="22"/>
          <w:lang w:val="en-US"/>
        </w:rPr>
        <w:t xml:space="preserve">This review indicates that telemedicine has become an effective approach to improving access to NHS healthcare services following the COVID-19 pandemic. Increased accessibility was consistently associated with reduced travel requirements, greater convenience, and improved continuity of care, particularly for patients with long-term conditions and those living in rural or underserved areas. These findings reinforce the view that telemedicine can reduce practical barriers to healthcare while enabling services to be delivered more efficiently. However, the findings also demonstrate that improved access does not necessarily guarantee equitable access. </w:t>
      </w:r>
      <w:proofErr w:type="gramStart"/>
      <w:r w:rsidRPr="00A66ABB">
        <w:rPr>
          <w:rFonts w:ascii="Arial" w:hAnsi="Arial" w:eastAsia="Times New Roman" w:cs="Arial"/>
          <w:sz w:val="22"/>
          <w:lang w:val="en-US"/>
        </w:rPr>
        <w:t>Digital exclusion,</w:t>
      </w:r>
      <w:proofErr w:type="gramEnd"/>
      <w:r w:rsidRPr="00A66ABB">
        <w:rPr>
          <w:rFonts w:ascii="Arial" w:hAnsi="Arial" w:eastAsia="Times New Roman" w:cs="Arial"/>
          <w:sz w:val="22"/>
          <w:lang w:val="en-US"/>
        </w:rPr>
        <w:t xml:space="preserve"> limited digital literacy, poor internet connectivity, and unequal access to suitable devices continue to prevent some patient groups from fully benefiting from remote healthcare. This highlights that although telemedicine has improved healthcare access for many patients, its long-term success within the NHS will depend on addressing digital inequalities alongside continued investment in technology, infrastructure, and patient support.</w:t>
      </w:r>
    </w:p>
    <w:p w:rsidRPr="00671987" w:rsidR="004A41DE" w:rsidP="00671987" w:rsidRDefault="004A41DE" w14:paraId="144DD3F5" w14:textId="2DA0BEAA">
      <w:pPr>
        <w:tabs>
          <w:tab w:val="left" w:pos="6540"/>
        </w:tabs>
        <w:spacing w:line="360" w:lineRule="auto"/>
        <w:jc w:val="both"/>
        <w:rPr>
          <w:rFonts w:ascii="Arial" w:hAnsi="Arial" w:eastAsia="Times New Roman" w:cs="Arial"/>
          <w:sz w:val="22"/>
          <w:lang w:val="en-US"/>
        </w:rPr>
      </w:pPr>
      <w:r w:rsidRPr="004A41DE">
        <w:rPr>
          <w:rFonts w:ascii="Arial" w:hAnsi="Arial" w:eastAsia="Times New Roman" w:cs="Arial"/>
          <w:sz w:val="22"/>
          <w:lang w:val="en-US"/>
        </w:rPr>
        <w:t>5.3 Strengths and Limitations.</w:t>
      </w:r>
    </w:p>
    <w:p w:rsidRPr="00671987" w:rsidR="001B6AB9" w:rsidP="00671987" w:rsidRDefault="001B6AB9" w14:paraId="44154842" w14:textId="77777777">
      <w:pPr>
        <w:tabs>
          <w:tab w:val="left" w:pos="6540"/>
        </w:tabs>
        <w:spacing w:line="360" w:lineRule="auto"/>
        <w:jc w:val="both"/>
        <w:rPr>
          <w:rFonts w:ascii="Arial" w:hAnsi="Arial" w:eastAsia="Times New Roman" w:cs="Arial"/>
          <w:sz w:val="22"/>
          <w:lang w:val="en-US"/>
        </w:rPr>
      </w:pPr>
      <w:r w:rsidRPr="001B6AB9">
        <w:rPr>
          <w:rFonts w:ascii="Arial" w:hAnsi="Arial" w:eastAsia="Times New Roman" w:cs="Arial"/>
          <w:sz w:val="22"/>
          <w:lang w:val="en-US"/>
        </w:rPr>
        <w:t xml:space="preserve">This scoping review has several strengths. It followed a structured and transparent approach to identifying, selecting, and </w:t>
      </w:r>
      <w:proofErr w:type="spellStart"/>
      <w:r w:rsidRPr="001B6AB9">
        <w:rPr>
          <w:rFonts w:ascii="Arial" w:hAnsi="Arial" w:eastAsia="Times New Roman" w:cs="Arial"/>
          <w:sz w:val="22"/>
          <w:lang w:val="en-US"/>
        </w:rPr>
        <w:t>synthesising</w:t>
      </w:r>
      <w:proofErr w:type="spellEnd"/>
      <w:r w:rsidRPr="001B6AB9">
        <w:rPr>
          <w:rFonts w:ascii="Arial" w:hAnsi="Arial" w:eastAsia="Times New Roman" w:cs="Arial"/>
          <w:sz w:val="22"/>
          <w:lang w:val="en-US"/>
        </w:rPr>
        <w:t xml:space="preserve"> relevant literature, providing a broad overview of the evidence relating to telemedicine in post-COVID-19 NHS practice. The inclusion of studies from a range of healthcare settings also enabled a comprehensive understanding of the opportunities and challenges associated with telemedicine implementation. However, several limitations should be acknowledged. The review included only English-language publications and focused on literature published between 2020 and 2026, meaning that relevant studies published in other languages or outside this timeframe may have been excluded. Furthermore, as a scoping review, no formal quality appraisal of the included studies was undertaken; therefore, the findings should be interpreted as a synthesis of the available evidence rather than an assessment of its quality. Despite these limitations, the review provides a valuable overview of the current evidence and identifies important areas for future research and NHS service development.</w:t>
      </w:r>
    </w:p>
    <w:p w:rsidRPr="00671987" w:rsidR="00F64140" w:rsidP="00671987" w:rsidRDefault="00F64140" w14:paraId="2545794E" w14:textId="25F20056">
      <w:pPr>
        <w:tabs>
          <w:tab w:val="left" w:pos="6540"/>
        </w:tabs>
        <w:spacing w:line="360" w:lineRule="auto"/>
        <w:jc w:val="both"/>
        <w:rPr>
          <w:rFonts w:ascii="Arial" w:hAnsi="Arial" w:eastAsia="Times New Roman" w:cs="Arial"/>
          <w:sz w:val="22"/>
          <w:lang w:val="en-US"/>
        </w:rPr>
      </w:pPr>
      <w:r w:rsidRPr="00F64140">
        <w:rPr>
          <w:rFonts w:ascii="Arial" w:hAnsi="Arial" w:eastAsia="Times New Roman" w:cs="Arial"/>
          <w:sz w:val="22"/>
          <w:lang w:val="en-US"/>
        </w:rPr>
        <w:t>5.4 Implications for NHS Practice.</w:t>
      </w:r>
    </w:p>
    <w:p w:rsidRPr="00127D67" w:rsidR="00646199" w:rsidP="00671987" w:rsidRDefault="00127D67" w14:paraId="703CD593" w14:textId="7F98A2DF">
      <w:pPr>
        <w:tabs>
          <w:tab w:val="left" w:pos="6540"/>
        </w:tabs>
        <w:spacing w:line="360" w:lineRule="auto"/>
        <w:jc w:val="both"/>
        <w:rPr>
          <w:rFonts w:ascii="Arial" w:hAnsi="Arial" w:eastAsia="Times New Roman" w:cs="Arial"/>
          <w:sz w:val="22"/>
          <w:lang w:val="en-US"/>
        </w:rPr>
      </w:pPr>
      <w:r w:rsidRPr="00127D67">
        <w:rPr>
          <w:rFonts w:ascii="Arial" w:hAnsi="Arial" w:eastAsia="Times New Roman" w:cs="Arial"/>
          <w:sz w:val="22"/>
          <w:lang w:val="en-US"/>
        </w:rPr>
        <w:t xml:space="preserve">The findings of this review have important implications for the future delivery of NHS healthcare services. While telemedicine has demonstrated considerable potential to improve access, convenience, and continuity of care, its long-term success will depend on its effective integration into routine clinical practice. The findings support the continued use of a hybrid </w:t>
      </w:r>
      <w:r w:rsidRPr="00127D67">
        <w:rPr>
          <w:rFonts w:ascii="Arial" w:hAnsi="Arial" w:eastAsia="Times New Roman" w:cs="Arial"/>
          <w:sz w:val="22"/>
          <w:lang w:val="en-US"/>
        </w:rPr>
        <w:lastRenderedPageBreak/>
        <w:t xml:space="preserve">model of care that combines remote and face-to-face consultations according to patients’ clinical needs and preferences. Such an approach has the potential to </w:t>
      </w:r>
      <w:proofErr w:type="spellStart"/>
      <w:r w:rsidRPr="00127D67">
        <w:rPr>
          <w:rFonts w:ascii="Arial" w:hAnsi="Arial" w:eastAsia="Times New Roman" w:cs="Arial"/>
          <w:sz w:val="22"/>
          <w:lang w:val="en-US"/>
        </w:rPr>
        <w:t>maximise</w:t>
      </w:r>
      <w:proofErr w:type="spellEnd"/>
      <w:r w:rsidRPr="00127D67">
        <w:rPr>
          <w:rFonts w:ascii="Arial" w:hAnsi="Arial" w:eastAsia="Times New Roman" w:cs="Arial"/>
          <w:sz w:val="22"/>
          <w:lang w:val="en-US"/>
        </w:rPr>
        <w:t xml:space="preserve"> accessibility while ensuring that patients requiring physical examinations or more complex assessments continue to receive appropriate in-person care. Furthermore, continued investment in digital infrastructure, staff training, and patient support will be essential to address digital inequalities and promote equitable access to healthcare services. By addressing these challenges, the NHS can strengthen the sustainability of telemedicine while delivering more accessible, patient-</w:t>
      </w:r>
      <w:proofErr w:type="spellStart"/>
      <w:r w:rsidRPr="00127D67">
        <w:rPr>
          <w:rFonts w:ascii="Arial" w:hAnsi="Arial" w:eastAsia="Times New Roman" w:cs="Arial"/>
          <w:sz w:val="22"/>
          <w:lang w:val="en-US"/>
        </w:rPr>
        <w:t>centred</w:t>
      </w:r>
      <w:proofErr w:type="spellEnd"/>
      <w:r w:rsidRPr="00127D67">
        <w:rPr>
          <w:rFonts w:ascii="Arial" w:hAnsi="Arial" w:eastAsia="Times New Roman" w:cs="Arial"/>
          <w:sz w:val="22"/>
          <w:lang w:val="en-US"/>
        </w:rPr>
        <w:t xml:space="preserve">, and inclusive healthcare. This aligns with current NHS guidance, which </w:t>
      </w:r>
      <w:proofErr w:type="spellStart"/>
      <w:r w:rsidRPr="00127D67">
        <w:rPr>
          <w:rFonts w:ascii="Arial" w:hAnsi="Arial" w:eastAsia="Times New Roman" w:cs="Arial"/>
          <w:sz w:val="22"/>
          <w:lang w:val="en-US"/>
        </w:rPr>
        <w:t>emphasises</w:t>
      </w:r>
      <w:proofErr w:type="spellEnd"/>
      <w:r w:rsidRPr="00127D67">
        <w:rPr>
          <w:rFonts w:ascii="Arial" w:hAnsi="Arial" w:eastAsia="Times New Roman" w:cs="Arial"/>
          <w:sz w:val="22"/>
          <w:lang w:val="en-US"/>
        </w:rPr>
        <w:t xml:space="preserve"> that remote consultations are most effective when used alongside face-to-face care, supported by flexible consultation options and measures to reduce digital exclusion.</w:t>
      </w:r>
    </w:p>
    <w:p w:rsidRPr="00671987" w:rsidR="00864AA0" w:rsidP="00671987" w:rsidRDefault="00864AA0" w14:paraId="2845A420" w14:textId="77777777">
      <w:pPr>
        <w:tabs>
          <w:tab w:val="left" w:pos="6540"/>
        </w:tabs>
        <w:spacing w:line="360" w:lineRule="auto"/>
        <w:jc w:val="both"/>
        <w:rPr>
          <w:rFonts w:ascii="Arial" w:hAnsi="Arial" w:eastAsia="Times New Roman" w:cs="Arial"/>
          <w:sz w:val="22"/>
          <w:lang w:val="en-US"/>
        </w:rPr>
      </w:pPr>
      <w:r w:rsidRPr="00864AA0">
        <w:rPr>
          <w:rFonts w:ascii="Arial" w:hAnsi="Arial" w:eastAsia="Times New Roman" w:cs="Arial"/>
          <w:sz w:val="22"/>
          <w:lang w:val="en-US"/>
        </w:rPr>
        <w:t>6. Conclusion and Recommendations</w:t>
      </w:r>
    </w:p>
    <w:p w:rsidRPr="00671987" w:rsidR="00331A94" w:rsidP="00671987" w:rsidRDefault="000749CA" w14:paraId="694E3331" w14:textId="0E498F9E">
      <w:pPr>
        <w:tabs>
          <w:tab w:val="left" w:pos="6540"/>
        </w:tabs>
        <w:spacing w:line="360" w:lineRule="auto"/>
        <w:jc w:val="both"/>
        <w:rPr>
          <w:rFonts w:ascii="Arial" w:hAnsi="Arial" w:eastAsia="Times New Roman" w:cs="Arial"/>
          <w:sz w:val="22"/>
          <w:lang w:val="en-US"/>
        </w:rPr>
      </w:pPr>
      <w:r w:rsidRPr="00671987">
        <w:rPr>
          <w:rFonts w:ascii="Arial" w:hAnsi="Arial" w:eastAsia="Times New Roman" w:cs="Arial"/>
          <w:sz w:val="22"/>
          <w:lang w:val="en-US"/>
        </w:rPr>
        <w:t>6.1 Conclusion</w:t>
      </w:r>
    </w:p>
    <w:p w:rsidRPr="00671987" w:rsidR="004E446D" w:rsidP="00671987" w:rsidRDefault="004E446D" w14:paraId="14436EA3" w14:textId="0D2F72C5">
      <w:pPr>
        <w:tabs>
          <w:tab w:val="left" w:pos="6540"/>
        </w:tabs>
        <w:spacing w:line="360" w:lineRule="auto"/>
        <w:jc w:val="both"/>
        <w:rPr>
          <w:rFonts w:ascii="Arial" w:hAnsi="Arial" w:eastAsia="Times New Roman" w:cs="Arial"/>
          <w:sz w:val="22"/>
          <w:lang w:val="en-US"/>
        </w:rPr>
      </w:pPr>
      <w:r w:rsidRPr="00671987">
        <w:rPr>
          <w:rFonts w:ascii="Arial" w:hAnsi="Arial" w:eastAsia="Times New Roman" w:cs="Arial"/>
          <w:sz w:val="22"/>
          <w:lang w:val="en-US"/>
        </w:rPr>
        <w:t>This scoping review explored how telemedicine enhances access to NHS healthcare services after the COVID-19 pandemic. It shows that telemedicine has become a crucial part of modern healthcare by increasing accessibility, offering greater flexibility, and supporting continuous care during an unprecedented period of disruption. Overall, evidence indicates telemedicine has positively impacted healthcare access, but it also underscores the need to address barriers that can hinder its effectiveness.</w:t>
      </w:r>
    </w:p>
    <w:p w:rsidRPr="00671987" w:rsidR="004E446D" w:rsidP="00671987" w:rsidRDefault="004E446D" w14:paraId="79F825AC" w14:textId="77777777">
      <w:pPr>
        <w:tabs>
          <w:tab w:val="left" w:pos="6540"/>
        </w:tabs>
        <w:spacing w:line="360" w:lineRule="auto"/>
        <w:jc w:val="both"/>
        <w:rPr>
          <w:rFonts w:ascii="Arial" w:hAnsi="Arial" w:eastAsia="Times New Roman" w:cs="Arial"/>
          <w:sz w:val="22"/>
          <w:lang w:val="en-US"/>
        </w:rPr>
      </w:pPr>
      <w:r w:rsidRPr="00671987">
        <w:rPr>
          <w:rFonts w:ascii="Arial" w:hAnsi="Arial" w:eastAsia="Times New Roman" w:cs="Arial"/>
          <w:sz w:val="22"/>
          <w:lang w:val="en-US"/>
        </w:rPr>
        <w:t>The review highlighted four main themes. First, telemedicine improved access by reducing travel, increasing appointment flexibility, and enabling remote service access. Second, patient feedback was mostly positive, with many valuing the convenience and efficiency of remote consultations, especially for routine visits and managing long-term conditions. However, preferences varied based on clinical needs, with face-to-face visits still vital for complex or sensitive issues.</w:t>
      </w:r>
    </w:p>
    <w:p w:rsidRPr="00671987" w:rsidR="004E446D" w:rsidP="00671987" w:rsidRDefault="004E446D" w14:paraId="4C70C4FB" w14:textId="77777777">
      <w:pPr>
        <w:tabs>
          <w:tab w:val="left" w:pos="6540"/>
        </w:tabs>
        <w:spacing w:line="360" w:lineRule="auto"/>
        <w:jc w:val="both"/>
        <w:rPr>
          <w:rFonts w:ascii="Arial" w:hAnsi="Arial" w:eastAsia="Times New Roman" w:cs="Arial"/>
          <w:sz w:val="22"/>
          <w:lang w:val="en-US"/>
        </w:rPr>
      </w:pPr>
      <w:r w:rsidRPr="00671987">
        <w:rPr>
          <w:rFonts w:ascii="Arial" w:hAnsi="Arial" w:eastAsia="Times New Roman" w:cs="Arial"/>
          <w:sz w:val="22"/>
          <w:lang w:val="en-US"/>
        </w:rPr>
        <w:t>The review also pointed out barriers such as digital exclusion, limited digital skills, and technical problems, which can prevent some patients from benefiting fully. These findings emphasize the importance of promoting equitable digital healthcare for all. Lastly, the evidence suggests telemedicine should complement, not replace, traditional care. A hybrid model combining remote and in-person visits, where appropriate, seems best to maintain access while ensuring safe, patient-</w:t>
      </w:r>
      <w:proofErr w:type="spellStart"/>
      <w:r w:rsidRPr="00671987">
        <w:rPr>
          <w:rFonts w:ascii="Arial" w:hAnsi="Arial" w:eastAsia="Times New Roman" w:cs="Arial"/>
          <w:sz w:val="22"/>
          <w:lang w:val="en-US"/>
        </w:rPr>
        <w:t>centred</w:t>
      </w:r>
      <w:proofErr w:type="spellEnd"/>
      <w:r w:rsidRPr="00671987">
        <w:rPr>
          <w:rFonts w:ascii="Arial" w:hAnsi="Arial" w:eastAsia="Times New Roman" w:cs="Arial"/>
          <w:sz w:val="22"/>
          <w:lang w:val="en-US"/>
        </w:rPr>
        <w:t xml:space="preserve"> care.</w:t>
      </w:r>
    </w:p>
    <w:p w:rsidRPr="00671987" w:rsidR="007F3DB9" w:rsidP="00671987" w:rsidRDefault="004E446D" w14:paraId="1C56345E" w14:textId="79484DFF">
      <w:pPr>
        <w:tabs>
          <w:tab w:val="left" w:pos="6540"/>
        </w:tabs>
        <w:spacing w:line="360" w:lineRule="auto"/>
        <w:jc w:val="both"/>
        <w:rPr>
          <w:rFonts w:ascii="Arial" w:hAnsi="Arial" w:eastAsia="Times New Roman" w:cs="Arial"/>
          <w:sz w:val="22"/>
          <w:lang w:val="en-US"/>
        </w:rPr>
      </w:pPr>
      <w:r w:rsidRPr="00671987">
        <w:rPr>
          <w:rFonts w:ascii="Arial" w:hAnsi="Arial" w:eastAsia="Times New Roman" w:cs="Arial"/>
          <w:sz w:val="22"/>
          <w:lang w:val="en-US"/>
        </w:rPr>
        <w:t>In summary, the review shows telemedicine can improve NHS healthcare access when supported by adequate digital infrastructure, patient support, and efforts to reduce inequalities. As digital health evolves, maintaining equity and patient-</w:t>
      </w:r>
      <w:proofErr w:type="spellStart"/>
      <w:r w:rsidRPr="00671987">
        <w:rPr>
          <w:rFonts w:ascii="Arial" w:hAnsi="Arial" w:eastAsia="Times New Roman" w:cs="Arial"/>
          <w:sz w:val="22"/>
          <w:lang w:val="en-US"/>
        </w:rPr>
        <w:t>centred</w:t>
      </w:r>
      <w:proofErr w:type="spellEnd"/>
      <w:r w:rsidRPr="00671987">
        <w:rPr>
          <w:rFonts w:ascii="Arial" w:hAnsi="Arial" w:eastAsia="Times New Roman" w:cs="Arial"/>
          <w:sz w:val="22"/>
          <w:lang w:val="en-US"/>
        </w:rPr>
        <w:t xml:space="preserve"> focus will be key to its long-term success within the NHS.</w:t>
      </w:r>
    </w:p>
    <w:p w:rsidRPr="00671987" w:rsidR="00864AA0" w:rsidP="00671987" w:rsidRDefault="00331A94" w14:paraId="5888CE97" w14:textId="7221534C">
      <w:pPr>
        <w:tabs>
          <w:tab w:val="left" w:pos="6540"/>
        </w:tabs>
        <w:spacing w:line="360" w:lineRule="auto"/>
        <w:jc w:val="both"/>
        <w:rPr>
          <w:rFonts w:ascii="Arial" w:hAnsi="Arial" w:eastAsia="Times New Roman" w:cs="Arial"/>
          <w:sz w:val="22"/>
          <w:lang w:val="en-US"/>
        </w:rPr>
      </w:pPr>
      <w:r w:rsidRPr="00671987">
        <w:rPr>
          <w:rFonts w:ascii="Arial" w:hAnsi="Arial" w:eastAsia="Times New Roman" w:cs="Arial"/>
          <w:sz w:val="22"/>
          <w:lang w:val="en-US"/>
        </w:rPr>
        <w:lastRenderedPageBreak/>
        <w:t>6.2 Recommendations</w:t>
      </w:r>
    </w:p>
    <w:p w:rsidRPr="00671987" w:rsidR="00ED7A06" w:rsidP="00671987" w:rsidRDefault="00ED7A06" w14:paraId="6AFC71C3" w14:textId="77777777">
      <w:pPr>
        <w:tabs>
          <w:tab w:val="left" w:pos="6540"/>
        </w:tabs>
        <w:spacing w:line="360" w:lineRule="auto"/>
        <w:jc w:val="both"/>
        <w:rPr>
          <w:rFonts w:ascii="Arial" w:hAnsi="Arial" w:eastAsia="Times New Roman" w:cs="Arial"/>
          <w:sz w:val="22"/>
          <w:lang w:val="en-US"/>
        </w:rPr>
      </w:pPr>
      <w:r w:rsidRPr="00671987">
        <w:rPr>
          <w:rFonts w:ascii="Arial" w:hAnsi="Arial" w:eastAsia="Times New Roman" w:cs="Arial"/>
          <w:sz w:val="22"/>
          <w:lang w:val="en-US"/>
        </w:rPr>
        <w:t>Based on this scoping review's findings, several recommendations emerge for the future of telemedicine within the NHS. First, telemedicine should be integrated into a hybrid healthcare model that combines remote and face-to-face consultations, tailored to patients’ clinical needs and preferences. This strategy can help sustain improved healthcare access while ensuring patient-</w:t>
      </w:r>
      <w:proofErr w:type="spellStart"/>
      <w:r w:rsidRPr="00671987">
        <w:rPr>
          <w:rFonts w:ascii="Arial" w:hAnsi="Arial" w:eastAsia="Times New Roman" w:cs="Arial"/>
          <w:sz w:val="22"/>
          <w:lang w:val="en-US"/>
        </w:rPr>
        <w:t>centred</w:t>
      </w:r>
      <w:proofErr w:type="spellEnd"/>
      <w:r w:rsidRPr="00671987">
        <w:rPr>
          <w:rFonts w:ascii="Arial" w:hAnsi="Arial" w:eastAsia="Times New Roman" w:cs="Arial"/>
          <w:sz w:val="22"/>
          <w:lang w:val="en-US"/>
        </w:rPr>
        <w:t>, appropriate care.</w:t>
      </w:r>
    </w:p>
    <w:p w:rsidRPr="00671987" w:rsidR="00ED7A06" w:rsidP="00671987" w:rsidRDefault="00ED7A06" w14:paraId="6AE1D829" w14:textId="77777777">
      <w:pPr>
        <w:tabs>
          <w:tab w:val="left" w:pos="6540"/>
        </w:tabs>
        <w:spacing w:line="360" w:lineRule="auto"/>
        <w:jc w:val="both"/>
        <w:rPr>
          <w:rFonts w:ascii="Arial" w:hAnsi="Arial" w:eastAsia="Times New Roman" w:cs="Arial"/>
          <w:sz w:val="22"/>
          <w:lang w:val="en-US"/>
        </w:rPr>
      </w:pPr>
      <w:r w:rsidRPr="00671987">
        <w:rPr>
          <w:rFonts w:ascii="Arial" w:hAnsi="Arial" w:eastAsia="Times New Roman" w:cs="Arial"/>
          <w:sz w:val="22"/>
          <w:lang w:val="en-US"/>
        </w:rPr>
        <w:t>Second, efforts must focus on reducing digital inequalities by improving access to technology, enhancing digital literacy, and providing necessary support to those facing barriers to telemedicine use. Tackling these issues is crucial for making digital healthcare benefits available to all patient groups.</w:t>
      </w:r>
    </w:p>
    <w:p w:rsidRPr="00671987" w:rsidR="00ED7A06" w:rsidP="00671987" w:rsidRDefault="00ED7A06" w14:paraId="149344C5" w14:textId="77777777">
      <w:pPr>
        <w:tabs>
          <w:tab w:val="left" w:pos="6540"/>
        </w:tabs>
        <w:spacing w:line="360" w:lineRule="auto"/>
        <w:jc w:val="both"/>
        <w:rPr>
          <w:rFonts w:ascii="Arial" w:hAnsi="Arial" w:eastAsia="Times New Roman" w:cs="Arial"/>
          <w:sz w:val="22"/>
          <w:lang w:val="en-US"/>
        </w:rPr>
      </w:pPr>
      <w:r w:rsidRPr="00671987">
        <w:rPr>
          <w:rFonts w:ascii="Arial" w:hAnsi="Arial" w:eastAsia="Times New Roman" w:cs="Arial"/>
          <w:sz w:val="22"/>
          <w:lang w:val="en-US"/>
        </w:rPr>
        <w:t>Lastly, additional research is needed to assess the long-term effectiveness, patient outcomes, and cost-efficiency of telemedicine across more NHS services and patient populations. Investigating ways to reduce digital exclusion and promote equitable access will also reinforce the evidence base and guide policy and service development.</w:t>
      </w:r>
    </w:p>
    <w:p w:rsidRPr="00671987" w:rsidR="000749CA" w:rsidP="00671987" w:rsidRDefault="00ED7A06" w14:paraId="14139465" w14:textId="59BE1B88">
      <w:pPr>
        <w:tabs>
          <w:tab w:val="left" w:pos="6540"/>
        </w:tabs>
        <w:spacing w:line="360" w:lineRule="auto"/>
        <w:jc w:val="both"/>
        <w:rPr>
          <w:rFonts w:ascii="Arial" w:hAnsi="Arial" w:eastAsia="Times New Roman" w:cs="Arial"/>
          <w:sz w:val="22"/>
          <w:lang w:val="en-US"/>
        </w:rPr>
      </w:pPr>
      <w:r w:rsidRPr="00671987">
        <w:rPr>
          <w:rFonts w:ascii="Arial" w:hAnsi="Arial" w:eastAsia="Times New Roman" w:cs="Arial"/>
          <w:sz w:val="22"/>
          <w:lang w:val="en-US"/>
        </w:rPr>
        <w:t>Overall, advancing telemedicine should aim to provide accessible, equitable, and high-quality healthcare, while maintaining flexibility to address the diverse needs of NHS patients.</w:t>
      </w:r>
    </w:p>
    <w:p w:rsidRPr="002939E0" w:rsidR="002939E0" w:rsidP="22A5FA13" w:rsidRDefault="002939E0" w14:paraId="0DFD27A9" w14:textId="5E2E36BD">
      <w:pPr>
        <w:pStyle w:val="Normal"/>
        <w:tabs>
          <w:tab w:val="left" w:leader="none" w:pos="6540"/>
        </w:tabs>
        <w:spacing w:line="360" w:lineRule="auto"/>
        <w:rPr>
          <w:rFonts w:ascii="Arial" w:hAnsi="Arial" w:eastAsia="等线 Light" w:asciiTheme="minorBidi" w:hAnsiTheme="minorBidi" w:eastAsiaTheme="majorEastAsia"/>
          <w:b w:val="1"/>
          <w:bCs w:val="1"/>
          <w:sz w:val="28"/>
          <w:szCs w:val="28"/>
        </w:rPr>
      </w:pPr>
      <w:r w:rsidRPr="22A5FA13" w:rsidR="002939E0">
        <w:rPr>
          <w:rFonts w:ascii="Arial" w:hAnsi="Arial" w:cs="Arial"/>
          <w:b w:val="1"/>
          <w:bCs w:val="1"/>
          <w:sz w:val="22"/>
          <w:szCs w:val="22"/>
          <w:lang w:val="en-US"/>
        </w:rPr>
        <w:t>References</w:t>
      </w:r>
    </w:p>
    <w:p w:rsidRPr="002939E0" w:rsidR="002939E0" w:rsidP="002939E0" w:rsidRDefault="002939E0" w14:paraId="43E735FE" w14:textId="77777777">
      <w:pPr>
        <w:rPr>
          <w:rFonts w:ascii="Arial" w:hAnsi="Arial" w:cs="Arial"/>
          <w:sz w:val="22"/>
          <w:lang w:val="en-US"/>
        </w:rPr>
      </w:pPr>
      <w:r w:rsidRPr="002939E0">
        <w:rPr>
          <w:rFonts w:ascii="Arial" w:hAnsi="Arial" w:cs="Arial"/>
          <w:sz w:val="22"/>
          <w:lang w:val="en-US"/>
        </w:rPr>
        <w:t xml:space="preserve">Beattie, M., Morrison, C., </w:t>
      </w:r>
      <w:proofErr w:type="spellStart"/>
      <w:r w:rsidRPr="002939E0">
        <w:rPr>
          <w:rFonts w:ascii="Arial" w:hAnsi="Arial" w:cs="Arial"/>
          <w:sz w:val="22"/>
          <w:lang w:val="en-US"/>
        </w:rPr>
        <w:t>MacGilleEathain</w:t>
      </w:r>
      <w:proofErr w:type="spellEnd"/>
      <w:r w:rsidRPr="002939E0">
        <w:rPr>
          <w:rFonts w:ascii="Arial" w:hAnsi="Arial" w:cs="Arial"/>
          <w:sz w:val="22"/>
          <w:lang w:val="en-US"/>
        </w:rPr>
        <w:t xml:space="preserve">, R., </w:t>
      </w:r>
      <w:r w:rsidRPr="002939E0">
        <w:rPr>
          <w:rFonts w:ascii="Arial" w:hAnsi="Arial" w:cs="Arial"/>
          <w:i/>
          <w:iCs/>
          <w:sz w:val="22"/>
          <w:lang w:val="en-US"/>
        </w:rPr>
        <w:t>et al.</w:t>
      </w:r>
      <w:r w:rsidRPr="002939E0">
        <w:rPr>
          <w:rFonts w:ascii="Arial" w:hAnsi="Arial" w:cs="Arial"/>
          <w:sz w:val="22"/>
          <w:lang w:val="en-US"/>
        </w:rPr>
        <w:t xml:space="preserve"> (2020) </w:t>
      </w:r>
      <w:r w:rsidRPr="002939E0">
        <w:rPr>
          <w:rFonts w:ascii="Arial" w:hAnsi="Arial" w:cs="Arial"/>
          <w:i/>
          <w:iCs/>
          <w:sz w:val="22"/>
          <w:lang w:val="en-US"/>
        </w:rPr>
        <w:t>Near Me at Home: codesigning the use of video consultations for outpatient appointments in patients’ homes</w:t>
      </w:r>
      <w:r w:rsidRPr="002939E0">
        <w:rPr>
          <w:rFonts w:ascii="Arial" w:hAnsi="Arial" w:cs="Arial"/>
          <w:sz w:val="22"/>
          <w:lang w:val="en-US"/>
        </w:rPr>
        <w:t xml:space="preserve">. </w:t>
      </w:r>
      <w:r w:rsidRPr="002939E0">
        <w:rPr>
          <w:rFonts w:ascii="Arial" w:hAnsi="Arial" w:cs="Arial"/>
          <w:i/>
          <w:iCs/>
          <w:sz w:val="22"/>
          <w:lang w:val="en-US"/>
        </w:rPr>
        <w:t>BMJ Open Quality</w:t>
      </w:r>
      <w:r w:rsidRPr="002939E0">
        <w:rPr>
          <w:rFonts w:ascii="Arial" w:hAnsi="Arial" w:cs="Arial"/>
          <w:sz w:val="22"/>
          <w:lang w:val="en-US"/>
        </w:rPr>
        <w:t xml:space="preserve">, 9(3), e001035. Available at: </w:t>
      </w:r>
      <w:hyperlink w:history="1" r:id="rId7">
        <w:r w:rsidRPr="002939E0">
          <w:rPr>
            <w:rStyle w:val="Hyperlink"/>
            <w:rFonts w:ascii="Arial" w:hAnsi="Arial" w:cs="Arial"/>
            <w:sz w:val="22"/>
            <w:lang w:val="en-US"/>
          </w:rPr>
          <w:t>https://pubmed.ncbi.nlm.nih.gov/32855158/</w:t>
        </w:r>
      </w:hyperlink>
      <w:r w:rsidRPr="002939E0">
        <w:rPr>
          <w:rFonts w:ascii="Arial" w:hAnsi="Arial" w:cs="Arial"/>
          <w:sz w:val="22"/>
          <w:lang w:val="en-US"/>
        </w:rPr>
        <w:t xml:space="preserve"> (Accessed: 20 July 2026).</w:t>
      </w:r>
    </w:p>
    <w:p w:rsidRPr="002939E0" w:rsidR="002939E0" w:rsidP="002939E0" w:rsidRDefault="002939E0" w14:paraId="180F2293" w14:textId="77777777">
      <w:pPr>
        <w:rPr>
          <w:rFonts w:ascii="Arial" w:hAnsi="Arial" w:cs="Arial"/>
          <w:sz w:val="22"/>
          <w:lang w:val="en-US"/>
        </w:rPr>
      </w:pPr>
    </w:p>
    <w:p w:rsidRPr="002939E0" w:rsidR="002939E0" w:rsidP="002939E0" w:rsidRDefault="002939E0" w14:paraId="17AE17F4" w14:textId="77777777">
      <w:pPr>
        <w:rPr>
          <w:rFonts w:ascii="Arial" w:hAnsi="Arial" w:cs="Arial"/>
          <w:sz w:val="22"/>
          <w:lang w:val="en-US"/>
        </w:rPr>
      </w:pPr>
      <w:r w:rsidRPr="002939E0">
        <w:rPr>
          <w:rFonts w:ascii="Arial" w:hAnsi="Arial" w:cs="Arial"/>
          <w:sz w:val="22"/>
          <w:lang w:val="en-US"/>
        </w:rPr>
        <w:t xml:space="preserve">Bradley, F., </w:t>
      </w:r>
      <w:r w:rsidRPr="002939E0">
        <w:rPr>
          <w:rFonts w:ascii="Arial" w:hAnsi="Arial" w:cs="Arial"/>
          <w:i/>
          <w:iCs/>
          <w:sz w:val="22"/>
          <w:lang w:val="en-US"/>
        </w:rPr>
        <w:t>et al.</w:t>
      </w:r>
      <w:r w:rsidRPr="002939E0">
        <w:rPr>
          <w:rFonts w:ascii="Arial" w:hAnsi="Arial" w:cs="Arial"/>
          <w:sz w:val="22"/>
          <w:lang w:val="en-US"/>
        </w:rPr>
        <w:t xml:space="preserve"> (2026) ‘Factors affecting implementation of hospital inpatient-level care at home: a qualitative study of virtual wards in </w:t>
      </w:r>
      <w:proofErr w:type="gramStart"/>
      <w:r w:rsidRPr="002939E0">
        <w:rPr>
          <w:rFonts w:ascii="Arial" w:hAnsi="Arial" w:cs="Arial"/>
          <w:sz w:val="22"/>
          <w:lang w:val="en-US"/>
        </w:rPr>
        <w:t>North West</w:t>
      </w:r>
      <w:proofErr w:type="gramEnd"/>
      <w:r w:rsidRPr="002939E0">
        <w:rPr>
          <w:rFonts w:ascii="Arial" w:hAnsi="Arial" w:cs="Arial"/>
          <w:sz w:val="22"/>
          <w:lang w:val="en-US"/>
        </w:rPr>
        <w:t xml:space="preserve"> England’, </w:t>
      </w:r>
      <w:r w:rsidRPr="002939E0">
        <w:rPr>
          <w:rFonts w:ascii="Arial" w:hAnsi="Arial" w:cs="Arial"/>
          <w:i/>
          <w:iCs/>
          <w:sz w:val="22"/>
          <w:lang w:val="en-US"/>
        </w:rPr>
        <w:t>BMJ Open</w:t>
      </w:r>
      <w:r w:rsidRPr="002939E0">
        <w:rPr>
          <w:rFonts w:ascii="Arial" w:hAnsi="Arial" w:cs="Arial"/>
          <w:sz w:val="22"/>
          <w:lang w:val="en-US"/>
        </w:rPr>
        <w:t xml:space="preserve">, 16(4), e111868. Available at: </w:t>
      </w:r>
      <w:hyperlink w:history="1" r:id="rId8">
        <w:r w:rsidRPr="002939E0">
          <w:rPr>
            <w:rStyle w:val="Hyperlink"/>
            <w:rFonts w:ascii="Arial" w:hAnsi="Arial" w:cs="Arial"/>
            <w:sz w:val="22"/>
            <w:lang w:val="en-US"/>
          </w:rPr>
          <w:t>https://doi.org/10.1136/bmjopen-2025-111868</w:t>
        </w:r>
      </w:hyperlink>
      <w:r w:rsidRPr="002939E0">
        <w:rPr>
          <w:rFonts w:ascii="Arial" w:hAnsi="Arial" w:cs="Arial"/>
          <w:sz w:val="22"/>
          <w:lang w:val="en-US"/>
        </w:rPr>
        <w:t xml:space="preserve"> (Accessed: 20 July 2026).</w:t>
      </w:r>
    </w:p>
    <w:p w:rsidRPr="002939E0" w:rsidR="002939E0" w:rsidP="002939E0" w:rsidRDefault="002939E0" w14:paraId="0CD9A81C" w14:textId="77777777">
      <w:pPr>
        <w:rPr>
          <w:rFonts w:ascii="Arial" w:hAnsi="Arial" w:cs="Arial"/>
          <w:sz w:val="22"/>
          <w:lang w:val="en-US"/>
        </w:rPr>
      </w:pPr>
    </w:p>
    <w:p w:rsidRPr="002939E0" w:rsidR="002939E0" w:rsidP="002939E0" w:rsidRDefault="002939E0" w14:paraId="1513040E" w14:textId="77777777">
      <w:pPr>
        <w:rPr>
          <w:rFonts w:ascii="Arial" w:hAnsi="Arial" w:cs="Arial"/>
          <w:sz w:val="22"/>
          <w:lang w:val="en-US"/>
        </w:rPr>
      </w:pPr>
      <w:r w:rsidRPr="002939E0">
        <w:rPr>
          <w:rFonts w:ascii="Arial" w:hAnsi="Arial" w:cs="Arial"/>
          <w:sz w:val="22"/>
          <w:lang w:val="en-US"/>
        </w:rPr>
        <w:lastRenderedPageBreak/>
        <w:t xml:space="preserve">Campbell, K., Greenfield, G., Li, E., O’Brien, N., Hayhoe, B., Beaney, T., Majeed, A. and Neves, A.L. (2023) ‘The impact of virtual consultations on the quality of primary care: a systematic review’, </w:t>
      </w:r>
      <w:r w:rsidRPr="002939E0">
        <w:rPr>
          <w:rFonts w:ascii="Arial" w:hAnsi="Arial" w:cs="Arial"/>
          <w:i/>
          <w:iCs/>
          <w:sz w:val="22"/>
          <w:lang w:val="en-US"/>
        </w:rPr>
        <w:t>Journal of Medical Internet Research</w:t>
      </w:r>
      <w:r w:rsidRPr="002939E0">
        <w:rPr>
          <w:rFonts w:ascii="Arial" w:hAnsi="Arial" w:cs="Arial"/>
          <w:sz w:val="22"/>
          <w:lang w:val="en-US"/>
        </w:rPr>
        <w:t xml:space="preserve">, 25, e48920. Available at: </w:t>
      </w:r>
      <w:hyperlink w:history="1" r:id="rId9">
        <w:r w:rsidRPr="002939E0">
          <w:rPr>
            <w:rStyle w:val="Hyperlink"/>
            <w:rFonts w:ascii="Arial" w:hAnsi="Arial" w:cs="Arial"/>
            <w:sz w:val="22"/>
            <w:lang w:val="en-US"/>
          </w:rPr>
          <w:t>https://doi.org/10.2196/48920</w:t>
        </w:r>
      </w:hyperlink>
      <w:r w:rsidRPr="002939E0">
        <w:rPr>
          <w:rFonts w:ascii="Arial" w:hAnsi="Arial" w:cs="Arial"/>
          <w:sz w:val="22"/>
          <w:lang w:val="en-US"/>
        </w:rPr>
        <w:t xml:space="preserve"> (Accessed: 20 July 2026).</w:t>
      </w:r>
    </w:p>
    <w:p w:rsidRPr="002939E0" w:rsidR="002939E0" w:rsidP="002939E0" w:rsidRDefault="002939E0" w14:paraId="158F4450" w14:textId="77777777">
      <w:pPr>
        <w:rPr>
          <w:rFonts w:ascii="Arial" w:hAnsi="Arial" w:cs="Arial"/>
          <w:sz w:val="22"/>
          <w:lang w:val="en-US"/>
        </w:rPr>
      </w:pPr>
    </w:p>
    <w:p w:rsidRPr="002939E0" w:rsidR="002939E0" w:rsidP="002939E0" w:rsidRDefault="002939E0" w14:paraId="343C5F85" w14:textId="77777777">
      <w:pPr>
        <w:rPr>
          <w:rFonts w:ascii="Arial" w:hAnsi="Arial" w:cs="Arial"/>
          <w:sz w:val="22"/>
          <w:lang w:val="en-US"/>
        </w:rPr>
      </w:pPr>
      <w:r w:rsidRPr="002939E0">
        <w:rPr>
          <w:rFonts w:ascii="Arial" w:hAnsi="Arial" w:cs="Arial"/>
          <w:sz w:val="22"/>
          <w:lang w:val="en-US"/>
        </w:rPr>
        <w:t xml:space="preserve">Chaloner, C., Stevenson, F.A., Rehill, N., Halvorsrud, K., Raine, R. and Barratt, H. (2025) ‘What is the impact of a shift to remote consultations? A qualitative interview study in primary and secondary healthcare’, </w:t>
      </w:r>
      <w:r w:rsidRPr="002939E0">
        <w:rPr>
          <w:rFonts w:ascii="Arial" w:hAnsi="Arial" w:cs="Arial"/>
          <w:i/>
          <w:iCs/>
          <w:sz w:val="22"/>
          <w:lang w:val="en-US"/>
        </w:rPr>
        <w:t>BMJ Open</w:t>
      </w:r>
      <w:r w:rsidRPr="002939E0">
        <w:rPr>
          <w:rFonts w:ascii="Arial" w:hAnsi="Arial" w:cs="Arial"/>
          <w:sz w:val="22"/>
          <w:lang w:val="en-US"/>
        </w:rPr>
        <w:t xml:space="preserve">, 15(6), e097633. Available at: </w:t>
      </w:r>
      <w:hyperlink w:history="1" r:id="rId10">
        <w:r w:rsidRPr="002939E0">
          <w:rPr>
            <w:rStyle w:val="Hyperlink"/>
            <w:rFonts w:ascii="Arial" w:hAnsi="Arial" w:cs="Arial"/>
            <w:sz w:val="22"/>
            <w:lang w:val="en-US"/>
          </w:rPr>
          <w:t>https://doi.org/10.1136/bmjopen-2024-097633</w:t>
        </w:r>
      </w:hyperlink>
      <w:r w:rsidRPr="002939E0">
        <w:rPr>
          <w:rFonts w:ascii="Arial" w:hAnsi="Arial" w:cs="Arial"/>
          <w:sz w:val="22"/>
          <w:lang w:val="en-US"/>
        </w:rPr>
        <w:t xml:space="preserve"> (Accessed: 20 July 2026).</w:t>
      </w:r>
    </w:p>
    <w:p w:rsidRPr="002939E0" w:rsidR="002939E0" w:rsidP="002939E0" w:rsidRDefault="002939E0" w14:paraId="0B293C79" w14:textId="77777777">
      <w:pPr>
        <w:rPr>
          <w:rFonts w:ascii="Arial" w:hAnsi="Arial" w:cs="Arial"/>
          <w:sz w:val="22"/>
          <w:lang w:val="en-US"/>
        </w:rPr>
      </w:pPr>
    </w:p>
    <w:p w:rsidRPr="002939E0" w:rsidR="002939E0" w:rsidP="002939E0" w:rsidRDefault="002939E0" w14:paraId="4801A88D" w14:textId="77777777">
      <w:pPr>
        <w:rPr>
          <w:rFonts w:ascii="Arial" w:hAnsi="Arial" w:cs="Arial"/>
          <w:sz w:val="22"/>
          <w:lang w:val="en-US"/>
        </w:rPr>
      </w:pPr>
      <w:r w:rsidRPr="002939E0">
        <w:rPr>
          <w:rFonts w:ascii="Arial" w:hAnsi="Arial" w:cs="Arial"/>
          <w:sz w:val="22"/>
          <w:lang w:val="en-US"/>
        </w:rPr>
        <w:t xml:space="preserve">Fonseca, M., MacKenna, B., </w:t>
      </w:r>
      <w:proofErr w:type="spellStart"/>
      <w:r w:rsidRPr="002939E0">
        <w:rPr>
          <w:rFonts w:ascii="Arial" w:hAnsi="Arial" w:cs="Arial"/>
          <w:sz w:val="22"/>
          <w:lang w:val="en-US"/>
        </w:rPr>
        <w:t>Mehrkar</w:t>
      </w:r>
      <w:proofErr w:type="spellEnd"/>
      <w:r w:rsidRPr="002939E0">
        <w:rPr>
          <w:rFonts w:ascii="Arial" w:hAnsi="Arial" w:cs="Arial"/>
          <w:sz w:val="22"/>
          <w:lang w:val="en-US"/>
        </w:rPr>
        <w:t xml:space="preserve">, A., </w:t>
      </w:r>
      <w:r w:rsidRPr="002939E0">
        <w:rPr>
          <w:rFonts w:ascii="Arial" w:hAnsi="Arial" w:cs="Arial"/>
          <w:i/>
          <w:iCs/>
          <w:sz w:val="22"/>
          <w:lang w:val="en-US"/>
        </w:rPr>
        <w:t>et al.</w:t>
      </w:r>
      <w:r w:rsidRPr="002939E0">
        <w:rPr>
          <w:rFonts w:ascii="Arial" w:hAnsi="Arial" w:cs="Arial"/>
          <w:sz w:val="22"/>
          <w:lang w:val="en-US"/>
        </w:rPr>
        <w:t xml:space="preserve"> (2024) ‘The use of online consultation systems or remote consulting in England characterized through the primary care health records of 53 million people in the </w:t>
      </w:r>
      <w:proofErr w:type="spellStart"/>
      <w:r w:rsidRPr="002939E0">
        <w:rPr>
          <w:rFonts w:ascii="Arial" w:hAnsi="Arial" w:cs="Arial"/>
          <w:sz w:val="22"/>
          <w:lang w:val="en-US"/>
        </w:rPr>
        <w:t>OpenSAFELY</w:t>
      </w:r>
      <w:proofErr w:type="spellEnd"/>
      <w:r w:rsidRPr="002939E0">
        <w:rPr>
          <w:rFonts w:ascii="Arial" w:hAnsi="Arial" w:cs="Arial"/>
          <w:sz w:val="22"/>
          <w:lang w:val="en-US"/>
        </w:rPr>
        <w:t xml:space="preserve"> platform: retrospective cohort study’, </w:t>
      </w:r>
      <w:r w:rsidRPr="002939E0">
        <w:rPr>
          <w:rFonts w:ascii="Arial" w:hAnsi="Arial" w:cs="Arial"/>
          <w:i/>
          <w:iCs/>
          <w:sz w:val="22"/>
          <w:lang w:val="en-US"/>
        </w:rPr>
        <w:t>Journal of Medical Internet Research</w:t>
      </w:r>
      <w:r w:rsidRPr="002939E0">
        <w:rPr>
          <w:rFonts w:ascii="Arial" w:hAnsi="Arial" w:cs="Arial"/>
          <w:sz w:val="22"/>
          <w:lang w:val="en-US"/>
        </w:rPr>
        <w:t xml:space="preserve">. Available at: </w:t>
      </w:r>
      <w:hyperlink w:history="1" r:id="rId11">
        <w:r w:rsidRPr="002939E0">
          <w:rPr>
            <w:rStyle w:val="Hyperlink"/>
            <w:rFonts w:ascii="Arial" w:hAnsi="Arial" w:cs="Arial"/>
            <w:sz w:val="22"/>
            <w:lang w:val="en-US"/>
          </w:rPr>
          <w:t>https://doi.org/10.2196/46485</w:t>
        </w:r>
      </w:hyperlink>
      <w:r w:rsidRPr="002939E0">
        <w:rPr>
          <w:rFonts w:ascii="Arial" w:hAnsi="Arial" w:cs="Arial"/>
          <w:sz w:val="22"/>
          <w:lang w:val="en-US"/>
        </w:rPr>
        <w:t xml:space="preserve"> (Accessed: 20 July 2026).</w:t>
      </w:r>
    </w:p>
    <w:p w:rsidRPr="002939E0" w:rsidR="002939E0" w:rsidP="002939E0" w:rsidRDefault="002939E0" w14:paraId="02AC04B7" w14:textId="77777777">
      <w:pPr>
        <w:rPr>
          <w:rFonts w:ascii="Arial" w:hAnsi="Arial" w:cs="Arial"/>
          <w:sz w:val="22"/>
          <w:lang w:val="en-US"/>
        </w:rPr>
      </w:pPr>
    </w:p>
    <w:p w:rsidRPr="002939E0" w:rsidR="002939E0" w:rsidP="002939E0" w:rsidRDefault="002939E0" w14:paraId="1C3D8BA4" w14:textId="77777777">
      <w:pPr>
        <w:rPr>
          <w:rFonts w:ascii="Arial" w:hAnsi="Arial" w:cs="Arial"/>
          <w:sz w:val="22"/>
          <w:lang w:val="en-US"/>
        </w:rPr>
      </w:pPr>
      <w:r w:rsidRPr="002939E0">
        <w:rPr>
          <w:rFonts w:ascii="Arial" w:hAnsi="Arial" w:cs="Arial"/>
          <w:sz w:val="22"/>
          <w:lang w:val="en-US"/>
        </w:rPr>
        <w:t xml:space="preserve">Greenhalgh, T., Payne, R., Hemmings, N., Leach, H., Hanson, I., Khan, A., Miller, L., Ladds, E., Clarke, A., Shaw, S.E., Dakin, F., Wieringa, S., </w:t>
      </w:r>
      <w:proofErr w:type="spellStart"/>
      <w:r w:rsidRPr="002939E0">
        <w:rPr>
          <w:rFonts w:ascii="Arial" w:hAnsi="Arial" w:cs="Arial"/>
          <w:sz w:val="22"/>
          <w:lang w:val="en-US"/>
        </w:rPr>
        <w:t>Rybczynska</w:t>
      </w:r>
      <w:proofErr w:type="spellEnd"/>
      <w:r w:rsidRPr="002939E0">
        <w:rPr>
          <w:rFonts w:ascii="Arial" w:hAnsi="Arial" w:cs="Arial"/>
          <w:sz w:val="22"/>
          <w:lang w:val="en-US"/>
        </w:rPr>
        <w:t xml:space="preserve">-Bunt, S., Faulkner, S.D., Byng, R., Kalin, A., Moore, L., </w:t>
      </w:r>
      <w:proofErr w:type="spellStart"/>
      <w:r w:rsidRPr="002939E0">
        <w:rPr>
          <w:rFonts w:ascii="Arial" w:hAnsi="Arial" w:cs="Arial"/>
          <w:sz w:val="22"/>
          <w:lang w:val="en-US"/>
        </w:rPr>
        <w:t>Wherton</w:t>
      </w:r>
      <w:proofErr w:type="spellEnd"/>
      <w:r w:rsidRPr="002939E0">
        <w:rPr>
          <w:rFonts w:ascii="Arial" w:hAnsi="Arial" w:cs="Arial"/>
          <w:sz w:val="22"/>
          <w:lang w:val="en-US"/>
        </w:rPr>
        <w:t xml:space="preserve">, J., Husain, L. and Rosen, R. (2024) ‘Training needs for staff providing remote services in general practice: a mixed-methods study’, </w:t>
      </w:r>
      <w:r w:rsidRPr="002939E0">
        <w:rPr>
          <w:rFonts w:ascii="Arial" w:hAnsi="Arial" w:cs="Arial"/>
          <w:i/>
          <w:iCs/>
          <w:sz w:val="22"/>
          <w:lang w:val="en-US"/>
        </w:rPr>
        <w:t>British Journal of General Practice</w:t>
      </w:r>
      <w:r w:rsidRPr="002939E0">
        <w:rPr>
          <w:rFonts w:ascii="Arial" w:hAnsi="Arial" w:cs="Arial"/>
          <w:sz w:val="22"/>
          <w:lang w:val="en-US"/>
        </w:rPr>
        <w:t xml:space="preserve">, 74(738), pp. e17–e26. Available at: </w:t>
      </w:r>
      <w:hyperlink w:history="1" r:id="rId12">
        <w:r w:rsidRPr="002939E0">
          <w:rPr>
            <w:rStyle w:val="Hyperlink"/>
            <w:rFonts w:ascii="Arial" w:hAnsi="Arial" w:cs="Arial"/>
            <w:sz w:val="22"/>
            <w:lang w:val="en-US"/>
          </w:rPr>
          <w:t>https://doi.org/10.3399/BJGP.2023.0251</w:t>
        </w:r>
      </w:hyperlink>
      <w:r w:rsidRPr="002939E0">
        <w:rPr>
          <w:rFonts w:ascii="Arial" w:hAnsi="Arial" w:cs="Arial"/>
          <w:sz w:val="22"/>
          <w:lang w:val="en-US"/>
        </w:rPr>
        <w:t xml:space="preserve"> (Accessed: 20 July 2026).</w:t>
      </w:r>
    </w:p>
    <w:p w:rsidRPr="002939E0" w:rsidR="002939E0" w:rsidP="002939E0" w:rsidRDefault="002939E0" w14:paraId="0022DE0A" w14:textId="77777777">
      <w:pPr>
        <w:rPr>
          <w:rFonts w:ascii="Arial" w:hAnsi="Arial" w:cs="Arial"/>
          <w:sz w:val="22"/>
          <w:lang w:val="en-US"/>
        </w:rPr>
      </w:pPr>
    </w:p>
    <w:p w:rsidRPr="002939E0" w:rsidR="002939E0" w:rsidP="002939E0" w:rsidRDefault="002939E0" w14:paraId="54ACC660" w14:textId="77777777">
      <w:pPr>
        <w:rPr>
          <w:rFonts w:ascii="Arial" w:hAnsi="Arial" w:cs="Arial"/>
          <w:sz w:val="22"/>
          <w:lang w:val="en-US"/>
        </w:rPr>
      </w:pPr>
      <w:r w:rsidRPr="002939E0">
        <w:rPr>
          <w:rFonts w:ascii="Arial" w:hAnsi="Arial" w:cs="Arial"/>
          <w:sz w:val="22"/>
          <w:lang w:val="en-US"/>
        </w:rPr>
        <w:t xml:space="preserve">Greenhalgh, T., Rosen, R., Shaw, S., Byng, R., Fahey, T., Finlay, T., Husain, L., Hughes, G., Leone, C., Mehta, N., Sweeney, L., </w:t>
      </w:r>
      <w:proofErr w:type="spellStart"/>
      <w:r w:rsidRPr="002939E0">
        <w:rPr>
          <w:rFonts w:ascii="Arial" w:hAnsi="Arial" w:cs="Arial"/>
          <w:sz w:val="22"/>
          <w:lang w:val="en-US"/>
        </w:rPr>
        <w:t>Wherton</w:t>
      </w:r>
      <w:proofErr w:type="spellEnd"/>
      <w:r w:rsidRPr="002939E0">
        <w:rPr>
          <w:rFonts w:ascii="Arial" w:hAnsi="Arial" w:cs="Arial"/>
          <w:sz w:val="22"/>
          <w:lang w:val="en-US"/>
        </w:rPr>
        <w:t xml:space="preserve">, J. and Salisbury, H. (2022) ‘Remote care in UK general practice: baseline data on 11 case studies’, </w:t>
      </w:r>
      <w:r w:rsidRPr="002939E0">
        <w:rPr>
          <w:rFonts w:ascii="Arial" w:hAnsi="Arial" w:cs="Arial"/>
          <w:i/>
          <w:iCs/>
          <w:sz w:val="22"/>
          <w:lang w:val="en-US"/>
        </w:rPr>
        <w:t>NIHR Open Research</w:t>
      </w:r>
      <w:r w:rsidRPr="002939E0">
        <w:rPr>
          <w:rFonts w:ascii="Arial" w:hAnsi="Arial" w:cs="Arial"/>
          <w:sz w:val="22"/>
          <w:lang w:val="en-US"/>
        </w:rPr>
        <w:t xml:space="preserve">, 2, 47. Available at: </w:t>
      </w:r>
      <w:hyperlink w:history="1" r:id="rId13">
        <w:r w:rsidRPr="002939E0">
          <w:rPr>
            <w:rStyle w:val="Hyperlink"/>
            <w:rFonts w:ascii="Arial" w:hAnsi="Arial" w:cs="Arial"/>
            <w:sz w:val="22"/>
            <w:lang w:val="en-US"/>
          </w:rPr>
          <w:t>https://doi.org/10.3310/nihropenres.13233.1</w:t>
        </w:r>
      </w:hyperlink>
      <w:r w:rsidRPr="002939E0">
        <w:rPr>
          <w:rFonts w:ascii="Arial" w:hAnsi="Arial" w:cs="Arial"/>
          <w:sz w:val="22"/>
          <w:lang w:val="en-US"/>
        </w:rPr>
        <w:t xml:space="preserve"> (Accessed: 20 July 2026).</w:t>
      </w:r>
    </w:p>
    <w:p w:rsidR="002939E0" w:rsidP="002939E0" w:rsidRDefault="002939E0" w14:paraId="0343392E" w14:textId="77777777">
      <w:pPr>
        <w:rPr>
          <w:rFonts w:ascii="Arial" w:hAnsi="Arial" w:cs="Arial"/>
          <w:sz w:val="22"/>
          <w:lang w:val="en-US"/>
        </w:rPr>
      </w:pPr>
    </w:p>
    <w:p w:rsidRPr="002939E0" w:rsidR="00E81352" w:rsidP="002939E0" w:rsidRDefault="00E81352" w14:paraId="05E17803" w14:textId="77777777">
      <w:pPr>
        <w:rPr>
          <w:rFonts w:ascii="Arial" w:hAnsi="Arial" w:cs="Arial"/>
          <w:sz w:val="22"/>
          <w:lang w:val="en-US"/>
        </w:rPr>
      </w:pPr>
    </w:p>
    <w:p w:rsidRPr="002939E0" w:rsidR="002939E0" w:rsidP="002939E0" w:rsidRDefault="002939E0" w14:paraId="44F55594" w14:textId="77777777">
      <w:pPr>
        <w:rPr>
          <w:rFonts w:ascii="Arial" w:hAnsi="Arial" w:cs="Arial"/>
          <w:sz w:val="22"/>
          <w:lang w:val="en-US"/>
        </w:rPr>
      </w:pPr>
      <w:r w:rsidRPr="002939E0">
        <w:rPr>
          <w:rFonts w:ascii="Arial" w:hAnsi="Arial" w:cs="Arial"/>
          <w:sz w:val="22"/>
          <w:lang w:val="en-US"/>
        </w:rPr>
        <w:t xml:space="preserve">Ladds, E., Khan, M., Moore, L., Kalin, A. and Greenhalgh, T. (2023) ‘The impact of remote care approaches on continuity in primary care: a mixed-studies systematic review’, </w:t>
      </w:r>
      <w:r w:rsidRPr="002939E0">
        <w:rPr>
          <w:rFonts w:ascii="Arial" w:hAnsi="Arial" w:cs="Arial"/>
          <w:i/>
          <w:iCs/>
          <w:sz w:val="22"/>
          <w:lang w:val="en-US"/>
        </w:rPr>
        <w:t>British Journal of General Practice</w:t>
      </w:r>
      <w:r w:rsidRPr="002939E0">
        <w:rPr>
          <w:rFonts w:ascii="Arial" w:hAnsi="Arial" w:cs="Arial"/>
          <w:sz w:val="22"/>
          <w:lang w:val="en-US"/>
        </w:rPr>
        <w:t xml:space="preserve">, 73(730), pp. e374–e383. Available at: </w:t>
      </w:r>
      <w:hyperlink w:history="1" r:id="rId14">
        <w:r w:rsidRPr="002939E0">
          <w:rPr>
            <w:rStyle w:val="Hyperlink"/>
            <w:rFonts w:ascii="Arial" w:hAnsi="Arial" w:cs="Arial"/>
            <w:sz w:val="22"/>
            <w:lang w:val="en-US"/>
          </w:rPr>
          <w:t>https://doi.org/10.3399/BJGP.2022.0398</w:t>
        </w:r>
      </w:hyperlink>
      <w:r w:rsidRPr="002939E0">
        <w:rPr>
          <w:rFonts w:ascii="Arial" w:hAnsi="Arial" w:cs="Arial"/>
          <w:sz w:val="22"/>
          <w:lang w:val="en-US"/>
        </w:rPr>
        <w:t xml:space="preserve"> (Accessed: 20 July 2026).</w:t>
      </w:r>
    </w:p>
    <w:p w:rsidRPr="002939E0" w:rsidR="002939E0" w:rsidP="002939E0" w:rsidRDefault="002939E0" w14:paraId="12E0EDA1" w14:textId="77777777">
      <w:pPr>
        <w:rPr>
          <w:rFonts w:ascii="Arial" w:hAnsi="Arial" w:cs="Arial"/>
          <w:sz w:val="22"/>
          <w:lang w:val="en-US"/>
        </w:rPr>
      </w:pPr>
    </w:p>
    <w:p w:rsidR="002939E0" w:rsidP="002939E0" w:rsidRDefault="002939E0" w14:paraId="5A090251" w14:textId="77777777">
      <w:pPr>
        <w:rPr>
          <w:rFonts w:ascii="Arial" w:hAnsi="Arial" w:cs="Arial"/>
          <w:sz w:val="22"/>
          <w:lang w:val="en-US"/>
        </w:rPr>
      </w:pPr>
      <w:r w:rsidRPr="002939E0">
        <w:rPr>
          <w:rFonts w:ascii="Arial" w:hAnsi="Arial" w:cs="Arial"/>
          <w:sz w:val="22"/>
          <w:lang w:val="en-US"/>
        </w:rPr>
        <w:t xml:space="preserve">Leung, K., </w:t>
      </w:r>
      <w:r w:rsidRPr="002939E0">
        <w:rPr>
          <w:rFonts w:ascii="Arial" w:hAnsi="Arial" w:cs="Arial"/>
          <w:i/>
          <w:iCs/>
          <w:sz w:val="22"/>
          <w:lang w:val="en-US"/>
        </w:rPr>
        <w:t>et al.</w:t>
      </w:r>
      <w:r w:rsidRPr="002939E0">
        <w:rPr>
          <w:rFonts w:ascii="Arial" w:hAnsi="Arial" w:cs="Arial"/>
          <w:sz w:val="22"/>
          <w:lang w:val="en-US"/>
        </w:rPr>
        <w:t xml:space="preserve"> (2025) ‘Use of an electronic consultation system in an </w:t>
      </w:r>
      <w:proofErr w:type="gramStart"/>
      <w:r w:rsidRPr="002939E0">
        <w:rPr>
          <w:rFonts w:ascii="Arial" w:hAnsi="Arial" w:cs="Arial"/>
          <w:sz w:val="22"/>
          <w:lang w:val="en-US"/>
        </w:rPr>
        <w:t>inner city</w:t>
      </w:r>
      <w:proofErr w:type="gramEnd"/>
      <w:r w:rsidRPr="002939E0">
        <w:rPr>
          <w:rFonts w:ascii="Arial" w:hAnsi="Arial" w:cs="Arial"/>
          <w:sz w:val="22"/>
          <w:lang w:val="en-US"/>
        </w:rPr>
        <w:t xml:space="preserve"> general practice: a mixed-methods service evaluation’, </w:t>
      </w:r>
      <w:r w:rsidRPr="002939E0">
        <w:rPr>
          <w:rFonts w:ascii="Arial" w:hAnsi="Arial" w:cs="Arial"/>
          <w:i/>
          <w:iCs/>
          <w:sz w:val="22"/>
          <w:lang w:val="en-US"/>
        </w:rPr>
        <w:t>BMJ Open Quality</w:t>
      </w:r>
      <w:r w:rsidRPr="002939E0">
        <w:rPr>
          <w:rFonts w:ascii="Arial" w:hAnsi="Arial" w:cs="Arial"/>
          <w:sz w:val="22"/>
          <w:lang w:val="en-US"/>
        </w:rPr>
        <w:t xml:space="preserve">, 14(3), e002741. Available at: </w:t>
      </w:r>
      <w:hyperlink w:history="1" r:id="rId15">
        <w:r w:rsidRPr="002939E0">
          <w:rPr>
            <w:rStyle w:val="Hyperlink"/>
            <w:rFonts w:ascii="Arial" w:hAnsi="Arial" w:cs="Arial"/>
            <w:sz w:val="22"/>
            <w:lang w:val="en-US"/>
          </w:rPr>
          <w:t>https://doi.org/10.1136/bmjoq-2024-002741</w:t>
        </w:r>
      </w:hyperlink>
      <w:r w:rsidRPr="002939E0">
        <w:rPr>
          <w:rFonts w:ascii="Arial" w:hAnsi="Arial" w:cs="Arial"/>
          <w:sz w:val="22"/>
          <w:lang w:val="en-US"/>
        </w:rPr>
        <w:t xml:space="preserve"> (Accessed: 20 July 2026).</w:t>
      </w:r>
    </w:p>
    <w:p w:rsidR="00BE081B" w:rsidP="002939E0" w:rsidRDefault="00BE081B" w14:paraId="76D382A0" w14:textId="77777777">
      <w:pPr>
        <w:rPr>
          <w:rFonts w:ascii="Arial" w:hAnsi="Arial" w:cs="Arial"/>
          <w:sz w:val="22"/>
          <w:lang w:val="en-US"/>
        </w:rPr>
      </w:pPr>
    </w:p>
    <w:p w:rsidRPr="00D111E8" w:rsidR="00D111E8" w:rsidP="00D111E8" w:rsidRDefault="00D111E8" w14:paraId="7355BEE8" w14:textId="77777777">
      <w:pPr>
        <w:rPr>
          <w:rFonts w:ascii="Arial" w:hAnsi="Arial" w:cs="Arial"/>
          <w:sz w:val="22"/>
          <w:lang w:val="en-US"/>
        </w:rPr>
      </w:pPr>
      <w:r w:rsidRPr="00D111E8">
        <w:rPr>
          <w:rFonts w:ascii="Arial" w:hAnsi="Arial" w:cs="Arial"/>
          <w:sz w:val="22"/>
          <w:lang w:val="en-US"/>
        </w:rPr>
        <w:t xml:space="preserve">Murphy, M., Scott, L.J., Salisbury, C., Turner, A., Scott, A., Denholm, R., Lewis, R., Iyer, G., MacLeod, J. and Horwood, J. (2021) ‘Implementation of remote consulting in UK primary care following the COVID-19 pandemic: a mixed-methods longitudinal study’, </w:t>
      </w:r>
      <w:r w:rsidRPr="00D111E8">
        <w:rPr>
          <w:rFonts w:ascii="Arial" w:hAnsi="Arial" w:cs="Arial"/>
          <w:i/>
          <w:iCs/>
          <w:sz w:val="22"/>
          <w:lang w:val="en-US"/>
        </w:rPr>
        <w:t xml:space="preserve">British Journal </w:t>
      </w:r>
      <w:r w:rsidRPr="00D111E8">
        <w:rPr>
          <w:rFonts w:ascii="Arial" w:hAnsi="Arial" w:cs="Arial"/>
          <w:i/>
          <w:iCs/>
          <w:sz w:val="22"/>
          <w:lang w:val="en-US"/>
        </w:rPr>
        <w:lastRenderedPageBreak/>
        <w:t>of General Practice</w:t>
      </w:r>
      <w:r w:rsidRPr="00D111E8">
        <w:rPr>
          <w:rFonts w:ascii="Arial" w:hAnsi="Arial" w:cs="Arial"/>
          <w:sz w:val="22"/>
          <w:lang w:val="en-US"/>
        </w:rPr>
        <w:t xml:space="preserve">, 71(704), pp. e166–e177. Available at: </w:t>
      </w:r>
      <w:hyperlink w:history="1" r:id="rId16">
        <w:r w:rsidRPr="00D111E8">
          <w:rPr>
            <w:rStyle w:val="Hyperlink"/>
            <w:rFonts w:ascii="Arial" w:hAnsi="Arial" w:cs="Arial"/>
            <w:sz w:val="22"/>
            <w:lang w:val="en-US"/>
          </w:rPr>
          <w:t>https://doi.org/10.3399/BJGP.2020.0948</w:t>
        </w:r>
      </w:hyperlink>
      <w:r w:rsidRPr="00D111E8">
        <w:rPr>
          <w:rFonts w:ascii="Arial" w:hAnsi="Arial" w:cs="Arial"/>
          <w:sz w:val="22"/>
          <w:lang w:val="en-US"/>
        </w:rPr>
        <w:t xml:space="preserve"> (Accessed: 20 July 2026).</w:t>
      </w:r>
    </w:p>
    <w:p w:rsidRPr="00D111E8" w:rsidR="00D111E8" w:rsidP="00D111E8" w:rsidRDefault="00D111E8" w14:paraId="3B89B342" w14:textId="77777777">
      <w:pPr>
        <w:rPr>
          <w:rFonts w:ascii="Arial" w:hAnsi="Arial" w:cs="Arial"/>
          <w:sz w:val="22"/>
          <w:lang w:val="en-US"/>
        </w:rPr>
      </w:pPr>
    </w:p>
    <w:p w:rsidRPr="00D111E8" w:rsidR="00D111E8" w:rsidP="00D111E8" w:rsidRDefault="00D111E8" w14:paraId="2CAEB0E3" w14:textId="77777777">
      <w:pPr>
        <w:rPr>
          <w:rFonts w:ascii="Arial" w:hAnsi="Arial" w:cs="Arial"/>
          <w:sz w:val="22"/>
          <w:lang w:val="en-US"/>
        </w:rPr>
      </w:pPr>
      <w:r w:rsidRPr="00D111E8">
        <w:rPr>
          <w:rFonts w:ascii="Arial" w:hAnsi="Arial" w:cs="Arial"/>
          <w:sz w:val="22"/>
          <w:lang w:val="en-US"/>
        </w:rPr>
        <w:t xml:space="preserve">Parker, R.F., Figures, E.L., Paddison, C.A.M., Matheson, J.I.D.M., Blane, D.N. and Ford, J.A. (2021) ‘Inequalities in general practice remote consultations: a systematic review’, </w:t>
      </w:r>
      <w:r w:rsidRPr="00D111E8">
        <w:rPr>
          <w:rFonts w:ascii="Arial" w:hAnsi="Arial" w:cs="Arial"/>
          <w:i/>
          <w:iCs/>
          <w:sz w:val="22"/>
          <w:lang w:val="en-US"/>
        </w:rPr>
        <w:t>BJGP Open</w:t>
      </w:r>
      <w:r w:rsidRPr="00D111E8">
        <w:rPr>
          <w:rFonts w:ascii="Arial" w:hAnsi="Arial" w:cs="Arial"/>
          <w:sz w:val="22"/>
          <w:lang w:val="en-US"/>
        </w:rPr>
        <w:t xml:space="preserve">, 5(3), BJGPO.2021.0040. Available at: </w:t>
      </w:r>
      <w:hyperlink w:history="1" r:id="rId17">
        <w:r w:rsidRPr="00D111E8">
          <w:rPr>
            <w:rStyle w:val="Hyperlink"/>
            <w:rFonts w:ascii="Arial" w:hAnsi="Arial" w:cs="Arial"/>
            <w:sz w:val="22"/>
            <w:lang w:val="en-US"/>
          </w:rPr>
          <w:t>https://doi.org/10.3399/BJGPO.2021.0040</w:t>
        </w:r>
      </w:hyperlink>
      <w:r w:rsidRPr="00D111E8">
        <w:rPr>
          <w:rFonts w:ascii="Arial" w:hAnsi="Arial" w:cs="Arial"/>
          <w:sz w:val="22"/>
          <w:lang w:val="en-US"/>
        </w:rPr>
        <w:t xml:space="preserve"> (Accessed: 20 July 2026).</w:t>
      </w:r>
    </w:p>
    <w:p w:rsidRPr="00D111E8" w:rsidR="00D111E8" w:rsidP="00D111E8" w:rsidRDefault="00D111E8" w14:paraId="44C4BA00" w14:textId="77777777">
      <w:pPr>
        <w:rPr>
          <w:rFonts w:ascii="Arial" w:hAnsi="Arial" w:cs="Arial"/>
          <w:sz w:val="22"/>
          <w:lang w:val="en-US"/>
        </w:rPr>
      </w:pPr>
    </w:p>
    <w:p w:rsidRPr="00D111E8" w:rsidR="00D111E8" w:rsidP="00D111E8" w:rsidRDefault="00D111E8" w14:paraId="4A205B0E" w14:textId="77777777">
      <w:pPr>
        <w:rPr>
          <w:rFonts w:ascii="Arial" w:hAnsi="Arial" w:cs="Arial"/>
          <w:sz w:val="22"/>
          <w:lang w:val="en-US"/>
        </w:rPr>
      </w:pPr>
      <w:r w:rsidRPr="00D111E8">
        <w:rPr>
          <w:rFonts w:ascii="Arial" w:hAnsi="Arial" w:cs="Arial"/>
          <w:sz w:val="22"/>
          <w:lang w:val="en-US"/>
        </w:rPr>
        <w:t xml:space="preserve">Roper, E., Ellis, G., Lang, I., Taylor, J., Horne, J.C., Dixon, J., Turner, G., Dewhurst, F. and Holland, M. (2023) ‘A </w:t>
      </w:r>
      <w:proofErr w:type="spellStart"/>
      <w:r w:rsidRPr="00D111E8">
        <w:rPr>
          <w:rFonts w:ascii="Arial" w:hAnsi="Arial" w:cs="Arial"/>
          <w:sz w:val="22"/>
          <w:lang w:val="en-US"/>
        </w:rPr>
        <w:t>multicentre</w:t>
      </w:r>
      <w:proofErr w:type="spellEnd"/>
      <w:r w:rsidRPr="00D111E8">
        <w:rPr>
          <w:rFonts w:ascii="Arial" w:hAnsi="Arial" w:cs="Arial"/>
          <w:sz w:val="22"/>
          <w:lang w:val="en-US"/>
        </w:rPr>
        <w:t xml:space="preserve"> cross-sectional observational study to determine the effect of living with frailty on digital exclusion from video consultations (Access-VIGIL)’, </w:t>
      </w:r>
      <w:r w:rsidRPr="00D111E8">
        <w:rPr>
          <w:rFonts w:ascii="Arial" w:hAnsi="Arial" w:cs="Arial"/>
          <w:i/>
          <w:iCs/>
          <w:sz w:val="22"/>
          <w:lang w:val="en-US"/>
        </w:rPr>
        <w:t>Journal of the American Medical Directors Association</w:t>
      </w:r>
      <w:r w:rsidRPr="00D111E8">
        <w:rPr>
          <w:rFonts w:ascii="Arial" w:hAnsi="Arial" w:cs="Arial"/>
          <w:sz w:val="22"/>
          <w:lang w:val="en-US"/>
        </w:rPr>
        <w:t xml:space="preserve">, 24(12), pp. 1946–1952.e2. Available at: </w:t>
      </w:r>
      <w:hyperlink w:history="1" r:id="rId18">
        <w:r w:rsidRPr="00D111E8">
          <w:rPr>
            <w:rStyle w:val="Hyperlink"/>
            <w:rFonts w:ascii="Arial" w:hAnsi="Arial" w:cs="Arial"/>
            <w:sz w:val="22"/>
            <w:lang w:val="en-US"/>
          </w:rPr>
          <w:t>https://doi.org/10.1016/j.jamda.2023.08.028</w:t>
        </w:r>
      </w:hyperlink>
      <w:r w:rsidRPr="00D111E8">
        <w:rPr>
          <w:rFonts w:ascii="Arial" w:hAnsi="Arial" w:cs="Arial"/>
          <w:sz w:val="22"/>
          <w:lang w:val="en-US"/>
        </w:rPr>
        <w:t xml:space="preserve"> (Accessed: 20 July 2026).</w:t>
      </w:r>
    </w:p>
    <w:p w:rsidRPr="00D111E8" w:rsidR="00D111E8" w:rsidP="00D111E8" w:rsidRDefault="00D111E8" w14:paraId="565205BF" w14:textId="77777777">
      <w:pPr>
        <w:rPr>
          <w:rFonts w:ascii="Arial" w:hAnsi="Arial" w:cs="Arial"/>
          <w:sz w:val="22"/>
          <w:lang w:val="en-US"/>
        </w:rPr>
      </w:pPr>
    </w:p>
    <w:p w:rsidRPr="00D111E8" w:rsidR="00D111E8" w:rsidP="00D111E8" w:rsidRDefault="00D111E8" w14:paraId="23B34C2D" w14:textId="77777777">
      <w:pPr>
        <w:rPr>
          <w:rFonts w:ascii="Arial" w:hAnsi="Arial" w:cs="Arial"/>
          <w:sz w:val="22"/>
          <w:lang w:val="en-US"/>
        </w:rPr>
      </w:pPr>
      <w:r w:rsidRPr="00D111E8">
        <w:rPr>
          <w:rFonts w:ascii="Arial" w:hAnsi="Arial" w:cs="Arial"/>
          <w:sz w:val="22"/>
          <w:lang w:val="en-US"/>
        </w:rPr>
        <w:t xml:space="preserve">Shah, P., </w:t>
      </w:r>
      <w:r w:rsidRPr="00D111E8">
        <w:rPr>
          <w:rFonts w:ascii="Arial" w:hAnsi="Arial" w:cs="Arial"/>
          <w:i/>
          <w:iCs/>
          <w:sz w:val="22"/>
          <w:lang w:val="en-US"/>
        </w:rPr>
        <w:t>et al.</w:t>
      </w:r>
      <w:r w:rsidRPr="00D111E8">
        <w:rPr>
          <w:rFonts w:ascii="Arial" w:hAnsi="Arial" w:cs="Arial"/>
          <w:sz w:val="22"/>
          <w:lang w:val="en-US"/>
        </w:rPr>
        <w:t xml:space="preserve"> (2023) ‘Benefits, challenges and sustainability of digital healthcare for NHS Wales: a qualitative study’, </w:t>
      </w:r>
      <w:r w:rsidRPr="00D111E8">
        <w:rPr>
          <w:rFonts w:ascii="Arial" w:hAnsi="Arial" w:cs="Arial"/>
          <w:i/>
          <w:iCs/>
          <w:sz w:val="22"/>
          <w:lang w:val="en-US"/>
        </w:rPr>
        <w:t>BMJ Open</w:t>
      </w:r>
      <w:r w:rsidRPr="00D111E8">
        <w:rPr>
          <w:rFonts w:ascii="Arial" w:hAnsi="Arial" w:cs="Arial"/>
          <w:sz w:val="22"/>
          <w:lang w:val="en-US"/>
        </w:rPr>
        <w:t xml:space="preserve">, 13(5), e069371. Available at: </w:t>
      </w:r>
      <w:hyperlink w:history="1" r:id="rId19">
        <w:r w:rsidRPr="00D111E8">
          <w:rPr>
            <w:rStyle w:val="Hyperlink"/>
            <w:rFonts w:ascii="Arial" w:hAnsi="Arial" w:cs="Arial"/>
            <w:sz w:val="22"/>
            <w:lang w:val="en-US"/>
          </w:rPr>
          <w:t>https://doi.org/10.1136/bmjopen-2022-069371</w:t>
        </w:r>
      </w:hyperlink>
      <w:r w:rsidRPr="00D111E8">
        <w:rPr>
          <w:rFonts w:ascii="Arial" w:hAnsi="Arial" w:cs="Arial"/>
          <w:sz w:val="22"/>
          <w:lang w:val="en-US"/>
        </w:rPr>
        <w:t xml:space="preserve"> (Accessed: 20 July 2026).</w:t>
      </w:r>
    </w:p>
    <w:p w:rsidRPr="00D111E8" w:rsidR="00D111E8" w:rsidP="00D111E8" w:rsidRDefault="00D111E8" w14:paraId="307E2162" w14:textId="77777777">
      <w:pPr>
        <w:rPr>
          <w:rFonts w:ascii="Arial" w:hAnsi="Arial" w:cs="Arial"/>
          <w:sz w:val="22"/>
          <w:lang w:val="en-US"/>
        </w:rPr>
      </w:pPr>
    </w:p>
    <w:p w:rsidRPr="00D111E8" w:rsidR="00D111E8" w:rsidP="00D111E8" w:rsidRDefault="00D111E8" w14:paraId="71D36791" w14:textId="77777777">
      <w:pPr>
        <w:rPr>
          <w:rFonts w:ascii="Arial" w:hAnsi="Arial" w:cs="Arial"/>
          <w:sz w:val="22"/>
          <w:lang w:val="en-US"/>
        </w:rPr>
      </w:pPr>
      <w:r w:rsidRPr="00D111E8">
        <w:rPr>
          <w:rFonts w:ascii="Arial" w:hAnsi="Arial" w:cs="Arial"/>
          <w:sz w:val="22"/>
          <w:lang w:val="en-US"/>
        </w:rPr>
        <w:t xml:space="preserve">Turner, A., Morris, R., Rakhra, D., Stevenson, F., McDonagh, L., Hamilton, F., Atherton, H., Farr, M., Blake, S., Banks, J., Lasseter, G., </w:t>
      </w:r>
      <w:proofErr w:type="spellStart"/>
      <w:r w:rsidRPr="00D111E8">
        <w:rPr>
          <w:rFonts w:ascii="Arial" w:hAnsi="Arial" w:cs="Arial"/>
          <w:sz w:val="22"/>
          <w:lang w:val="en-US"/>
        </w:rPr>
        <w:t>Ziebland</w:t>
      </w:r>
      <w:proofErr w:type="spellEnd"/>
      <w:r w:rsidRPr="00D111E8">
        <w:rPr>
          <w:rFonts w:ascii="Arial" w:hAnsi="Arial" w:cs="Arial"/>
          <w:sz w:val="22"/>
          <w:lang w:val="en-US"/>
        </w:rPr>
        <w:t xml:space="preserve">, S., Hyde, E., Powell, J. and Horwood, J. (2022) ‘Unintended consequences of online consultations: a qualitative study in UK primary care’, </w:t>
      </w:r>
      <w:r w:rsidRPr="00D111E8">
        <w:rPr>
          <w:rFonts w:ascii="Arial" w:hAnsi="Arial" w:cs="Arial"/>
          <w:i/>
          <w:iCs/>
          <w:sz w:val="22"/>
          <w:lang w:val="en-US"/>
        </w:rPr>
        <w:t>British Journal of General Practice</w:t>
      </w:r>
      <w:r w:rsidRPr="00D111E8">
        <w:rPr>
          <w:rFonts w:ascii="Arial" w:hAnsi="Arial" w:cs="Arial"/>
          <w:sz w:val="22"/>
          <w:lang w:val="en-US"/>
        </w:rPr>
        <w:t xml:space="preserve">, 72(715), pp. e128–e137. Available at: </w:t>
      </w:r>
      <w:hyperlink w:history="1" r:id="rId20">
        <w:r w:rsidRPr="00D111E8">
          <w:rPr>
            <w:rStyle w:val="Hyperlink"/>
            <w:rFonts w:ascii="Arial" w:hAnsi="Arial" w:cs="Arial"/>
            <w:sz w:val="22"/>
            <w:lang w:val="en-US"/>
          </w:rPr>
          <w:t>https://doi.org/10.3399/BJGP.2021.0426</w:t>
        </w:r>
      </w:hyperlink>
      <w:r w:rsidRPr="00D111E8">
        <w:rPr>
          <w:rFonts w:ascii="Arial" w:hAnsi="Arial" w:cs="Arial"/>
          <w:sz w:val="22"/>
          <w:lang w:val="en-US"/>
        </w:rPr>
        <w:t xml:space="preserve"> (Accessed: 20 July 2026).</w:t>
      </w:r>
    </w:p>
    <w:p w:rsidRPr="00D111E8" w:rsidR="00D111E8" w:rsidP="00D111E8" w:rsidRDefault="00D111E8" w14:paraId="56392401" w14:textId="77777777">
      <w:pPr>
        <w:rPr>
          <w:rFonts w:ascii="Arial" w:hAnsi="Arial" w:cs="Arial"/>
          <w:sz w:val="22"/>
          <w:lang w:val="en-US"/>
        </w:rPr>
      </w:pPr>
    </w:p>
    <w:p w:rsidRPr="00D111E8" w:rsidR="00D111E8" w:rsidP="00D111E8" w:rsidRDefault="00D111E8" w14:paraId="69271DA4" w14:textId="77777777">
      <w:pPr>
        <w:rPr>
          <w:rFonts w:ascii="Arial" w:hAnsi="Arial" w:cs="Arial"/>
          <w:sz w:val="22"/>
          <w:lang w:val="en-US"/>
        </w:rPr>
      </w:pPr>
      <w:r w:rsidRPr="00D111E8">
        <w:rPr>
          <w:rFonts w:ascii="Arial" w:hAnsi="Arial" w:cs="Arial"/>
          <w:sz w:val="22"/>
          <w:lang w:val="en-US"/>
        </w:rPr>
        <w:t xml:space="preserve">Vas, V., North, S., Rua, T., Chilton, D., Cashman, M., Malhotra, B., Garrood, T., Marshall, M. and Williams, P. (2022) ‘Delivering outpatient virtual clinics during the COVID-19 pandemic: early evaluation of clinicians’ experiences’, </w:t>
      </w:r>
      <w:r w:rsidRPr="00D111E8">
        <w:rPr>
          <w:rFonts w:ascii="Arial" w:hAnsi="Arial" w:cs="Arial"/>
          <w:i/>
          <w:iCs/>
          <w:sz w:val="22"/>
          <w:lang w:val="en-US"/>
        </w:rPr>
        <w:t>BMJ Open Quality</w:t>
      </w:r>
      <w:r w:rsidRPr="00D111E8">
        <w:rPr>
          <w:rFonts w:ascii="Arial" w:hAnsi="Arial" w:cs="Arial"/>
          <w:sz w:val="22"/>
          <w:lang w:val="en-US"/>
        </w:rPr>
        <w:t xml:space="preserve">, 11(1), e001313. Available at: </w:t>
      </w:r>
      <w:hyperlink w:history="1" r:id="rId21">
        <w:r w:rsidRPr="00D111E8">
          <w:rPr>
            <w:rStyle w:val="Hyperlink"/>
            <w:rFonts w:ascii="Arial" w:hAnsi="Arial" w:cs="Arial"/>
            <w:sz w:val="22"/>
            <w:lang w:val="en-US"/>
          </w:rPr>
          <w:t>https://doi.org/10.1136/bmjoq-2020-001313</w:t>
        </w:r>
      </w:hyperlink>
      <w:r w:rsidRPr="00D111E8">
        <w:rPr>
          <w:rFonts w:ascii="Arial" w:hAnsi="Arial" w:cs="Arial"/>
          <w:sz w:val="22"/>
          <w:lang w:val="en-US"/>
        </w:rPr>
        <w:t xml:space="preserve"> (Accessed: 20 July 2026).</w:t>
      </w:r>
    </w:p>
    <w:p w:rsidRPr="00D111E8" w:rsidR="00D111E8" w:rsidP="00D111E8" w:rsidRDefault="00D111E8" w14:paraId="1CA91045" w14:textId="77777777">
      <w:pPr>
        <w:rPr>
          <w:rFonts w:ascii="Arial" w:hAnsi="Arial" w:cs="Arial"/>
          <w:sz w:val="22"/>
          <w:lang w:val="en-US"/>
        </w:rPr>
      </w:pPr>
    </w:p>
    <w:p w:rsidRPr="00D111E8" w:rsidR="00D111E8" w:rsidP="00D111E8" w:rsidRDefault="00D111E8" w14:paraId="1CE1EBEE" w14:textId="77777777">
      <w:pPr>
        <w:rPr>
          <w:rFonts w:ascii="Arial" w:hAnsi="Arial" w:cs="Arial"/>
          <w:sz w:val="22"/>
          <w:lang w:val="en-US"/>
        </w:rPr>
      </w:pPr>
      <w:r w:rsidRPr="00D111E8">
        <w:rPr>
          <w:rFonts w:ascii="Arial" w:hAnsi="Arial" w:cs="Arial"/>
          <w:sz w:val="22"/>
          <w:lang w:val="en-US"/>
        </w:rPr>
        <w:t xml:space="preserve">Wanat, M., Hoste, M., Gobat, N., </w:t>
      </w:r>
      <w:proofErr w:type="spellStart"/>
      <w:r w:rsidRPr="00D111E8">
        <w:rPr>
          <w:rFonts w:ascii="Arial" w:hAnsi="Arial" w:cs="Arial"/>
          <w:sz w:val="22"/>
          <w:lang w:val="en-US"/>
        </w:rPr>
        <w:t>Anastasaki</w:t>
      </w:r>
      <w:proofErr w:type="spellEnd"/>
      <w:r w:rsidRPr="00D111E8">
        <w:rPr>
          <w:rFonts w:ascii="Arial" w:hAnsi="Arial" w:cs="Arial"/>
          <w:sz w:val="22"/>
          <w:lang w:val="en-US"/>
        </w:rPr>
        <w:t xml:space="preserve">, M., Böhm, A., </w:t>
      </w:r>
      <w:proofErr w:type="spellStart"/>
      <w:r w:rsidRPr="00D111E8">
        <w:rPr>
          <w:rFonts w:ascii="Arial" w:hAnsi="Arial" w:cs="Arial"/>
          <w:sz w:val="22"/>
          <w:lang w:val="en-US"/>
        </w:rPr>
        <w:t>Eramova</w:t>
      </w:r>
      <w:proofErr w:type="spellEnd"/>
      <w:r w:rsidRPr="00D111E8">
        <w:rPr>
          <w:rFonts w:ascii="Arial" w:hAnsi="Arial" w:cs="Arial"/>
          <w:sz w:val="22"/>
          <w:lang w:val="en-US"/>
        </w:rPr>
        <w:t xml:space="preserve">, I., Fleming, A., Kringos, D., </w:t>
      </w:r>
      <w:proofErr w:type="spellStart"/>
      <w:r w:rsidRPr="00D111E8">
        <w:rPr>
          <w:rFonts w:ascii="Arial" w:hAnsi="Arial" w:cs="Arial"/>
          <w:sz w:val="22"/>
          <w:lang w:val="en-US"/>
        </w:rPr>
        <w:t>Manolova</w:t>
      </w:r>
      <w:proofErr w:type="spellEnd"/>
      <w:r w:rsidRPr="00D111E8">
        <w:rPr>
          <w:rFonts w:ascii="Arial" w:hAnsi="Arial" w:cs="Arial"/>
          <w:sz w:val="22"/>
          <w:lang w:val="en-US"/>
        </w:rPr>
        <w:t xml:space="preserve">, I., Schwarz, P.E.H., Selby, K., </w:t>
      </w:r>
      <w:proofErr w:type="spellStart"/>
      <w:r w:rsidRPr="00D111E8">
        <w:rPr>
          <w:rFonts w:ascii="Arial" w:hAnsi="Arial" w:cs="Arial"/>
          <w:sz w:val="22"/>
          <w:lang w:val="en-US"/>
        </w:rPr>
        <w:t>Tsiligianni</w:t>
      </w:r>
      <w:proofErr w:type="spellEnd"/>
      <w:r w:rsidRPr="00D111E8">
        <w:rPr>
          <w:rFonts w:ascii="Arial" w:hAnsi="Arial" w:cs="Arial"/>
          <w:sz w:val="22"/>
          <w:lang w:val="en-US"/>
        </w:rPr>
        <w:t xml:space="preserve">, I., Verheij, T., van der Velden, A. and Greenhalgh, T. (2024) ‘Satisfaction with remote consultations in primary care during COVID-19: a population survey of UK adults’, </w:t>
      </w:r>
      <w:r w:rsidRPr="00D111E8">
        <w:rPr>
          <w:rFonts w:ascii="Arial" w:hAnsi="Arial" w:cs="Arial"/>
          <w:i/>
          <w:iCs/>
          <w:sz w:val="22"/>
          <w:lang w:val="en-US"/>
        </w:rPr>
        <w:t>British Journal of General Practice</w:t>
      </w:r>
      <w:r w:rsidRPr="00D111E8">
        <w:rPr>
          <w:rFonts w:ascii="Arial" w:hAnsi="Arial" w:cs="Arial"/>
          <w:sz w:val="22"/>
          <w:lang w:val="en-US"/>
        </w:rPr>
        <w:t xml:space="preserve">, 74(738), pp. e29–e37. Available at: </w:t>
      </w:r>
      <w:hyperlink w:history="1" r:id="rId22">
        <w:r w:rsidRPr="00D111E8">
          <w:rPr>
            <w:rStyle w:val="Hyperlink"/>
            <w:rFonts w:ascii="Arial" w:hAnsi="Arial" w:cs="Arial"/>
            <w:sz w:val="22"/>
            <w:lang w:val="en-US"/>
          </w:rPr>
          <w:t>https://doi.org/10.3399/BJGP.2023.0092</w:t>
        </w:r>
      </w:hyperlink>
      <w:r w:rsidRPr="00D111E8">
        <w:rPr>
          <w:rFonts w:ascii="Arial" w:hAnsi="Arial" w:cs="Arial"/>
          <w:sz w:val="22"/>
          <w:lang w:val="en-US"/>
        </w:rPr>
        <w:t xml:space="preserve"> (Accessed: 20 July 2026).</w:t>
      </w:r>
    </w:p>
    <w:p w:rsidRPr="00D111E8" w:rsidR="00D111E8" w:rsidP="00D111E8" w:rsidRDefault="00D111E8" w14:paraId="2224BA2B" w14:textId="77777777">
      <w:pPr>
        <w:rPr>
          <w:rFonts w:ascii="Arial" w:hAnsi="Arial" w:cs="Arial"/>
          <w:sz w:val="22"/>
          <w:lang w:val="en-US"/>
        </w:rPr>
      </w:pPr>
    </w:p>
    <w:p w:rsidRPr="00D111E8" w:rsidR="00D111E8" w:rsidP="00D111E8" w:rsidRDefault="00D111E8" w14:paraId="7606B9A4" w14:textId="77777777">
      <w:pPr>
        <w:rPr>
          <w:rFonts w:ascii="Arial" w:hAnsi="Arial" w:cs="Arial"/>
          <w:sz w:val="22"/>
          <w:lang w:val="en-US"/>
        </w:rPr>
      </w:pPr>
      <w:proofErr w:type="spellStart"/>
      <w:r w:rsidRPr="00D111E8">
        <w:rPr>
          <w:rFonts w:ascii="Arial" w:hAnsi="Arial" w:cs="Arial"/>
          <w:sz w:val="22"/>
          <w:lang w:val="en-US"/>
        </w:rPr>
        <w:t>Wherton</w:t>
      </w:r>
      <w:proofErr w:type="spellEnd"/>
      <w:r w:rsidRPr="00D111E8">
        <w:rPr>
          <w:rFonts w:ascii="Arial" w:hAnsi="Arial" w:cs="Arial"/>
          <w:sz w:val="22"/>
          <w:lang w:val="en-US"/>
        </w:rPr>
        <w:t xml:space="preserve">, J., Shaw, S., Papoutsi, C., </w:t>
      </w:r>
      <w:proofErr w:type="spellStart"/>
      <w:r w:rsidRPr="00D111E8">
        <w:rPr>
          <w:rFonts w:ascii="Arial" w:hAnsi="Arial" w:cs="Arial"/>
          <w:sz w:val="22"/>
          <w:lang w:val="en-US"/>
        </w:rPr>
        <w:t>Seuren</w:t>
      </w:r>
      <w:proofErr w:type="spellEnd"/>
      <w:r w:rsidRPr="00D111E8">
        <w:rPr>
          <w:rFonts w:ascii="Arial" w:hAnsi="Arial" w:cs="Arial"/>
          <w:sz w:val="22"/>
          <w:lang w:val="en-US"/>
        </w:rPr>
        <w:t xml:space="preserve">, L., Greenhalgh, T. and the Remote by Default Study Team (2021) ‘Guidance on the introduction and use of video consultations during COVID-19: important lessons from qualitative research in UK general practice’, </w:t>
      </w:r>
      <w:r w:rsidRPr="00D111E8">
        <w:rPr>
          <w:rFonts w:ascii="Arial" w:hAnsi="Arial" w:cs="Arial"/>
          <w:i/>
          <w:iCs/>
          <w:sz w:val="22"/>
          <w:lang w:val="en-US"/>
        </w:rPr>
        <w:t>BMJ Leader</w:t>
      </w:r>
      <w:r w:rsidRPr="00D111E8">
        <w:rPr>
          <w:rFonts w:ascii="Arial" w:hAnsi="Arial" w:cs="Arial"/>
          <w:sz w:val="22"/>
          <w:lang w:val="en-US"/>
        </w:rPr>
        <w:t xml:space="preserve">, 5(3), pp. 120–125. Available at: </w:t>
      </w:r>
      <w:hyperlink w:history="1" r:id="rId23">
        <w:r w:rsidRPr="00D111E8">
          <w:rPr>
            <w:rStyle w:val="Hyperlink"/>
            <w:rFonts w:ascii="Arial" w:hAnsi="Arial" w:cs="Arial"/>
            <w:sz w:val="22"/>
            <w:lang w:val="en-US"/>
          </w:rPr>
          <w:t>https://doi.org/10.1136/leader-2020-000262</w:t>
        </w:r>
      </w:hyperlink>
      <w:r w:rsidRPr="00D111E8">
        <w:rPr>
          <w:rFonts w:ascii="Arial" w:hAnsi="Arial" w:cs="Arial"/>
          <w:sz w:val="22"/>
          <w:lang w:val="en-US"/>
        </w:rPr>
        <w:t xml:space="preserve"> (Accessed: 20 July 2026).</w:t>
      </w:r>
    </w:p>
    <w:p w:rsidRPr="002939E0" w:rsidR="00BE081B" w:rsidP="002939E0" w:rsidRDefault="00BE081B" w14:paraId="651CB2C8" w14:textId="77777777">
      <w:pPr>
        <w:rPr>
          <w:rFonts w:ascii="Arial" w:hAnsi="Arial" w:cs="Arial"/>
          <w:sz w:val="22"/>
          <w:lang w:val="en-US"/>
        </w:rPr>
      </w:pPr>
    </w:p>
    <w:p w:rsidRPr="002939E0" w:rsidR="009B1FB7" w:rsidP="009B1FB7" w:rsidRDefault="009B1FB7" w14:paraId="5D4FC6A6" w14:textId="77777777">
      <w:pPr>
        <w:rPr>
          <w:rFonts w:ascii="Arial" w:hAnsi="Arial" w:cs="Arial"/>
          <w:sz w:val="22"/>
          <w:lang w:val="en-US"/>
        </w:rPr>
      </w:pPr>
    </w:p>
    <w:p w:rsidRPr="00CD33A8" w:rsidR="001D7C03" w:rsidP="00CD33A8" w:rsidRDefault="001D7C03" w14:paraId="1425F4AC" w14:textId="6695D929">
      <w:pPr>
        <w:tabs>
          <w:tab w:val="left" w:pos="6540"/>
        </w:tabs>
        <w:spacing w:line="360" w:lineRule="auto"/>
        <w:rPr>
          <w:rFonts w:asciiTheme="minorBidi" w:hAnsiTheme="minorBidi"/>
          <w:sz w:val="22"/>
        </w:rPr>
      </w:pPr>
    </w:p>
    <w:sectPr w:rsidRPr="00CD33A8" w:rsidR="001D7C03" w:rsidSect="00E620E7">
      <w:pgSz w:w="11906" w:h="16838" w:orient="portrait"/>
      <w:pgMar w:top="1440" w:right="1440" w:bottom="1440" w:left="1440" w:header="708" w:footer="708" w:gutter="0"/>
      <w:cols w:space="708"/>
      <w:titlePg/>
      <w:docGrid w:linePitch="360"/>
      <w:headerReference w:type="default" r:id="R8b3212a241734725"/>
      <w:headerReference w:type="first" r:id="R75d5065aeb39476f"/>
      <w:footerReference w:type="default" r:id="Ra82830a7807f4180"/>
      <w:footerReference w:type="first" r:id="R6bdada81bc7841d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4577E" w:rsidP="003E4ECF" w:rsidRDefault="0014577E" w14:paraId="765B61C0" w14:textId="77777777">
      <w:pPr>
        <w:spacing w:after="0" w:line="240" w:lineRule="auto"/>
      </w:pPr>
      <w:r>
        <w:separator/>
      </w:r>
    </w:p>
  </w:endnote>
  <w:endnote w:type="continuationSeparator" w:id="0">
    <w:p w:rsidR="0014577E" w:rsidP="003E4ECF" w:rsidRDefault="0014577E" w14:paraId="6DD8EBA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2A5FA13" w:rsidTr="22A5FA13" w14:paraId="5A3C7D8F">
      <w:trPr>
        <w:trHeight w:val="300"/>
      </w:trPr>
      <w:tc>
        <w:tcPr>
          <w:tcW w:w="3005" w:type="dxa"/>
          <w:tcMar/>
        </w:tcPr>
        <w:p w:rsidR="22A5FA13" w:rsidP="22A5FA13" w:rsidRDefault="22A5FA13" w14:paraId="54F65E05" w14:textId="42E89595">
          <w:pPr>
            <w:pStyle w:val="Header"/>
            <w:bidi w:val="0"/>
            <w:ind w:left="-115"/>
            <w:jc w:val="left"/>
          </w:pPr>
        </w:p>
      </w:tc>
      <w:tc>
        <w:tcPr>
          <w:tcW w:w="3005" w:type="dxa"/>
          <w:tcMar/>
        </w:tcPr>
        <w:p w:rsidR="22A5FA13" w:rsidP="22A5FA13" w:rsidRDefault="22A5FA13" w14:paraId="7EA61CDB" w14:textId="51A7C8A2">
          <w:pPr>
            <w:pStyle w:val="Header"/>
            <w:bidi w:val="0"/>
            <w:jc w:val="center"/>
          </w:pPr>
          <w:r>
            <w:fldChar w:fldCharType="begin"/>
          </w:r>
          <w:r>
            <w:instrText xml:space="preserve">PAGE</w:instrText>
          </w:r>
          <w:r>
            <w:fldChar w:fldCharType="separate"/>
          </w:r>
          <w:r>
            <w:fldChar w:fldCharType="end"/>
          </w:r>
        </w:p>
      </w:tc>
      <w:tc>
        <w:tcPr>
          <w:tcW w:w="3005" w:type="dxa"/>
          <w:tcMar/>
        </w:tcPr>
        <w:p w:rsidR="22A5FA13" w:rsidP="22A5FA13" w:rsidRDefault="22A5FA13" w14:paraId="5F14942A" w14:textId="554F5104">
          <w:pPr>
            <w:pStyle w:val="Header"/>
            <w:bidi w:val="0"/>
            <w:ind w:right="-115"/>
            <w:jc w:val="right"/>
          </w:pPr>
        </w:p>
      </w:tc>
    </w:tr>
  </w:tbl>
  <w:p w:rsidR="22A5FA13" w:rsidP="22A5FA13" w:rsidRDefault="22A5FA13" w14:paraId="585C5C7A" w14:textId="306276D8">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2A5FA13" w:rsidTr="22A5FA13" w14:paraId="0728B9E7">
      <w:trPr>
        <w:trHeight w:val="300"/>
      </w:trPr>
      <w:tc>
        <w:tcPr>
          <w:tcW w:w="3005" w:type="dxa"/>
          <w:tcMar/>
        </w:tcPr>
        <w:p w:rsidR="22A5FA13" w:rsidP="22A5FA13" w:rsidRDefault="22A5FA13" w14:paraId="7803D9CC" w14:textId="5DC68C2A">
          <w:pPr>
            <w:pStyle w:val="Header"/>
            <w:bidi w:val="0"/>
            <w:ind w:left="-115"/>
            <w:jc w:val="left"/>
          </w:pPr>
        </w:p>
      </w:tc>
      <w:tc>
        <w:tcPr>
          <w:tcW w:w="3005" w:type="dxa"/>
          <w:tcMar/>
        </w:tcPr>
        <w:p w:rsidR="22A5FA13" w:rsidP="22A5FA13" w:rsidRDefault="22A5FA13" w14:paraId="01097D78" w14:textId="113FEF65">
          <w:pPr>
            <w:pStyle w:val="Header"/>
            <w:bidi w:val="0"/>
            <w:jc w:val="center"/>
          </w:pPr>
        </w:p>
      </w:tc>
      <w:tc>
        <w:tcPr>
          <w:tcW w:w="3005" w:type="dxa"/>
          <w:tcMar/>
        </w:tcPr>
        <w:p w:rsidR="22A5FA13" w:rsidP="22A5FA13" w:rsidRDefault="22A5FA13" w14:paraId="68F17739" w14:textId="1B66F4A6">
          <w:pPr>
            <w:pStyle w:val="Header"/>
            <w:bidi w:val="0"/>
            <w:ind w:right="-115"/>
            <w:jc w:val="right"/>
          </w:pPr>
        </w:p>
      </w:tc>
    </w:tr>
  </w:tbl>
  <w:p w:rsidR="22A5FA13" w:rsidP="22A5FA13" w:rsidRDefault="22A5FA13" w14:paraId="3F22278B" w14:textId="796BCC41">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4577E" w:rsidP="003E4ECF" w:rsidRDefault="0014577E" w14:paraId="498A0D0B" w14:textId="77777777">
      <w:pPr>
        <w:spacing w:after="0" w:line="240" w:lineRule="auto"/>
      </w:pPr>
      <w:r>
        <w:separator/>
      </w:r>
    </w:p>
  </w:footnote>
  <w:footnote w:type="continuationSeparator" w:id="0">
    <w:p w:rsidR="0014577E" w:rsidP="003E4ECF" w:rsidRDefault="0014577E" w14:paraId="749B40A4"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2A5FA13" w:rsidTr="22A5FA13" w14:paraId="189C370B">
      <w:trPr>
        <w:trHeight w:val="300"/>
      </w:trPr>
      <w:tc>
        <w:tcPr>
          <w:tcW w:w="3005" w:type="dxa"/>
          <w:tcMar/>
        </w:tcPr>
        <w:p w:rsidR="22A5FA13" w:rsidP="22A5FA13" w:rsidRDefault="22A5FA13" w14:paraId="6E3F84B4" w14:textId="72BCB8A0">
          <w:pPr>
            <w:pStyle w:val="Header"/>
            <w:bidi w:val="0"/>
            <w:ind w:left="-115"/>
            <w:jc w:val="left"/>
          </w:pPr>
        </w:p>
      </w:tc>
      <w:tc>
        <w:tcPr>
          <w:tcW w:w="3005" w:type="dxa"/>
          <w:tcMar/>
        </w:tcPr>
        <w:p w:rsidR="22A5FA13" w:rsidP="22A5FA13" w:rsidRDefault="22A5FA13" w14:paraId="5BC56094" w14:textId="49E47D63">
          <w:pPr>
            <w:pStyle w:val="Header"/>
            <w:bidi w:val="0"/>
            <w:jc w:val="center"/>
          </w:pPr>
        </w:p>
      </w:tc>
      <w:tc>
        <w:tcPr>
          <w:tcW w:w="3005" w:type="dxa"/>
          <w:tcMar/>
        </w:tcPr>
        <w:p w:rsidR="22A5FA13" w:rsidP="22A5FA13" w:rsidRDefault="22A5FA13" w14:paraId="7520512D" w14:textId="22F8EFD5">
          <w:pPr>
            <w:pStyle w:val="Header"/>
            <w:bidi w:val="0"/>
            <w:ind w:right="-115"/>
            <w:jc w:val="right"/>
          </w:pPr>
        </w:p>
      </w:tc>
    </w:tr>
  </w:tbl>
  <w:p w:rsidR="22A5FA13" w:rsidP="22A5FA13" w:rsidRDefault="22A5FA13" w14:paraId="61865BE6" w14:textId="777A7D47">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2A5FA13" w:rsidTr="22A5FA13" w14:paraId="6E6EFE16">
      <w:trPr>
        <w:trHeight w:val="300"/>
      </w:trPr>
      <w:tc>
        <w:tcPr>
          <w:tcW w:w="3005" w:type="dxa"/>
          <w:tcMar/>
        </w:tcPr>
        <w:p w:rsidR="22A5FA13" w:rsidP="22A5FA13" w:rsidRDefault="22A5FA13" w14:paraId="30005629" w14:textId="169DC5B3">
          <w:pPr>
            <w:pStyle w:val="Header"/>
            <w:bidi w:val="0"/>
            <w:ind w:left="-115"/>
            <w:jc w:val="left"/>
          </w:pPr>
        </w:p>
      </w:tc>
      <w:tc>
        <w:tcPr>
          <w:tcW w:w="3005" w:type="dxa"/>
          <w:tcMar/>
        </w:tcPr>
        <w:p w:rsidR="22A5FA13" w:rsidP="22A5FA13" w:rsidRDefault="22A5FA13" w14:paraId="6D32FB58" w14:textId="5954D2AF">
          <w:pPr>
            <w:pStyle w:val="Header"/>
            <w:bidi w:val="0"/>
            <w:jc w:val="center"/>
          </w:pPr>
        </w:p>
      </w:tc>
      <w:tc>
        <w:tcPr>
          <w:tcW w:w="3005" w:type="dxa"/>
          <w:tcMar/>
        </w:tcPr>
        <w:p w:rsidR="22A5FA13" w:rsidP="22A5FA13" w:rsidRDefault="22A5FA13" w14:paraId="46837019" w14:textId="473859BD">
          <w:pPr>
            <w:pStyle w:val="Header"/>
            <w:bidi w:val="0"/>
            <w:ind w:right="-115"/>
            <w:jc w:val="right"/>
          </w:pPr>
        </w:p>
      </w:tc>
    </w:tr>
  </w:tbl>
  <w:p w:rsidR="22A5FA13" w:rsidP="22A5FA13" w:rsidRDefault="22A5FA13" w14:paraId="5CBDD3EE" w14:textId="3C730765">
    <w:pPr>
      <w:pStyle w:val="Header"/>
      <w:bidi w:val="0"/>
    </w:pPr>
  </w:p>
</w:hdr>
</file>

<file path=word/intelligence2.xml><?xml version="1.0" encoding="utf-8"?>
<int2:intelligence xmlns:int2="http://schemas.microsoft.com/office/intelligence/2020/intelligence">
  <int2:observations>
    <int2:textHash int2:hashCode="FVd1WYCZXRzxbK" int2:id="eDfdFIfr">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7">
    <w:nsid w:val="2582f1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c3a8c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51178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3af03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95d56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635dc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7a9dd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53e6d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cd76c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bab77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b0fc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3f4c7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5730e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71ac0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C2C1A33"/>
    <w:multiLevelType w:val="multilevel"/>
    <w:tmpl w:val="730C01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C8F4C20"/>
    <w:multiLevelType w:val="multilevel"/>
    <w:tmpl w:val="4F1669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CCF551C"/>
    <w:multiLevelType w:val="multilevel"/>
    <w:tmpl w:val="CD886A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54D4D14"/>
    <w:multiLevelType w:val="multilevel"/>
    <w:tmpl w:val="712629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1" w16cid:durableId="1496602512">
    <w:abstractNumId w:val="1"/>
  </w:num>
  <w:num w:numId="2" w16cid:durableId="1046829603">
    <w:abstractNumId w:val="2"/>
  </w:num>
  <w:num w:numId="3" w16cid:durableId="841510644">
    <w:abstractNumId w:val="0"/>
  </w:num>
  <w:num w:numId="4" w16cid:durableId="16704087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A6E"/>
    <w:rsid w:val="00002C89"/>
    <w:rsid w:val="00010BF7"/>
    <w:rsid w:val="00014385"/>
    <w:rsid w:val="00041E00"/>
    <w:rsid w:val="000458C3"/>
    <w:rsid w:val="00045FA9"/>
    <w:rsid w:val="00047C62"/>
    <w:rsid w:val="000543C3"/>
    <w:rsid w:val="000572BF"/>
    <w:rsid w:val="0007279B"/>
    <w:rsid w:val="00074402"/>
    <w:rsid w:val="000749CA"/>
    <w:rsid w:val="00080019"/>
    <w:rsid w:val="000C460D"/>
    <w:rsid w:val="00100AA8"/>
    <w:rsid w:val="00127D67"/>
    <w:rsid w:val="00143B3F"/>
    <w:rsid w:val="0014577E"/>
    <w:rsid w:val="00161FC8"/>
    <w:rsid w:val="001969AF"/>
    <w:rsid w:val="001B6AB9"/>
    <w:rsid w:val="001C6127"/>
    <w:rsid w:val="001D25B4"/>
    <w:rsid w:val="001D7C03"/>
    <w:rsid w:val="001E3305"/>
    <w:rsid w:val="001E3BB1"/>
    <w:rsid w:val="001F0031"/>
    <w:rsid w:val="001F58CA"/>
    <w:rsid w:val="001F69DC"/>
    <w:rsid w:val="0020368D"/>
    <w:rsid w:val="0020774D"/>
    <w:rsid w:val="00216C85"/>
    <w:rsid w:val="0026393A"/>
    <w:rsid w:val="00273EDD"/>
    <w:rsid w:val="0028527C"/>
    <w:rsid w:val="002939E0"/>
    <w:rsid w:val="00295CE3"/>
    <w:rsid w:val="002B024A"/>
    <w:rsid w:val="002C1776"/>
    <w:rsid w:val="002C3965"/>
    <w:rsid w:val="002E4F91"/>
    <w:rsid w:val="00301359"/>
    <w:rsid w:val="00321C4C"/>
    <w:rsid w:val="00331A94"/>
    <w:rsid w:val="003407AD"/>
    <w:rsid w:val="003475C4"/>
    <w:rsid w:val="003539F4"/>
    <w:rsid w:val="00356D36"/>
    <w:rsid w:val="0038072C"/>
    <w:rsid w:val="00392BBC"/>
    <w:rsid w:val="003A3721"/>
    <w:rsid w:val="003A3B2F"/>
    <w:rsid w:val="003B670E"/>
    <w:rsid w:val="003B7947"/>
    <w:rsid w:val="003C20BB"/>
    <w:rsid w:val="003C3FAF"/>
    <w:rsid w:val="003E4ECF"/>
    <w:rsid w:val="00421016"/>
    <w:rsid w:val="00440011"/>
    <w:rsid w:val="00446E12"/>
    <w:rsid w:val="004660A0"/>
    <w:rsid w:val="00472DA4"/>
    <w:rsid w:val="00481C9F"/>
    <w:rsid w:val="004A1B53"/>
    <w:rsid w:val="004A41DE"/>
    <w:rsid w:val="004A736E"/>
    <w:rsid w:val="004C24C0"/>
    <w:rsid w:val="004C29D7"/>
    <w:rsid w:val="004D4A5C"/>
    <w:rsid w:val="004E446D"/>
    <w:rsid w:val="004F4240"/>
    <w:rsid w:val="004F5DAF"/>
    <w:rsid w:val="00500066"/>
    <w:rsid w:val="005051C5"/>
    <w:rsid w:val="00546A76"/>
    <w:rsid w:val="00551945"/>
    <w:rsid w:val="0055329A"/>
    <w:rsid w:val="005740F9"/>
    <w:rsid w:val="0057433D"/>
    <w:rsid w:val="00590AA7"/>
    <w:rsid w:val="005B33B9"/>
    <w:rsid w:val="005B4431"/>
    <w:rsid w:val="005B599F"/>
    <w:rsid w:val="005F35BC"/>
    <w:rsid w:val="006417B2"/>
    <w:rsid w:val="00646199"/>
    <w:rsid w:val="00662A91"/>
    <w:rsid w:val="00671987"/>
    <w:rsid w:val="006755BE"/>
    <w:rsid w:val="0067579B"/>
    <w:rsid w:val="0068536E"/>
    <w:rsid w:val="006925AA"/>
    <w:rsid w:val="006970FA"/>
    <w:rsid w:val="006B171C"/>
    <w:rsid w:val="006C7D2C"/>
    <w:rsid w:val="006D7296"/>
    <w:rsid w:val="006D7C24"/>
    <w:rsid w:val="006F1CAF"/>
    <w:rsid w:val="006F2F1A"/>
    <w:rsid w:val="006F5102"/>
    <w:rsid w:val="00704341"/>
    <w:rsid w:val="00725177"/>
    <w:rsid w:val="00743A11"/>
    <w:rsid w:val="0075563E"/>
    <w:rsid w:val="0076343B"/>
    <w:rsid w:val="00764EC0"/>
    <w:rsid w:val="00767FCD"/>
    <w:rsid w:val="007872CB"/>
    <w:rsid w:val="00796C9F"/>
    <w:rsid w:val="007A3E9F"/>
    <w:rsid w:val="007A57BE"/>
    <w:rsid w:val="007A7E3C"/>
    <w:rsid w:val="007D3F21"/>
    <w:rsid w:val="007D4B4A"/>
    <w:rsid w:val="007F0C25"/>
    <w:rsid w:val="007F349F"/>
    <w:rsid w:val="007F3DB9"/>
    <w:rsid w:val="00800820"/>
    <w:rsid w:val="00800EEE"/>
    <w:rsid w:val="00810490"/>
    <w:rsid w:val="00814A9E"/>
    <w:rsid w:val="008259F8"/>
    <w:rsid w:val="00837180"/>
    <w:rsid w:val="0086250B"/>
    <w:rsid w:val="00864AA0"/>
    <w:rsid w:val="008705D3"/>
    <w:rsid w:val="00872C0A"/>
    <w:rsid w:val="0087769E"/>
    <w:rsid w:val="008B2260"/>
    <w:rsid w:val="008D6A67"/>
    <w:rsid w:val="008D7222"/>
    <w:rsid w:val="008D76B3"/>
    <w:rsid w:val="008F051F"/>
    <w:rsid w:val="008F23B5"/>
    <w:rsid w:val="0090040D"/>
    <w:rsid w:val="00910EB3"/>
    <w:rsid w:val="00992DF0"/>
    <w:rsid w:val="009A1140"/>
    <w:rsid w:val="009B0595"/>
    <w:rsid w:val="009B1FB7"/>
    <w:rsid w:val="009C79AB"/>
    <w:rsid w:val="009D052C"/>
    <w:rsid w:val="009D1D1E"/>
    <w:rsid w:val="009D75DC"/>
    <w:rsid w:val="009E4B8C"/>
    <w:rsid w:val="009F7445"/>
    <w:rsid w:val="00A01C7E"/>
    <w:rsid w:val="00A035FD"/>
    <w:rsid w:val="00A11DB3"/>
    <w:rsid w:val="00A2489E"/>
    <w:rsid w:val="00A364E8"/>
    <w:rsid w:val="00A37F72"/>
    <w:rsid w:val="00A42FD9"/>
    <w:rsid w:val="00A66ABB"/>
    <w:rsid w:val="00A71D2D"/>
    <w:rsid w:val="00A722B9"/>
    <w:rsid w:val="00A75FAA"/>
    <w:rsid w:val="00AA2508"/>
    <w:rsid w:val="00AC1F35"/>
    <w:rsid w:val="00AC22DB"/>
    <w:rsid w:val="00AC2DE3"/>
    <w:rsid w:val="00AC3647"/>
    <w:rsid w:val="00AC6A6C"/>
    <w:rsid w:val="00AE6C4B"/>
    <w:rsid w:val="00AE6F34"/>
    <w:rsid w:val="00B35F49"/>
    <w:rsid w:val="00B40A66"/>
    <w:rsid w:val="00B4281B"/>
    <w:rsid w:val="00B70CFF"/>
    <w:rsid w:val="00B805CF"/>
    <w:rsid w:val="00B8304B"/>
    <w:rsid w:val="00B85A5B"/>
    <w:rsid w:val="00B87E75"/>
    <w:rsid w:val="00B90406"/>
    <w:rsid w:val="00B96E61"/>
    <w:rsid w:val="00BA6261"/>
    <w:rsid w:val="00BB5CE4"/>
    <w:rsid w:val="00BC0765"/>
    <w:rsid w:val="00BD7D61"/>
    <w:rsid w:val="00BE081B"/>
    <w:rsid w:val="00BF4EA4"/>
    <w:rsid w:val="00C00C94"/>
    <w:rsid w:val="00C14BB7"/>
    <w:rsid w:val="00C236E9"/>
    <w:rsid w:val="00C33FB2"/>
    <w:rsid w:val="00C366BB"/>
    <w:rsid w:val="00C41693"/>
    <w:rsid w:val="00C936DD"/>
    <w:rsid w:val="00CA1A5F"/>
    <w:rsid w:val="00CD0E1A"/>
    <w:rsid w:val="00CD33A8"/>
    <w:rsid w:val="00CD6544"/>
    <w:rsid w:val="00CE0C93"/>
    <w:rsid w:val="00CE4472"/>
    <w:rsid w:val="00CE6F00"/>
    <w:rsid w:val="00CE7DD7"/>
    <w:rsid w:val="00CF0C60"/>
    <w:rsid w:val="00D07982"/>
    <w:rsid w:val="00D111E8"/>
    <w:rsid w:val="00D27D47"/>
    <w:rsid w:val="00D34801"/>
    <w:rsid w:val="00D3514A"/>
    <w:rsid w:val="00D5466A"/>
    <w:rsid w:val="00D54C8A"/>
    <w:rsid w:val="00D73B43"/>
    <w:rsid w:val="00D769D1"/>
    <w:rsid w:val="00DA2AEF"/>
    <w:rsid w:val="00DA7EB9"/>
    <w:rsid w:val="00DC5084"/>
    <w:rsid w:val="00DE48C3"/>
    <w:rsid w:val="00DF5339"/>
    <w:rsid w:val="00E011CA"/>
    <w:rsid w:val="00E025F1"/>
    <w:rsid w:val="00E02C46"/>
    <w:rsid w:val="00E16BFB"/>
    <w:rsid w:val="00E2173B"/>
    <w:rsid w:val="00E44900"/>
    <w:rsid w:val="00E473C5"/>
    <w:rsid w:val="00E569FD"/>
    <w:rsid w:val="00E575AA"/>
    <w:rsid w:val="00E60730"/>
    <w:rsid w:val="00E620E7"/>
    <w:rsid w:val="00E81352"/>
    <w:rsid w:val="00E83BD2"/>
    <w:rsid w:val="00EA5002"/>
    <w:rsid w:val="00EA538C"/>
    <w:rsid w:val="00EB227B"/>
    <w:rsid w:val="00EC26C1"/>
    <w:rsid w:val="00ED7A06"/>
    <w:rsid w:val="00EE04F0"/>
    <w:rsid w:val="00F0160F"/>
    <w:rsid w:val="00F03FA3"/>
    <w:rsid w:val="00F215BD"/>
    <w:rsid w:val="00F24AA2"/>
    <w:rsid w:val="00F37E17"/>
    <w:rsid w:val="00F51151"/>
    <w:rsid w:val="00F64140"/>
    <w:rsid w:val="00F66E1B"/>
    <w:rsid w:val="00F70A17"/>
    <w:rsid w:val="00F734DC"/>
    <w:rsid w:val="00F840E5"/>
    <w:rsid w:val="00F91A08"/>
    <w:rsid w:val="00F9798B"/>
    <w:rsid w:val="00FB7B14"/>
    <w:rsid w:val="00FC5CF5"/>
    <w:rsid w:val="00FD1A3E"/>
    <w:rsid w:val="01CAB38D"/>
    <w:rsid w:val="02E857FA"/>
    <w:rsid w:val="02F06CD5"/>
    <w:rsid w:val="03F60B9E"/>
    <w:rsid w:val="04412F13"/>
    <w:rsid w:val="0467AEEB"/>
    <w:rsid w:val="0561D4F3"/>
    <w:rsid w:val="05903340"/>
    <w:rsid w:val="0685969C"/>
    <w:rsid w:val="06B73AA0"/>
    <w:rsid w:val="07857278"/>
    <w:rsid w:val="07CD7429"/>
    <w:rsid w:val="08521E46"/>
    <w:rsid w:val="092B868C"/>
    <w:rsid w:val="0B3BA147"/>
    <w:rsid w:val="0C8EEBD4"/>
    <w:rsid w:val="0E50297C"/>
    <w:rsid w:val="0E9A5F8A"/>
    <w:rsid w:val="0EDF24BE"/>
    <w:rsid w:val="0F23B20B"/>
    <w:rsid w:val="1270AF40"/>
    <w:rsid w:val="1308A2CD"/>
    <w:rsid w:val="148BD9AC"/>
    <w:rsid w:val="14FAE177"/>
    <w:rsid w:val="15340AAF"/>
    <w:rsid w:val="1575AA33"/>
    <w:rsid w:val="16718EF9"/>
    <w:rsid w:val="16C94E24"/>
    <w:rsid w:val="175F5287"/>
    <w:rsid w:val="1870D909"/>
    <w:rsid w:val="194ABB69"/>
    <w:rsid w:val="1AC17073"/>
    <w:rsid w:val="1C5A615B"/>
    <w:rsid w:val="1CEF6A91"/>
    <w:rsid w:val="1D0CA6E4"/>
    <w:rsid w:val="1D1BD124"/>
    <w:rsid w:val="1DA83C02"/>
    <w:rsid w:val="1E0059A6"/>
    <w:rsid w:val="1EDC7228"/>
    <w:rsid w:val="1F57C8B6"/>
    <w:rsid w:val="208E0382"/>
    <w:rsid w:val="21671EAA"/>
    <w:rsid w:val="21695695"/>
    <w:rsid w:val="216B73DD"/>
    <w:rsid w:val="2195F8B3"/>
    <w:rsid w:val="21E6E822"/>
    <w:rsid w:val="223C78FB"/>
    <w:rsid w:val="224ACC03"/>
    <w:rsid w:val="229705C1"/>
    <w:rsid w:val="22A5FA13"/>
    <w:rsid w:val="249C10E0"/>
    <w:rsid w:val="2511A100"/>
    <w:rsid w:val="26285E40"/>
    <w:rsid w:val="28828791"/>
    <w:rsid w:val="29C7B7CA"/>
    <w:rsid w:val="2A5E7BBC"/>
    <w:rsid w:val="2BBE6DEF"/>
    <w:rsid w:val="2D1347A2"/>
    <w:rsid w:val="2DA4DD0F"/>
    <w:rsid w:val="2DE67FB3"/>
    <w:rsid w:val="2E13B5D4"/>
    <w:rsid w:val="2E406542"/>
    <w:rsid w:val="2E9279EB"/>
    <w:rsid w:val="2F05483D"/>
    <w:rsid w:val="2F41F221"/>
    <w:rsid w:val="2F559E67"/>
    <w:rsid w:val="2FE97D4C"/>
    <w:rsid w:val="307EBDC1"/>
    <w:rsid w:val="3216DA7B"/>
    <w:rsid w:val="33543DBC"/>
    <w:rsid w:val="34906D0C"/>
    <w:rsid w:val="349290C0"/>
    <w:rsid w:val="34BC78F5"/>
    <w:rsid w:val="3547C2D6"/>
    <w:rsid w:val="35BEE31C"/>
    <w:rsid w:val="3707E743"/>
    <w:rsid w:val="375108A5"/>
    <w:rsid w:val="3860CC6B"/>
    <w:rsid w:val="38A31964"/>
    <w:rsid w:val="38A4ACC7"/>
    <w:rsid w:val="399983B0"/>
    <w:rsid w:val="3A0CA76B"/>
    <w:rsid w:val="3A386F8E"/>
    <w:rsid w:val="3AA7CB9E"/>
    <w:rsid w:val="3B1E18C0"/>
    <w:rsid w:val="3B1EF43B"/>
    <w:rsid w:val="3D14F3CA"/>
    <w:rsid w:val="3EB654AB"/>
    <w:rsid w:val="3EC76438"/>
    <w:rsid w:val="3FF67417"/>
    <w:rsid w:val="40016F72"/>
    <w:rsid w:val="421D189E"/>
    <w:rsid w:val="433147DA"/>
    <w:rsid w:val="45A305AF"/>
    <w:rsid w:val="45EEAEED"/>
    <w:rsid w:val="4657F34A"/>
    <w:rsid w:val="467019ED"/>
    <w:rsid w:val="469A7DBD"/>
    <w:rsid w:val="46B3D86B"/>
    <w:rsid w:val="4770090F"/>
    <w:rsid w:val="479E79B4"/>
    <w:rsid w:val="48728F34"/>
    <w:rsid w:val="48A3CBC5"/>
    <w:rsid w:val="499AA9DC"/>
    <w:rsid w:val="49C87B79"/>
    <w:rsid w:val="4B38F3DC"/>
    <w:rsid w:val="4BB9D2C9"/>
    <w:rsid w:val="4CDF8DD4"/>
    <w:rsid w:val="4D1E3D82"/>
    <w:rsid w:val="4E7C14F4"/>
    <w:rsid w:val="4FB3EA12"/>
    <w:rsid w:val="5052D970"/>
    <w:rsid w:val="52739CC6"/>
    <w:rsid w:val="5332E6FC"/>
    <w:rsid w:val="5336F6DF"/>
    <w:rsid w:val="538A074A"/>
    <w:rsid w:val="541FD4BA"/>
    <w:rsid w:val="54BA9329"/>
    <w:rsid w:val="559D6265"/>
    <w:rsid w:val="572B3D60"/>
    <w:rsid w:val="57B9C037"/>
    <w:rsid w:val="5A341D88"/>
    <w:rsid w:val="5C76B93C"/>
    <w:rsid w:val="5D23C6C1"/>
    <w:rsid w:val="5D2726AB"/>
    <w:rsid w:val="6065496F"/>
    <w:rsid w:val="62258F57"/>
    <w:rsid w:val="629B5334"/>
    <w:rsid w:val="63B5FC8B"/>
    <w:rsid w:val="64E6E4A7"/>
    <w:rsid w:val="64EC7786"/>
    <w:rsid w:val="65705968"/>
    <w:rsid w:val="65B2BEB6"/>
    <w:rsid w:val="65D25AA9"/>
    <w:rsid w:val="65E1B7BC"/>
    <w:rsid w:val="6626C136"/>
    <w:rsid w:val="6639B984"/>
    <w:rsid w:val="666EB8F5"/>
    <w:rsid w:val="669225EA"/>
    <w:rsid w:val="669683D3"/>
    <w:rsid w:val="66A128F7"/>
    <w:rsid w:val="678AB009"/>
    <w:rsid w:val="686EB103"/>
    <w:rsid w:val="688D43BD"/>
    <w:rsid w:val="68A040C5"/>
    <w:rsid w:val="68B68665"/>
    <w:rsid w:val="6A38E752"/>
    <w:rsid w:val="6B068311"/>
    <w:rsid w:val="6C110F46"/>
    <w:rsid w:val="6CE6360A"/>
    <w:rsid w:val="6D12BD80"/>
    <w:rsid w:val="6D397BC6"/>
    <w:rsid w:val="6D9EA8EA"/>
    <w:rsid w:val="6E2E4F5C"/>
    <w:rsid w:val="6EC1F756"/>
    <w:rsid w:val="6F09AE10"/>
    <w:rsid w:val="71772721"/>
    <w:rsid w:val="728A0F5B"/>
    <w:rsid w:val="7481054C"/>
    <w:rsid w:val="7600ECCE"/>
    <w:rsid w:val="7616E74F"/>
    <w:rsid w:val="76C743A3"/>
    <w:rsid w:val="77AF70C6"/>
    <w:rsid w:val="77BC1BC6"/>
    <w:rsid w:val="77C1527E"/>
    <w:rsid w:val="78244602"/>
    <w:rsid w:val="78F2BFEF"/>
    <w:rsid w:val="7960753A"/>
    <w:rsid w:val="799CDD21"/>
    <w:rsid w:val="7B515EE2"/>
    <w:rsid w:val="7CAA6945"/>
    <w:rsid w:val="7CAAB40F"/>
    <w:rsid w:val="7CF94F88"/>
    <w:rsid w:val="7D53B8D5"/>
    <w:rsid w:val="7DBF7B11"/>
    <w:rsid w:val="7E241376"/>
    <w:rsid w:val="7E322795"/>
    <w:rsid w:val="7F3EADEF"/>
    <w:rsid w:val="7FE5AD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DA7EB9"/>
    <w:pPr>
      <w:keepNext/>
      <w:keepLines/>
      <w:spacing w:before="240" w:after="0" w:line="360" w:lineRule="auto"/>
      <w:outlineLvl w:val="0"/>
    </w:pPr>
    <w:rPr>
      <w:rFonts w:ascii="Arial" w:hAnsi="Arial" w:eastAsiaTheme="majorEastAsia"/>
      <w:sz w:val="22"/>
      <w:lang w:val="en-US"/>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A7EB9"/>
    <w:rPr>
      <w:rFonts w:ascii="Arial" w:hAnsi="Arial" w:eastAsiaTheme="majorEastAsia"/>
      <w:sz w:val="22"/>
      <w:lang w:val="en-US"/>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styleId="HeaderChar" w:customStyle="1">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styleId="FooterChar" w:customStyle="1">
    <w:name w:val="Footer Char"/>
    <w:basedOn w:val="DefaultParagraphFont"/>
    <w:link w:val="Footer"/>
    <w:uiPriority w:val="99"/>
    <w:rsid w:val="003E4ECF"/>
  </w:style>
  <w:style w:type="paragraph" w:styleId="p1" w:customStyle="1">
    <w:name w:val="p1"/>
    <w:basedOn w:val="Normal"/>
    <w:rsid w:val="00D5466A"/>
    <w:pPr>
      <w:spacing w:before="100" w:beforeAutospacing="1" w:after="100" w:afterAutospacing="1" w:line="240" w:lineRule="auto"/>
    </w:pPr>
    <w:rPr>
      <w:rFonts w:eastAsia="Times New Roman" w:cs="Times New Roman"/>
      <w:szCs w:val="24"/>
      <w:lang w:val="en-US"/>
    </w:rPr>
  </w:style>
  <w:style w:type="character" w:styleId="s1" w:customStyle="1">
    <w:name w:val="s1"/>
    <w:basedOn w:val="DefaultParagraphFont"/>
    <w:rsid w:val="00D5466A"/>
  </w:style>
  <w:style w:type="paragraph" w:styleId="p2" w:customStyle="1">
    <w:name w:val="p2"/>
    <w:basedOn w:val="Normal"/>
    <w:rsid w:val="000C460D"/>
    <w:pPr>
      <w:spacing w:before="100" w:beforeAutospacing="1" w:after="100" w:afterAutospacing="1" w:line="240" w:lineRule="auto"/>
    </w:pPr>
    <w:rPr>
      <w:rFonts w:eastAsia="Times New Roman" w:cs="Times New Roman"/>
      <w:szCs w:val="24"/>
      <w:lang w:val="en-US"/>
    </w:rPr>
  </w:style>
  <w:style w:type="character" w:styleId="apple-converted-space" w:customStyle="1">
    <w:name w:val="apple-converted-space"/>
    <w:basedOn w:val="DefaultParagraphFont"/>
    <w:rsid w:val="0087769E"/>
  </w:style>
  <w:style w:type="character" w:styleId="Hyperlink">
    <w:name w:val="Hyperlink"/>
    <w:basedOn w:val="DefaultParagraphFont"/>
    <w:uiPriority w:val="99"/>
    <w:unhideWhenUsed/>
    <w:rsid w:val="00D54C8A"/>
    <w:rPr>
      <w:color w:val="0000FF"/>
      <w:u w:val="single"/>
    </w:rPr>
  </w:style>
  <w:style w:type="character" w:styleId="UnresolvedMention">
    <w:name w:val="Unresolved Mention"/>
    <w:basedOn w:val="DefaultParagraphFont"/>
    <w:uiPriority w:val="99"/>
    <w:semiHidden/>
    <w:unhideWhenUsed/>
    <w:rsid w:val="00C00C94"/>
    <w:rPr>
      <w:color w:val="605E5C"/>
      <w:shd w:val="clear" w:color="auto" w:fill="E1DFDD"/>
    </w:rPr>
  </w:style>
  <w:style w:type="character" w:styleId="PlaceholderText">
    <w:uiPriority w:val="99"/>
    <w:name w:val="Placeholder Text"/>
    <w:basedOn w:val="DefaultParagraphFont"/>
    <w:semiHidden/>
    <w:rsid w:val="22A5FA13"/>
    <w:rPr>
      <w:color w:val="666666"/>
    </w:rPr>
  </w:style>
  <w:style w:type="paragraph" w:styleId="ListParagraph">
    <w:uiPriority w:val="34"/>
    <w:name w:val="List Paragraph"/>
    <w:basedOn w:val="Normal"/>
    <w:qFormat/>
    <w:rsid w:val="22A5FA1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36/bmjopen-2025-111868" TargetMode="External" Id="rId8" /><Relationship Type="http://schemas.openxmlformats.org/officeDocument/2006/relationships/hyperlink" Target="https://doi.org/10.3310/nihropenres.13233.1" TargetMode="External" Id="rId13" /><Relationship Type="http://schemas.openxmlformats.org/officeDocument/2006/relationships/hyperlink" Target="https://doi.org/10.1016/j.jamda.2023.08.028" TargetMode="External"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hyperlink" Target="https://doi.org/10.1136/bmjoq-2020-001313" TargetMode="External" Id="rId21" /><Relationship Type="http://schemas.openxmlformats.org/officeDocument/2006/relationships/hyperlink" Target="https://pubmed.ncbi.nlm.nih.gov/32855158/" TargetMode="External" Id="rId7" /><Relationship Type="http://schemas.openxmlformats.org/officeDocument/2006/relationships/hyperlink" Target="https://doi.org/10.3399/BJGP.2023.0251" TargetMode="External" Id="rId12" /><Relationship Type="http://schemas.openxmlformats.org/officeDocument/2006/relationships/hyperlink" Target="https://doi.org/10.3399/BJGPO.2021.0040" TargetMode="External" Id="rId1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hyperlink" Target="https://doi.org/10.3399/BJGP.2020.0948" TargetMode="External" Id="rId16" /><Relationship Type="http://schemas.openxmlformats.org/officeDocument/2006/relationships/hyperlink" Target="https://doi.org/10.3399/BJGP.2021.0426"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2196/46485" TargetMode="External" Id="rId11" /><Relationship Type="http://schemas.openxmlformats.org/officeDocument/2006/relationships/footnotes" Target="footnotes.xml" Id="rId5" /><Relationship Type="http://schemas.openxmlformats.org/officeDocument/2006/relationships/hyperlink" Target="https://doi.org/10.1136/bmjoq-2024-002741" TargetMode="External" Id="rId15" /><Relationship Type="http://schemas.openxmlformats.org/officeDocument/2006/relationships/hyperlink" Target="https://doi.org/10.1136/leader-2020-000262" TargetMode="External" Id="rId23" /><Relationship Type="http://schemas.openxmlformats.org/officeDocument/2006/relationships/hyperlink" Target="https://doi.org/10.1136/bmjopen-2024-097633" TargetMode="External" Id="rId10" /><Relationship Type="http://schemas.openxmlformats.org/officeDocument/2006/relationships/hyperlink" Target="https://doi.org/10.1136/bmjopen-2022-069371" TargetMode="External" Id="rId19" /><Relationship Type="http://schemas.openxmlformats.org/officeDocument/2006/relationships/webSettings" Target="webSettings.xml" Id="rId4" /><Relationship Type="http://schemas.openxmlformats.org/officeDocument/2006/relationships/hyperlink" Target="https://doi.org/10.2196/48920" TargetMode="External" Id="rId9" /><Relationship Type="http://schemas.openxmlformats.org/officeDocument/2006/relationships/hyperlink" Target="https://doi.org/10.3399/BJGP.2022.0398" TargetMode="External" Id="rId14" /><Relationship Type="http://schemas.openxmlformats.org/officeDocument/2006/relationships/hyperlink" Target="https://doi.org/10.3399/BJGP.2023.0092" TargetMode="External" Id="rId22" /><Relationship Type="http://schemas.openxmlformats.org/officeDocument/2006/relationships/header" Target="header.xml" Id="R8b3212a241734725" /><Relationship Type="http://schemas.openxmlformats.org/officeDocument/2006/relationships/header" Target="header2.xml" Id="R75d5065aeb39476f" /><Relationship Type="http://schemas.openxmlformats.org/officeDocument/2006/relationships/footer" Target="footer2.xml" Id="Ra82830a7807f4180" /><Relationship Type="http://schemas.openxmlformats.org/officeDocument/2006/relationships/footer" Target="footer3.xml" Id="R6bdada81bc7841d6" /><Relationship Type="http://schemas.microsoft.com/office/2020/10/relationships/intelligence" Target="intelligence2.xml" Id="Rb07dc4e6bf4a485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Sobia Hussain (2409460)</lastModifiedBy>
  <revision>21</revision>
  <dcterms:created xsi:type="dcterms:W3CDTF">2026-07-21T00:36:00.0000000Z</dcterms:created>
  <dcterms:modified xsi:type="dcterms:W3CDTF">2026-08-15T22:21:02.8656689Z</dcterms:modified>
</coreProperties>
</file>