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68272C" w14:textId="40AA7991" w:rsidR="00E75DA9" w:rsidRPr="00E75DA9" w:rsidRDefault="00E75DA9" w:rsidP="00E75DA9">
      <w:pPr>
        <w:pStyle w:val="Heading1"/>
      </w:pPr>
      <w:r>
        <w:t>Assignment Two</w:t>
      </w:r>
    </w:p>
    <w:p w14:paraId="0E211F83" w14:textId="63E8FEB8" w:rsidR="00E75DA9" w:rsidRDefault="00E75DA9" w:rsidP="00E75DA9">
      <w:pPr>
        <w:pStyle w:val="Subtitle"/>
      </w:pPr>
      <w:r w:rsidRPr="00E75DA9">
        <w:t xml:space="preserve">What does Sartre mean when he contends that humans are condemned to be free? </w:t>
      </w:r>
    </w:p>
    <w:p w14:paraId="71B550CD" w14:textId="2FFFA2C4" w:rsidR="00911A61" w:rsidRDefault="00911A61" w:rsidP="00911A61">
      <w:pPr>
        <w:pStyle w:val="Heading3"/>
      </w:pPr>
      <w:r>
        <w:t>Introduction</w:t>
      </w:r>
    </w:p>
    <w:p w14:paraId="697E57DF" w14:textId="410931B8" w:rsidR="00B022C7" w:rsidRPr="00B022C7" w:rsidRDefault="008430B3" w:rsidP="00B022C7">
      <w:r>
        <w:t xml:space="preserve">This essay examines Sartre’s claim that “existence precedes essence” and the conclusion he draws that </w:t>
      </w:r>
      <w:r w:rsidR="004F2C06">
        <w:t>“</w:t>
      </w:r>
      <w:r>
        <w:t>humans are condemned to be free”</w:t>
      </w:r>
      <w:r w:rsidR="004F2C06">
        <w:t xml:space="preserve">. This line of thinking matters as it challenges a much older tradition </w:t>
      </w:r>
      <w:r w:rsidR="00495AA6">
        <w:t>from previous philosophers which assumed the opposite, that essence precedes existence.</w:t>
      </w:r>
      <w:r w:rsidR="00701AEF">
        <w:t xml:space="preserve"> This essay first </w:t>
      </w:r>
      <w:r w:rsidR="00D64183">
        <w:t>finds a major starting point for that tradition before turning to Sartre’s inversion of it</w:t>
      </w:r>
      <w:r w:rsidR="0073583D">
        <w:t>. Then examining what “condemned to be free” means, arguing that freedom is an unescapable burden instead of the celebrated unlimited opportunity</w:t>
      </w:r>
      <w:r w:rsidR="00472610">
        <w:t xml:space="preserve">, whilst taking a look at how far this view can go with some claiming </w:t>
      </w:r>
      <w:r w:rsidR="0042665D">
        <w:t xml:space="preserve">that existence itself is a harm. Finally, it </w:t>
      </w:r>
      <w:r w:rsidR="000D7661">
        <w:t>examines bad faith and responsibility through examples Sartre gives in his work</w:t>
      </w:r>
      <w:r w:rsidR="00B646AB">
        <w:t xml:space="preserve"> and showing if it holds up against cases of diminished agency. </w:t>
      </w:r>
    </w:p>
    <w:p w14:paraId="0B5DF1CC" w14:textId="77777777" w:rsidR="00E75DA9" w:rsidRDefault="00E75DA9" w:rsidP="00E75DA9">
      <w:pPr>
        <w:pStyle w:val="Heading3"/>
      </w:pPr>
      <w:r w:rsidRPr="00596060">
        <w:t>The Foundations</w:t>
      </w:r>
    </w:p>
    <w:p w14:paraId="726649A5" w14:textId="71EC090E" w:rsidR="00E75DA9" w:rsidRPr="00E75DA9" w:rsidRDefault="00E75DA9" w:rsidP="00E75DA9">
      <w:r>
        <w:t xml:space="preserve">Traditionally throughout history, philosophers have thought that humans are born with essence. </w:t>
      </w:r>
      <w:r w:rsidR="00771C8A">
        <w:t>This can be seen as early as the Greek philosophers. Plato had the theory of forms, which is that the true nature (essence) of a thing exists in a perfect unchanging realm. Independent of and coming before any physical instance. For example,</w:t>
      </w:r>
      <w:r w:rsidR="00923663">
        <w:t xml:space="preserve"> a table is an imperfect copy participating in the Form of table-ness</w:t>
      </w:r>
      <w:r w:rsidR="00244C01">
        <w:t xml:space="preserve"> which existed (according to Plato) before that table having been built</w:t>
      </w:r>
      <w:r w:rsidR="00A13AE0">
        <w:t>.</w:t>
      </w:r>
      <w:r w:rsidR="00A13AE0">
        <w:rPr>
          <w:rStyle w:val="FootnoteReference"/>
        </w:rPr>
        <w:footnoteReference w:id="1"/>
      </w:r>
    </w:p>
    <w:p w14:paraId="01495975" w14:textId="07E4CDE1" w:rsidR="00E75DA9" w:rsidRDefault="004D37B4" w:rsidP="00E75DA9">
      <w:r>
        <w:t>Aristotle rejected this idea of Forms</w:t>
      </w:r>
      <w:r w:rsidR="00CC3798">
        <w:t xml:space="preserve">, but he still held the idea that things have a fixed essence or nature and a </w:t>
      </w:r>
      <w:r w:rsidR="00EB5BDA">
        <w:t xml:space="preserve">‘telos’, which is an inherent purpose </w:t>
      </w:r>
      <w:r w:rsidR="00A0250A">
        <w:t>things are headed toward.</w:t>
      </w:r>
      <w:r w:rsidR="00A97502">
        <w:t xml:space="preserve"> The </w:t>
      </w:r>
      <w:r w:rsidR="0097118D">
        <w:t xml:space="preserve">essence of an eye is the organ of sight, </w:t>
      </w:r>
      <w:r w:rsidR="00823AD1">
        <w:t>its</w:t>
      </w:r>
      <w:r w:rsidR="0097118D">
        <w:t xml:space="preserve"> telos</w:t>
      </w:r>
      <w:r w:rsidR="00665E73">
        <w:t>/purpose</w:t>
      </w:r>
      <w:r w:rsidR="0097118D">
        <w:t xml:space="preserve"> is to see.</w:t>
      </w:r>
      <w:r w:rsidR="008809AA">
        <w:t xml:space="preserve"> He believed nature comes with a built-in purpose or “what it’s for”.</w:t>
      </w:r>
    </w:p>
    <w:p w14:paraId="1CED83A3" w14:textId="56810FDE" w:rsidR="009D36F0" w:rsidRDefault="00181D3F" w:rsidP="00E75DA9">
      <w:r>
        <w:t>Thomas Aquinas, who believed that “</w:t>
      </w:r>
      <w:r w:rsidRPr="00181D3F">
        <w:t>the material world, and all the kinds of living things in it, had always existed</w:t>
      </w:r>
      <w:r>
        <w:t>”</w:t>
      </w:r>
      <w:r>
        <w:rPr>
          <w:rStyle w:val="FootnoteReference"/>
        </w:rPr>
        <w:footnoteReference w:id="2"/>
      </w:r>
      <w:r w:rsidR="005C316A">
        <w:t>. This contrasts Plato</w:t>
      </w:r>
      <w:r w:rsidR="006540A9">
        <w:t>, instead of ideas being free floating, they are in a personal willing God.</w:t>
      </w:r>
      <w:r w:rsidR="007C4F01">
        <w:rPr>
          <w:rStyle w:val="FootnoteReference"/>
        </w:rPr>
        <w:footnoteReference w:id="3"/>
      </w:r>
      <w:r w:rsidR="005F0AB3">
        <w:t xml:space="preserve"> </w:t>
      </w:r>
      <w:r w:rsidR="00F668A3">
        <w:t>For Aquinas, essence and existence</w:t>
      </w:r>
      <w:r w:rsidR="002D2F36">
        <w:t xml:space="preserve"> are </w:t>
      </w:r>
      <w:r w:rsidR="00D72100">
        <w:t>separated, the essence of a thing does not mean it actually exists or guarantees existence</w:t>
      </w:r>
      <w:r w:rsidR="003144E6">
        <w:t>.</w:t>
      </w:r>
      <w:r w:rsidR="003A2865">
        <w:t xml:space="preserve"> You can know what a dragon or any mythical creature is without it having to exists. </w:t>
      </w:r>
    </w:p>
    <w:p w14:paraId="73717EF6" w14:textId="0E9CB1A0" w:rsidR="006131A3" w:rsidRDefault="00301424" w:rsidP="00E75DA9">
      <w:r>
        <w:t>Sartre</w:t>
      </w:r>
      <w:r w:rsidR="00870609">
        <w:t xml:space="preserve">’s argument </w:t>
      </w:r>
      <w:r w:rsidR="00BE6453">
        <w:t xml:space="preserve">is the reverse </w:t>
      </w:r>
      <w:r w:rsidR="00DE6155">
        <w:t xml:space="preserve">of </w:t>
      </w:r>
      <w:r w:rsidR="00C1361D">
        <w:t>essence existing before</w:t>
      </w:r>
      <w:r w:rsidR="00946B01">
        <w:t>hand</w:t>
      </w:r>
      <w:r w:rsidR="00DE6155">
        <w:t xml:space="preserve">. </w:t>
      </w:r>
      <w:r w:rsidR="00276A92">
        <w:t>H</w:t>
      </w:r>
      <w:r w:rsidR="001213DB">
        <w:t>e uses the example of a paper cutter/knife which was created by an artisan</w:t>
      </w:r>
      <w:r w:rsidR="00B54D64">
        <w:t xml:space="preserve"> to prove that philosophers thought otherwise to his own view for most of history. </w:t>
      </w:r>
      <w:r w:rsidR="00A763FD">
        <w:t xml:space="preserve"> He went on to say that there is no God, and therefore no artisan</w:t>
      </w:r>
      <w:r w:rsidR="004016E3">
        <w:t xml:space="preserve"> and therefore no blueprint. Humans are not for anything in the same way a paper knife is for cutting paper.</w:t>
      </w:r>
      <w:r w:rsidR="004016E3">
        <w:rPr>
          <w:rStyle w:val="FootnoteReference"/>
        </w:rPr>
        <w:footnoteReference w:id="4"/>
      </w:r>
      <w:r w:rsidR="00E14266">
        <w:t xml:space="preserve"> </w:t>
      </w:r>
      <w:r w:rsidR="00A43913">
        <w:t xml:space="preserve">If we truly live in a Godless </w:t>
      </w:r>
      <w:r w:rsidR="004B0B6D">
        <w:t xml:space="preserve">and Formless world, then do we have any meaning at all? </w:t>
      </w:r>
      <w:r>
        <w:t>Sartre</w:t>
      </w:r>
      <w:r w:rsidR="00EF5355">
        <w:t xml:space="preserve"> </w:t>
      </w:r>
      <w:r w:rsidR="00EF5355">
        <w:lastRenderedPageBreak/>
        <w:t>does not think we do. He would say</w:t>
      </w:r>
      <w:r w:rsidR="0002388E">
        <w:t xml:space="preserve"> “that man first of all exists, encounters himself, surges up in the world</w:t>
      </w:r>
      <w:r w:rsidR="007B6643">
        <w:t xml:space="preserve"> – and defines himself afterward.</w:t>
      </w:r>
      <w:r w:rsidR="00E63070">
        <w:t>”</w:t>
      </w:r>
      <w:r w:rsidR="00E63070">
        <w:rPr>
          <w:rStyle w:val="FootnoteReference"/>
        </w:rPr>
        <w:footnoteReference w:id="5"/>
      </w:r>
    </w:p>
    <w:p w14:paraId="47F8B1F5" w14:textId="20237442" w:rsidR="00287DDA" w:rsidRDefault="009414EC" w:rsidP="00E75DA9">
      <w:r>
        <w:t xml:space="preserve">However, </w:t>
      </w:r>
      <w:r w:rsidR="00000AF0">
        <w:t xml:space="preserve">going along the lines of a Godless existence, even if we are born without any inherent meaning </w:t>
      </w:r>
      <w:r w:rsidR="00E8533B">
        <w:t xml:space="preserve">does not mean we are born from nothing at all. </w:t>
      </w:r>
      <w:r w:rsidR="00301424">
        <w:t>Sartre</w:t>
      </w:r>
      <w:r w:rsidR="00E8533B">
        <w:t xml:space="preserve"> is blowing </w:t>
      </w:r>
      <w:r w:rsidR="00877918">
        <w:t xml:space="preserve">how </w:t>
      </w:r>
      <w:r w:rsidR="00AE008C">
        <w:t>self-made</w:t>
      </w:r>
      <w:r w:rsidR="00877918">
        <w:t xml:space="preserve"> we are out of proportion. Think of how humans grow up, we learn </w:t>
      </w:r>
      <w:r w:rsidR="00F871D9">
        <w:t>language from our parents, we are born into the culture of the country we live in</w:t>
      </w:r>
      <w:r w:rsidR="008B10B4">
        <w:t xml:space="preserve"> and the history of said country. The community around us we have no control over. We aren’t truly free if we have no choice over what language we learn</w:t>
      </w:r>
      <w:r w:rsidR="00284427">
        <w:t xml:space="preserve"> or where we were born. Our identity can be seen as socially and culturally created. That is not to say </w:t>
      </w:r>
      <w:r w:rsidR="0003535C">
        <w:t xml:space="preserve">we cannot develop on our own. The more someone grows and learns about the world, the more </w:t>
      </w:r>
      <w:r w:rsidR="00936CEE">
        <w:t xml:space="preserve">personal our views get and the more we grow into a unique identity. </w:t>
      </w:r>
      <w:r w:rsidR="00E72151">
        <w:t>Sure, we may not be able to pick where we are born, but we can develop into something not shaped by parents or society.</w:t>
      </w:r>
    </w:p>
    <w:p w14:paraId="4BB2875E" w14:textId="425695E1" w:rsidR="00C66D95" w:rsidRDefault="00AB7298" w:rsidP="00E75DA9">
      <w:r>
        <w:t xml:space="preserve">There are various Marxist critiques of </w:t>
      </w:r>
      <w:r w:rsidR="00301424">
        <w:t>Sartre</w:t>
      </w:r>
      <w:r>
        <w:t>’s point of view</w:t>
      </w:r>
      <w:r w:rsidR="00770283">
        <w:t>.</w:t>
      </w:r>
      <w:r w:rsidR="005066A2">
        <w:t xml:space="preserve"> </w:t>
      </w:r>
      <w:r w:rsidR="00084E3B">
        <w:t>Marxist and scholar George Novak argues that existentialism begins with the isolated individual</w:t>
      </w:r>
      <w:r w:rsidR="00D80967">
        <w:t>, whereas Marxism begins with societal and historical development</w:t>
      </w:r>
      <w:r w:rsidR="00EC1E72">
        <w:t>. He writes that “</w:t>
      </w:r>
      <w:r w:rsidR="00EC1E72" w:rsidRPr="00EC1E72">
        <w:t>Existentialism is the most thoroughgoing philosophy of individualism in our time</w:t>
      </w:r>
      <w:r w:rsidR="00EC1E72">
        <w:t>”</w:t>
      </w:r>
      <w:r w:rsidR="00EC1E72">
        <w:rPr>
          <w:rStyle w:val="FootnoteReference"/>
        </w:rPr>
        <w:footnoteReference w:id="6"/>
      </w:r>
      <w:r w:rsidR="00F619A7">
        <w:t>, as it places the autonomous indiv</w:t>
      </w:r>
      <w:r w:rsidR="009818C1">
        <w:t>idual at the centre of philosophical inquiry while neglecting social and historical conditions that shape life</w:t>
      </w:r>
      <w:r w:rsidR="00A33918">
        <w:t>.</w:t>
      </w:r>
      <w:r w:rsidR="00027092">
        <w:t xml:space="preserve"> </w:t>
      </w:r>
    </w:p>
    <w:p w14:paraId="12033409" w14:textId="12F9D925" w:rsidR="00142E89" w:rsidRDefault="00142E89" w:rsidP="00E75DA9">
      <w:r>
        <w:t xml:space="preserve">Interestingly, The Cambridge Companion to </w:t>
      </w:r>
      <w:r w:rsidR="00301424">
        <w:t>Sartre</w:t>
      </w:r>
      <w:r>
        <w:t xml:space="preserve"> notes that </w:t>
      </w:r>
      <w:r w:rsidR="002506E7">
        <w:t>himself later revised his position by incorporating the very Marxist ideas of social conditioning</w:t>
      </w:r>
      <w:r w:rsidR="00F57919">
        <w:t xml:space="preserve"> into his work</w:t>
      </w:r>
      <w:r w:rsidR="008C22C5">
        <w:t xml:space="preserve"> with Novack acknowledging this as well.</w:t>
      </w:r>
      <w:r w:rsidR="008C22C5">
        <w:rPr>
          <w:rStyle w:val="FootnoteReference"/>
        </w:rPr>
        <w:footnoteReference w:id="7"/>
      </w:r>
    </w:p>
    <w:p w14:paraId="50C4969E" w14:textId="590B8E7D" w:rsidR="00864139" w:rsidRDefault="002A2998" w:rsidP="002A2998">
      <w:pPr>
        <w:pStyle w:val="Heading3"/>
      </w:pPr>
      <w:r w:rsidRPr="002A2998">
        <w:t>What Does "Condemned to be Free" Mean?</w:t>
      </w:r>
    </w:p>
    <w:p w14:paraId="46E7B0F9" w14:textId="7EDCE7C6" w:rsidR="006A45B0" w:rsidRDefault="006655F4" w:rsidP="00DB0984">
      <w:r>
        <w:t xml:space="preserve">Later on in </w:t>
      </w:r>
      <w:r w:rsidR="00301424">
        <w:t>Sartre</w:t>
      </w:r>
      <w:r>
        <w:t xml:space="preserve">’s work, he mentions that “man is condemned to be free”. What exactly does he mean by this? On its surface it seems paradoxical. If someone is condemned </w:t>
      </w:r>
      <w:r w:rsidR="0093425D">
        <w:t xml:space="preserve">then it </w:t>
      </w:r>
      <w:r w:rsidR="001216D1">
        <w:t>implies punishment or unwantedness</w:t>
      </w:r>
      <w:r w:rsidR="00CF753A">
        <w:t xml:space="preserve"> which is the opposite of freedom.</w:t>
      </w:r>
      <w:r w:rsidR="00365F49">
        <w:t xml:space="preserve"> Freedom means oppor</w:t>
      </w:r>
      <w:r w:rsidR="00562277">
        <w:t xml:space="preserve">tunity and choice. But </w:t>
      </w:r>
      <w:r w:rsidR="00301424">
        <w:t>Sartre</w:t>
      </w:r>
      <w:r w:rsidR="00562277">
        <w:t xml:space="preserve"> does not mean Freedom in the typical sense of the word.</w:t>
      </w:r>
      <w:r w:rsidR="008B47B1">
        <w:t xml:space="preserve"> To </w:t>
      </w:r>
      <w:r w:rsidR="00301424">
        <w:t>Sartre</w:t>
      </w:r>
      <w:r w:rsidR="008B47B1">
        <w:t>, freedom is not unlimited opportunity</w:t>
      </w:r>
      <w:r w:rsidR="00676E37">
        <w:t>. He is not claiming that humans can do anything they want or become what they wish unconstrained by circumstance.</w:t>
      </w:r>
      <w:r w:rsidR="005C09A9">
        <w:t xml:space="preserve"> He does acknowledge that someone born poor or living under a dictatorship will face radically different</w:t>
      </w:r>
      <w:r w:rsidR="00334ECB">
        <w:t xml:space="preserve"> possibilities than someone born in a </w:t>
      </w:r>
      <w:r w:rsidR="00D33AB2">
        <w:t>freer</w:t>
      </w:r>
      <w:r w:rsidR="00334ECB">
        <w:t xml:space="preserve"> country. Someone from </w:t>
      </w:r>
      <w:r w:rsidR="002728FE">
        <w:t xml:space="preserve">politically turbulent </w:t>
      </w:r>
      <w:r w:rsidR="00334ECB">
        <w:t xml:space="preserve">Iran will face </w:t>
      </w:r>
      <w:r w:rsidR="00334375">
        <w:t>a vastly different life than someone born in</w:t>
      </w:r>
      <w:r w:rsidR="002728FE">
        <w:t xml:space="preserve"> </w:t>
      </w:r>
      <w:r w:rsidR="00386EDD">
        <w:t>the relative calmness of</w:t>
      </w:r>
      <w:r w:rsidR="00334375">
        <w:t xml:space="preserve"> Wales.</w:t>
      </w:r>
      <w:r w:rsidR="00595740">
        <w:t xml:space="preserve"> </w:t>
      </w:r>
      <w:r w:rsidR="00301424">
        <w:t>Sartre</w:t>
      </w:r>
      <w:r w:rsidR="00595740">
        <w:t xml:space="preserve"> means that </w:t>
      </w:r>
      <w:r w:rsidR="00D9087C">
        <w:t xml:space="preserve">no matter how constrained your circumstances, you are never relieved of the burden of </w:t>
      </w:r>
      <w:r w:rsidR="00D9087C">
        <w:rPr>
          <w:i/>
          <w:iCs/>
        </w:rPr>
        <w:t>choice</w:t>
      </w:r>
      <w:r w:rsidR="00D9087C">
        <w:t>.</w:t>
      </w:r>
      <w:r w:rsidR="00E353BD">
        <w:rPr>
          <w:rStyle w:val="FootnoteReference"/>
        </w:rPr>
        <w:footnoteReference w:id="8"/>
      </w:r>
      <w:r w:rsidR="00D9087C">
        <w:t xml:space="preserve"> </w:t>
      </w:r>
      <w:r w:rsidR="00F343F1">
        <w:t xml:space="preserve">The </w:t>
      </w:r>
      <w:r w:rsidR="00FD2ED7">
        <w:t xml:space="preserve">unchosen aspects of our existence such as </w:t>
      </w:r>
      <w:r w:rsidR="00B42582">
        <w:t>birthplace or</w:t>
      </w:r>
      <w:r w:rsidR="00FD2ED7">
        <w:t xml:space="preserve"> social class are referred to as “facticity”</w:t>
      </w:r>
      <w:r w:rsidR="0032232C">
        <w:t xml:space="preserve"> by </w:t>
      </w:r>
      <w:r w:rsidR="00301424">
        <w:t>Sartre</w:t>
      </w:r>
      <w:r w:rsidR="0032232C">
        <w:t>. These conditions shape our possibilities but do not eliminate our responsibility for response.</w:t>
      </w:r>
    </w:p>
    <w:p w14:paraId="0E581C76" w14:textId="43BEAB45" w:rsidR="00FF1D83" w:rsidRDefault="00D9087C" w:rsidP="00DB0984">
      <w:r>
        <w:t xml:space="preserve">You </w:t>
      </w:r>
      <w:r w:rsidR="00AF3996">
        <w:t xml:space="preserve">will always need to decide. That also includes not deciding. To not </w:t>
      </w:r>
      <w:r w:rsidR="00946FB1">
        <w:t>decide</w:t>
      </w:r>
      <w:r w:rsidR="00AF3996">
        <w:t xml:space="preserve"> </w:t>
      </w:r>
      <w:r w:rsidR="00F27A68">
        <w:t>is to decide not to.</w:t>
      </w:r>
      <w:r w:rsidR="00353905">
        <w:t xml:space="preserve"> Even when someone has the narrowest set of options</w:t>
      </w:r>
      <w:r w:rsidR="006E732C">
        <w:t>, you can still choose what you take and what meaning you give to such choice.</w:t>
      </w:r>
      <w:r w:rsidR="00B8466C">
        <w:t xml:space="preserve"> Someone cannot escape by saying “fine I won’t choose”</w:t>
      </w:r>
      <w:r w:rsidR="00827CA8">
        <w:t xml:space="preserve"> or “I have no choice”</w:t>
      </w:r>
      <w:r w:rsidR="008E0CB9">
        <w:t xml:space="preserve">. In </w:t>
      </w:r>
      <w:r w:rsidR="00301424">
        <w:t>Sartre</w:t>
      </w:r>
      <w:r w:rsidR="008E0CB9">
        <w:t xml:space="preserve">’s </w:t>
      </w:r>
      <w:r w:rsidR="00827CA8">
        <w:t xml:space="preserve">methodology, that person </w:t>
      </w:r>
      <w:r w:rsidR="004E5354">
        <w:t>has chosen to believe and act as though that is true.</w:t>
      </w:r>
    </w:p>
    <w:p w14:paraId="4AFBAE48" w14:textId="137E9622" w:rsidR="001D28A1" w:rsidRDefault="002C5B51" w:rsidP="00DB0984">
      <w:r>
        <w:t>Up to a point people have the element of choice.</w:t>
      </w:r>
      <w:r w:rsidR="00244E60">
        <w:t xml:space="preserve"> </w:t>
      </w:r>
      <w:r w:rsidR="00CC7532">
        <w:t>Sartre’s own example</w:t>
      </w:r>
      <w:r w:rsidR="00A30C23">
        <w:t xml:space="preserve"> of a student stuck between the choice of deciding whether to care for his mother or the join the French resistance in WW2</w:t>
      </w:r>
      <w:r w:rsidR="00CE089F">
        <w:t xml:space="preserve"> is a good example of this</w:t>
      </w:r>
      <w:r w:rsidR="00A30C23">
        <w:t>.</w:t>
      </w:r>
      <w:r w:rsidR="0039315B">
        <w:t xml:space="preserve"> The student comes to Sartre already leaning toward staying with his mother</w:t>
      </w:r>
      <w:r w:rsidR="009D3613">
        <w:t xml:space="preserve">, </w:t>
      </w:r>
      <w:r w:rsidR="009D3613">
        <w:lastRenderedPageBreak/>
        <w:t>and for Sartre, this is the real lesson.</w:t>
      </w:r>
      <w:r w:rsidR="0041545D">
        <w:rPr>
          <w:rStyle w:val="FootnoteReference"/>
        </w:rPr>
        <w:footnoteReference w:id="9"/>
      </w:r>
      <w:r w:rsidR="0041545D">
        <w:t xml:space="preserve"> </w:t>
      </w:r>
      <w:r w:rsidR="009D3613">
        <w:t xml:space="preserve"> No ethical system could have told him in advance wh</w:t>
      </w:r>
      <w:r w:rsidR="0041545D">
        <w:t xml:space="preserve">at to do. General principles </w:t>
      </w:r>
      <w:r w:rsidR="008F4376">
        <w:t>run out when applied to a concrete scenario like this one. The student had to choose</w:t>
      </w:r>
      <w:r w:rsidR="00EF365A">
        <w:t>, and by coming to Sartre already leaning a particular way, he had in some sense already chosen. The choice was not going to be handed to him by anything or anyone other than himself</w:t>
      </w:r>
      <w:r w:rsidR="007040B1">
        <w:t>.</w:t>
      </w:r>
    </w:p>
    <w:p w14:paraId="41512FA4" w14:textId="11ECDA91" w:rsidR="00682631" w:rsidRDefault="00EB4D09" w:rsidP="00DB0984">
      <w:r>
        <w:t xml:space="preserve">This account of choice captures a very important aspect of human responsibility </w:t>
      </w:r>
      <w:r w:rsidR="00CD4BEC">
        <w:t xml:space="preserve">but </w:t>
      </w:r>
      <w:r w:rsidR="00301424">
        <w:t>Sartre</w:t>
      </w:r>
      <w:r w:rsidR="006F5BF2">
        <w:t xml:space="preserve">’s point of view does not take into account people with mental struggles. </w:t>
      </w:r>
      <w:r w:rsidR="006E188E">
        <w:t>This conception of freedom does not seem to reconcile easily with those who are addicted to drugs for exampl</w:t>
      </w:r>
      <w:r w:rsidR="00864171">
        <w:t>e. Their capacity for autonomous choice is diminished significantly.</w:t>
      </w:r>
      <w:r w:rsidR="00AF5626">
        <w:t xml:space="preserve"> His account assumes that individuals retain enough agency to be held responsible for said actions</w:t>
      </w:r>
      <w:r w:rsidR="00E738DB">
        <w:t>, but is it fair to hold those who are being brainwashed or coerced to the same standards of responsibility as those who are not?</w:t>
      </w:r>
      <w:r w:rsidR="003867C2">
        <w:t xml:space="preserve"> This suggests that</w:t>
      </w:r>
      <w:r w:rsidR="00452A85">
        <w:t xml:space="preserve"> his account may be overestimating the degree of agency one has under such constrain</w:t>
      </w:r>
      <w:r w:rsidR="00091901">
        <w:t>ts</w:t>
      </w:r>
      <w:r w:rsidR="009C2A8B">
        <w:t xml:space="preserve">. If responsibility </w:t>
      </w:r>
      <w:r w:rsidR="00E84CD3">
        <w:t>is a precondition, then cases of manipulation present a challenge</w:t>
      </w:r>
      <w:r w:rsidR="007468AD">
        <w:t xml:space="preserve"> to his conception of universal freedom.</w:t>
      </w:r>
    </w:p>
    <w:p w14:paraId="22F9F5A1" w14:textId="37CA15CD" w:rsidR="006E732C" w:rsidRDefault="00082933" w:rsidP="00DB0984">
      <w:r>
        <w:t xml:space="preserve">So why does Sartre </w:t>
      </w:r>
      <w:r w:rsidR="00373B63">
        <w:t>use the word condemned?</w:t>
      </w:r>
      <w:r w:rsidR="00292084">
        <w:t xml:space="preserve"> He uses it because </w:t>
      </w:r>
      <w:r w:rsidR="00B10850">
        <w:t>he looks at freedom at what it costs humans, rather than what it offers to us. Nobody has ever chosen to exist</w:t>
      </w:r>
      <w:r w:rsidR="00AB2F11">
        <w:t>, nobody has ever chosen what body they want</w:t>
      </w:r>
      <w:r w:rsidR="00574C9B">
        <w:t xml:space="preserve"> or what era they are born in. This is the first way that freedom is imposed onto us rather than granted</w:t>
      </w:r>
      <w:r w:rsidR="00670ACD">
        <w:t xml:space="preserve"> or gifted to us. By the time a human is capable of deciding anything, the decision to exist has already been made.</w:t>
      </w:r>
      <w:r w:rsidR="006D2BEC">
        <w:t xml:space="preserve"> Since we did not create ourselves, </w:t>
      </w:r>
      <w:r w:rsidR="000A3C80">
        <w:t>freedom does not feel as much as it feels like something dropped onto us.</w:t>
      </w:r>
    </w:p>
    <w:p w14:paraId="0D024AE0" w14:textId="798B8EC1" w:rsidR="007D20AB" w:rsidRDefault="007D20AB" w:rsidP="00DB0984">
      <w:r>
        <w:t>And once we do exist, we cannot escape freedom. Sartre’s claim</w:t>
      </w:r>
      <w:r w:rsidR="003602DF">
        <w:t xml:space="preserve"> is not that people face difficult choices occasionally, but that choice</w:t>
      </w:r>
      <w:r w:rsidR="001B77C7">
        <w:t xml:space="preserve"> is what conscious existence consists of</w:t>
      </w:r>
      <w:r w:rsidR="00BF7170">
        <w:t>. There is no stepping outside of our “freedom” to choose</w:t>
      </w:r>
      <w:r w:rsidR="000E344F">
        <w:t xml:space="preserve"> and the strategies people use to avoid choosing are not exits but further exercises from it.</w:t>
      </w:r>
    </w:p>
    <w:p w14:paraId="53AA7EBA" w14:textId="1739D5F7" w:rsidR="00A8107E" w:rsidRDefault="00F65018" w:rsidP="00DB0984">
      <w:r>
        <w:t>Philosopher David Benatar takes this same starting point further</w:t>
      </w:r>
      <w:r w:rsidR="00D23ACF">
        <w:t xml:space="preserve">, as he argues that because a person can never consent to being brought into existence, coming into existence is </w:t>
      </w:r>
      <w:r w:rsidR="00D23ACF">
        <w:rPr>
          <w:i/>
          <w:iCs/>
        </w:rPr>
        <w:t>always</w:t>
      </w:r>
      <w:r w:rsidR="00D23ACF">
        <w:t xml:space="preserve"> a harm to that person</w:t>
      </w:r>
      <w:r w:rsidR="00804617">
        <w:t xml:space="preserve">, regardless of how good their life turns out to be. </w:t>
      </w:r>
      <w:r w:rsidR="002406AA">
        <w:t xml:space="preserve">Avoiding pain by non-existence </w:t>
      </w:r>
      <w:r w:rsidR="004F0F5E">
        <w:t>is good with no one deprived of it, while avoiding pleasure by non-existence deprives nobody either, as there would be nobody to be deprived.</w:t>
      </w:r>
      <w:r w:rsidR="00167A95">
        <w:rPr>
          <w:rStyle w:val="FootnoteReference"/>
        </w:rPr>
        <w:footnoteReference w:id="10"/>
      </w:r>
      <w:r w:rsidR="00565F8C">
        <w:t xml:space="preserve"> </w:t>
      </w:r>
      <w:r w:rsidR="00A8107E">
        <w:t>“</w:t>
      </w:r>
      <w:r w:rsidR="00A8107E" w:rsidRPr="00A8107E">
        <w:t>Being brought into existence is not a benefit but always a harm</w:t>
      </w:r>
      <w:r w:rsidR="00A8107E">
        <w:t>”.</w:t>
      </w:r>
      <w:r w:rsidR="00A8107E">
        <w:rPr>
          <w:rStyle w:val="FootnoteReference"/>
        </w:rPr>
        <w:footnoteReference w:id="11"/>
      </w:r>
    </w:p>
    <w:p w14:paraId="6BA475A2" w14:textId="7403B898" w:rsidR="00F65018" w:rsidRDefault="00565F8C" w:rsidP="00DB0984">
      <w:r>
        <w:t>Where Sartre stops at describing the unchosen nature of existence</w:t>
      </w:r>
      <w:r w:rsidR="00CE6D85">
        <w:t xml:space="preserve">, Benatar goes further and treats that same unchosen quality </w:t>
      </w:r>
      <w:r w:rsidR="004B6132">
        <w:t>as the base of a moral complaint against existence itself.</w:t>
      </w:r>
      <w:r>
        <w:t xml:space="preserve"> </w:t>
      </w:r>
      <w:r w:rsidR="00991382">
        <w:t>Unchosen existence can be read two very different ways</w:t>
      </w:r>
      <w:r w:rsidR="00A96AB0">
        <w:t>. For Sartre it’s the radical freedom and responsibility but for Benatar it is evidence that existence itself was a wrong done to you.</w:t>
      </w:r>
    </w:p>
    <w:p w14:paraId="5E37FA1B" w14:textId="41A3FF7B" w:rsidR="003F38E4" w:rsidRDefault="00290EF2" w:rsidP="00DB0984">
      <w:r>
        <w:t xml:space="preserve">Sartre’s interpretation </w:t>
      </w:r>
      <w:r w:rsidR="006E64DA">
        <w:t>seems</w:t>
      </w:r>
      <w:r>
        <w:t xml:space="preserve"> to be the more convincing of the two. </w:t>
      </w:r>
      <w:r w:rsidR="00830E80">
        <w:t xml:space="preserve">Benatar is correct that no individual consents to their own existence, but this fact alone does not </w:t>
      </w:r>
      <w:r w:rsidR="00855F9D">
        <w:t xml:space="preserve">establish that existence is harmful but highlights a condition common to human life. Sartre’s account </w:t>
      </w:r>
      <w:r w:rsidR="00047E78">
        <w:t>acknowledges that we are thrown into a world not of our choosing but explains more of why this creates responsibility</w:t>
      </w:r>
      <w:r w:rsidR="00F675C8">
        <w:t xml:space="preserve"> instead of resentment. </w:t>
      </w:r>
      <w:r w:rsidR="0040197D">
        <w:t>A</w:t>
      </w:r>
      <w:r w:rsidR="00F675C8">
        <w:t>bsence of consent does</w:t>
      </w:r>
      <w:r w:rsidR="000047D8">
        <w:t xml:space="preserve"> help explain why freedom feels</w:t>
      </w:r>
      <w:r w:rsidR="0040197D">
        <w:t xml:space="preserve"> imposed</w:t>
      </w:r>
      <w:r w:rsidR="000652D2">
        <w:t xml:space="preserve"> but does not necessarily justify existence itself is wrong.</w:t>
      </w:r>
      <w:r w:rsidR="000047D8">
        <w:t xml:space="preserve"> </w:t>
      </w:r>
    </w:p>
    <w:p w14:paraId="7023064C" w14:textId="5F4E1867" w:rsidR="00B6456E" w:rsidRDefault="00B6456E" w:rsidP="00B726C8">
      <w:r>
        <w:lastRenderedPageBreak/>
        <w:t>If Freedom is something Sartre says we are condemned to, responsibility is the price that comes attached to it</w:t>
      </w:r>
      <w:r w:rsidR="00392DF5">
        <w:t>. When excuses run out, such as God or fate there is nothing standing between someone and their own choices.</w:t>
      </w:r>
    </w:p>
    <w:p w14:paraId="299FF8F2" w14:textId="0F873BB3" w:rsidR="002F41A2" w:rsidRDefault="002F41A2" w:rsidP="00B726C8">
      <w:r>
        <w:t>There is no hidden self sitting behind your choices waiting to be discovered or exposed. For Sartre, you are the sum of everything you have done. You are not something that occasionally acts. Every choice constructs a part of who you are as a person. Sartre uses the example of the coward to show this.</w:t>
      </w:r>
      <w:r w:rsidR="00B726C8">
        <w:rPr>
          <w:rStyle w:val="FootnoteReference"/>
        </w:rPr>
        <w:footnoteReference w:id="12"/>
      </w:r>
      <w:r w:rsidR="00B726C8">
        <w:t xml:space="preserve"> The coward</w:t>
      </w:r>
      <w:r w:rsidR="009A20C9">
        <w:t xml:space="preserve"> is not a coward because he was born that way but because</w:t>
      </w:r>
      <w:r w:rsidR="00B77E2B">
        <w:t xml:space="preserve"> he</w:t>
      </w:r>
      <w:r w:rsidR="000F7D19">
        <w:t xml:space="preserve"> has done cowardly acts such as </w:t>
      </w:r>
      <w:r w:rsidR="00996260">
        <w:t>“giving up or giving away”</w:t>
      </w:r>
      <w:r w:rsidR="00996260">
        <w:rPr>
          <w:rStyle w:val="FootnoteReference"/>
        </w:rPr>
        <w:footnoteReference w:id="13"/>
      </w:r>
      <w:r w:rsidR="00B761BA">
        <w:t xml:space="preserve"> But just because one may become a coward does not mean </w:t>
      </w:r>
      <w:r w:rsidR="003F21F6">
        <w:t>he cannot undo himself and become something else. Nothing done in the past locks you in who you are now</w:t>
      </w:r>
      <w:r w:rsidR="00A67310">
        <w:t>, the coward can act heroic tomorrow and vice versa. This shows us that the project of defining yourself will never be finished while you are alive.</w:t>
      </w:r>
    </w:p>
    <w:p w14:paraId="714910A9" w14:textId="07B21145" w:rsidR="002F41A2" w:rsidRDefault="002043CF" w:rsidP="00B6456E">
      <w:r>
        <w:t xml:space="preserve">The rejection of God and fixed human nature </w:t>
      </w:r>
      <w:r w:rsidR="000118E3">
        <w:t xml:space="preserve">has implications for responsibility and choice. If there is no </w:t>
      </w:r>
      <w:r w:rsidR="00866462">
        <w:t>divine</w:t>
      </w:r>
      <w:r w:rsidR="000118E3">
        <w:t xml:space="preserve"> creator </w:t>
      </w:r>
      <w:r w:rsidR="008864B5">
        <w:t>or no predetermined essence then there is no external source in which people can appeal to justify themselves</w:t>
      </w:r>
      <w:r w:rsidR="00FB6F3E">
        <w:t>. Excuses like God’s will or it being their nature do not absolve responsibility</w:t>
      </w:r>
      <w:r w:rsidR="0037539C">
        <w:t xml:space="preserve"> since they put human action on forces outside of being human.</w:t>
      </w:r>
      <w:r w:rsidR="002967AE">
        <w:t xml:space="preserve"> It would be ill fated for the coward to blame </w:t>
      </w:r>
      <w:r w:rsidR="00F829BB">
        <w:t>their</w:t>
      </w:r>
      <w:r w:rsidR="002967AE">
        <w:t xml:space="preserve"> nature or </w:t>
      </w:r>
      <w:r w:rsidR="008D28B9">
        <w:t>appeal to God</w:t>
      </w:r>
      <w:r w:rsidR="006D6996">
        <w:t>, they themselves are responsible</w:t>
      </w:r>
      <w:r w:rsidR="00F829BB">
        <w:t>.</w:t>
      </w:r>
      <w:r w:rsidR="008B00B7">
        <w:t xml:space="preserve"> Attempts to deny this responsibility is what Sartre would call bad faith</w:t>
      </w:r>
      <w:r w:rsidR="00581485">
        <w:t xml:space="preserve">. Stalin Joseph Correya </w:t>
      </w:r>
      <w:r w:rsidR="00670899">
        <w:t xml:space="preserve">describes bad faith as </w:t>
      </w:r>
      <w:r w:rsidR="0037392B">
        <w:t>letting “one evade responsibility by hiding in the determination of either transcendence or facticity”</w:t>
      </w:r>
      <w:r w:rsidR="0037392B">
        <w:rPr>
          <w:rStyle w:val="FootnoteReference"/>
        </w:rPr>
        <w:footnoteReference w:id="14"/>
      </w:r>
    </w:p>
    <w:p w14:paraId="1A7BA9B1" w14:textId="514D357B" w:rsidR="005156AB" w:rsidRDefault="00CC01CD" w:rsidP="00B6456E">
      <w:r>
        <w:t>Sartre’s account is compelling in its refusal of excusing actions</w:t>
      </w:r>
      <w:r w:rsidR="00F62876">
        <w:t>, showing that the coward could always have acted otherwise is a genuine argument against the belief that every action is preordained.</w:t>
      </w:r>
      <w:r w:rsidR="00BA04D0">
        <w:t xml:space="preserve"> Not letting people disown their actions is very admira</w:t>
      </w:r>
      <w:r w:rsidR="00857B8A">
        <w:t>ble, especially in a world</w:t>
      </w:r>
      <w:r w:rsidR="0048553C">
        <w:t xml:space="preserve"> where people are being </w:t>
      </w:r>
      <w:r w:rsidR="00522234">
        <w:t xml:space="preserve">held accountable for actions done several decades ago. </w:t>
      </w:r>
    </w:p>
    <w:p w14:paraId="5E1E7D22" w14:textId="77777777" w:rsidR="00B72CD4" w:rsidRDefault="00522234" w:rsidP="00B6456E">
      <w:r>
        <w:t>However</w:t>
      </w:r>
      <w:r w:rsidR="00D96D3B">
        <w:t>, the strength of accountability becomes a problem when not focusing on idealised cases. The coward and the student are both capable of rational</w:t>
      </w:r>
      <w:r w:rsidR="007347E9">
        <w:t xml:space="preserve"> and unimpaired thought. They can weigh their options carefully. This is not the case for everyone though</w:t>
      </w:r>
      <w:r w:rsidR="00424C0F">
        <w:t>, someone with a mental illness</w:t>
      </w:r>
      <w:r w:rsidR="00AE406A">
        <w:t xml:space="preserve"> for example cannot “undo themselves” like the coward can.</w:t>
      </w:r>
      <w:r w:rsidR="001D1C8B">
        <w:t xml:space="preserve"> Treating all people as </w:t>
      </w:r>
      <w:r w:rsidR="000D0871">
        <w:t>equal and responsible for their actions</w:t>
      </w:r>
      <w:r w:rsidR="00C77875">
        <w:t xml:space="preserve"> risks flattening real differences in agency</w:t>
      </w:r>
      <w:r w:rsidR="000424F8">
        <w:t xml:space="preserve">. Sartre may respond using bad faith by claiming that diminished agency can itself be </w:t>
      </w:r>
      <w:r w:rsidR="00D45532">
        <w:t>self-deception</w:t>
      </w:r>
      <w:r w:rsidR="00881008">
        <w:t xml:space="preserve"> but this risks making this theory unfalsifiable, since any objections can be reframed as evasion.</w:t>
      </w:r>
      <w:r w:rsidR="00771105">
        <w:t xml:space="preserve"> </w:t>
      </w:r>
    </w:p>
    <w:p w14:paraId="7B1029CC" w14:textId="44B6D5DF" w:rsidR="00522234" w:rsidRDefault="00771105" w:rsidP="00B6456E">
      <w:r>
        <w:t xml:space="preserve">This tendency becomes </w:t>
      </w:r>
      <w:r w:rsidR="00B72CD4">
        <w:t>clearer</w:t>
      </w:r>
      <w:r>
        <w:t xml:space="preserve"> in Sartre’s own example of a homosexual man who refuses to identify as gay</w:t>
      </w:r>
      <w:r w:rsidR="00C96A7F">
        <w:t xml:space="preserve">, insisting his past does not commit him to any fixed identity. The friend of </w:t>
      </w:r>
      <w:r w:rsidR="00482320">
        <w:t>the homosexual man</w:t>
      </w:r>
      <w:r w:rsidR="00C96A7F">
        <w:t>, whom he calls “the champion of sincerity”</w:t>
      </w:r>
      <w:r w:rsidR="0003406B">
        <w:t>, urges him to simply accept and declare his sexuality outright</w:t>
      </w:r>
      <w:r w:rsidR="005A607B">
        <w:t>.</w:t>
      </w:r>
      <w:r w:rsidR="0003406B">
        <w:rPr>
          <w:rStyle w:val="FootnoteReference"/>
        </w:rPr>
        <w:footnoteReference w:id="15"/>
      </w:r>
      <w:r w:rsidR="005A607B">
        <w:t xml:space="preserve"> For Sartre, both men would be guilty of bad faith</w:t>
      </w:r>
      <w:r w:rsidR="00C745D7">
        <w:t xml:space="preserve">: the first for treating freedom as absolute and not conditioned by his past </w:t>
      </w:r>
      <w:r w:rsidR="00482320">
        <w:t>and the second for trying to reduce his friend to a fixed</w:t>
      </w:r>
      <w:r w:rsidR="00DD7671">
        <w:t xml:space="preserve"> thing.</w:t>
      </w:r>
      <w:r w:rsidR="0053270D">
        <w:t xml:space="preserve"> From this example, it shows us that denial is bad faith but so is acceptance</w:t>
      </w:r>
      <w:r w:rsidR="00383EFC">
        <w:t>. If both acknowledging and refusing an identity can be equally diagnosed as bad faith, it blurs the lines</w:t>
      </w:r>
      <w:r w:rsidR="001D5428">
        <w:t xml:space="preserve"> on what evidence could count against this theory.</w:t>
      </w:r>
    </w:p>
    <w:p w14:paraId="694CE1CB" w14:textId="2068602C" w:rsidR="00E82032" w:rsidRDefault="00911A61" w:rsidP="00911A61">
      <w:pPr>
        <w:pStyle w:val="Heading3"/>
      </w:pPr>
      <w:r>
        <w:lastRenderedPageBreak/>
        <w:t>Conclusion</w:t>
      </w:r>
    </w:p>
    <w:p w14:paraId="713861F5" w14:textId="3E36F5A9" w:rsidR="002326B0" w:rsidRDefault="002326B0" w:rsidP="002326B0">
      <w:r>
        <w:t xml:space="preserve">This essay has examined the </w:t>
      </w:r>
      <w:r w:rsidR="00227989">
        <w:t>claim that all humans are condemned to be free</w:t>
      </w:r>
      <w:r w:rsidR="001D2A34">
        <w:t>, the consequence of existence preceding essence. Looking at the initial claims by Plato, Aristotle and Aquinas, it shows just how radical Sartre was when proposing this idea</w:t>
      </w:r>
      <w:r w:rsidR="00C5606B">
        <w:t xml:space="preserve">. The idea that without a God or fixed human </w:t>
      </w:r>
      <w:r w:rsidR="007D4282">
        <w:t xml:space="preserve">nature meaning there is no blueprint was a drastic turn at the time. The absence of such </w:t>
      </w:r>
      <w:r w:rsidR="00CD3CF4">
        <w:t>predetermined aspects makes freedom a c</w:t>
      </w:r>
      <w:r w:rsidR="00B70826">
        <w:t>ondemnation instead of a gift, imposed through an unchosen</w:t>
      </w:r>
      <w:r w:rsidR="00811E42">
        <w:t xml:space="preserve"> existence and unescapable once we do. </w:t>
      </w:r>
      <w:r w:rsidR="00611C7E">
        <w:t xml:space="preserve">Looking at responsibility highlighted the strong points and weak ones of Sartre’s view. Refusing excuses for actions and </w:t>
      </w:r>
      <w:r w:rsidR="00511AB1">
        <w:t xml:space="preserve">being held accountable is definitely a strong point but </w:t>
      </w:r>
      <w:r w:rsidR="00AC7C99">
        <w:t>the examples Sartre uses of the homosexual man and the champion of sincerity highlight a flaw in</w:t>
      </w:r>
      <w:r w:rsidR="005C50FD">
        <w:t xml:space="preserve"> that it risks being unfalsifiable, when acceptance and denial can both be seen as bad faith. </w:t>
      </w:r>
    </w:p>
    <w:p w14:paraId="56484C65" w14:textId="3CC051A1" w:rsidR="005C50FD" w:rsidRDefault="005C50FD" w:rsidP="002326B0">
      <w:r>
        <w:t>Ultimately, Sartre’s view</w:t>
      </w:r>
      <w:r w:rsidR="00677B9C">
        <w:t xml:space="preserve"> is strong in some elements but could be strengthened by acknowledging </w:t>
      </w:r>
      <w:r w:rsidR="00D1322E">
        <w:t>cases of limited agency</w:t>
      </w:r>
      <w:r w:rsidR="00677B9C">
        <w:t xml:space="preserve"> </w:t>
      </w:r>
      <w:r w:rsidR="00D1322E">
        <w:t>in harder, less idealised cases.</w:t>
      </w:r>
    </w:p>
    <w:p w14:paraId="359F5A11" w14:textId="34961120" w:rsidR="00352619" w:rsidRDefault="00352619" w:rsidP="00352619">
      <w:pPr>
        <w:pStyle w:val="Heading1"/>
      </w:pPr>
      <w:r>
        <w:t>Bibliography</w:t>
      </w:r>
    </w:p>
    <w:p w14:paraId="0C590157" w14:textId="144A48EC" w:rsidR="00427042" w:rsidRPr="00427042" w:rsidRDefault="00427042" w:rsidP="00427042">
      <w:r w:rsidRPr="00427042">
        <w:rPr>
          <w:b/>
          <w:bCs/>
        </w:rPr>
        <w:t>Aquinas, Thomas</w:t>
      </w:r>
      <w:r w:rsidRPr="00427042">
        <w:t xml:space="preserve">, </w:t>
      </w:r>
      <w:r w:rsidRPr="00427042">
        <w:rPr>
          <w:i/>
          <w:iCs/>
        </w:rPr>
        <w:t>Summa Theologica</w:t>
      </w:r>
      <w:r w:rsidRPr="00427042">
        <w:t xml:space="preserve">, First Part, Question 15: ‘Of Ideas’, </w:t>
      </w:r>
      <w:hyperlink r:id="rId10" w:anchor="FPQ15OUTP1" w:tgtFrame="_new" w:history="1">
        <w:r w:rsidRPr="00427042">
          <w:rPr>
            <w:rStyle w:val="Hyperlink"/>
          </w:rPr>
          <w:t>https://isidore.co/aquinas/summa/FP/FP015.html#FPQ15OUTP1</w:t>
        </w:r>
      </w:hyperlink>
      <w:r w:rsidRPr="00427042">
        <w:t xml:space="preserve"> </w:t>
      </w:r>
    </w:p>
    <w:p w14:paraId="4D9528C4" w14:textId="77777777" w:rsidR="00427042" w:rsidRPr="00427042" w:rsidRDefault="00427042" w:rsidP="00427042">
      <w:r w:rsidRPr="00427042">
        <w:rPr>
          <w:b/>
          <w:bCs/>
        </w:rPr>
        <w:t>Benatar, David</w:t>
      </w:r>
      <w:r w:rsidRPr="00427042">
        <w:t xml:space="preserve">, </w:t>
      </w:r>
      <w:r w:rsidRPr="00427042">
        <w:rPr>
          <w:i/>
          <w:iCs/>
        </w:rPr>
        <w:t>Better Never to Have Been: The Harm of Coming into Existence</w:t>
      </w:r>
      <w:r w:rsidRPr="00427042">
        <w:t xml:space="preserve"> (Oxford: Oxford University Press, 2006), https://doi.org/10.1093/acprof:oso/9780199296422.003.0002.</w:t>
      </w:r>
    </w:p>
    <w:p w14:paraId="6E49CFF3" w14:textId="77777777" w:rsidR="00427042" w:rsidRPr="00427042" w:rsidRDefault="00427042" w:rsidP="00427042">
      <w:r w:rsidRPr="00427042">
        <w:rPr>
          <w:b/>
          <w:bCs/>
        </w:rPr>
        <w:t>Correya, S. J.</w:t>
      </w:r>
      <w:r w:rsidRPr="00427042">
        <w:t xml:space="preserve">, ‘Not Just Lying to Oneself: An Examination of Bad Faith in Sartre’, </w:t>
      </w:r>
      <w:r w:rsidRPr="00427042">
        <w:rPr>
          <w:i/>
          <w:iCs/>
        </w:rPr>
        <w:t>Journal of the Indian Council of Philosophical Research</w:t>
      </w:r>
      <w:r w:rsidRPr="00427042">
        <w:t xml:space="preserve"> (2021), https://doi.org/10.1007/s40961-021-00232-y.</w:t>
      </w:r>
    </w:p>
    <w:p w14:paraId="20BB9AEF" w14:textId="77777777" w:rsidR="00427042" w:rsidRPr="00427042" w:rsidRDefault="00427042" w:rsidP="00427042">
      <w:r w:rsidRPr="00427042">
        <w:rPr>
          <w:b/>
          <w:bCs/>
        </w:rPr>
        <w:t>Howells, Christina</w:t>
      </w:r>
      <w:r w:rsidRPr="00427042">
        <w:t xml:space="preserve">, </w:t>
      </w:r>
      <w:r w:rsidRPr="00427042">
        <w:rPr>
          <w:i/>
          <w:iCs/>
        </w:rPr>
        <w:t>The Cambridge Companion to Sartre</w:t>
      </w:r>
      <w:r w:rsidRPr="00427042">
        <w:t xml:space="preserve"> (Cambridge: Cambridge University Press, 2006).</w:t>
      </w:r>
    </w:p>
    <w:p w14:paraId="58338DD4" w14:textId="77777777" w:rsidR="00427042" w:rsidRPr="00427042" w:rsidRDefault="00427042" w:rsidP="00427042">
      <w:r w:rsidRPr="00427042">
        <w:rPr>
          <w:b/>
          <w:bCs/>
        </w:rPr>
        <w:t>Novack, George</w:t>
      </w:r>
      <w:r w:rsidRPr="00427042">
        <w:t xml:space="preserve">, ‘Marxism Versus Existentialism’, in </w:t>
      </w:r>
      <w:r w:rsidRPr="00427042">
        <w:rPr>
          <w:i/>
          <w:iCs/>
        </w:rPr>
        <w:t>Understanding History</w:t>
      </w:r>
      <w:r w:rsidRPr="00427042">
        <w:t xml:space="preserve">, </w:t>
      </w:r>
      <w:hyperlink r:id="rId11" w:tgtFrame="_new" w:history="1">
        <w:r w:rsidRPr="00427042">
          <w:rPr>
            <w:rStyle w:val="Hyperlink"/>
          </w:rPr>
          <w:t>https://www.marxists.org/archive/novack/works/history/ch12.htm</w:t>
        </w:r>
      </w:hyperlink>
      <w:r w:rsidRPr="00427042">
        <w:t xml:space="preserve"> [accessed 20 July 2026].</w:t>
      </w:r>
    </w:p>
    <w:p w14:paraId="4CD4D109" w14:textId="03BAFB41" w:rsidR="00427042" w:rsidRPr="00427042" w:rsidRDefault="00427042" w:rsidP="00427042">
      <w:r w:rsidRPr="00427042">
        <w:rPr>
          <w:b/>
          <w:bCs/>
        </w:rPr>
        <w:t>Pasnau, Robert</w:t>
      </w:r>
      <w:r w:rsidRPr="00427042">
        <w:t xml:space="preserve">, ‘Thomas Aquinas’, </w:t>
      </w:r>
      <w:r w:rsidRPr="00427042">
        <w:rPr>
          <w:i/>
          <w:iCs/>
        </w:rPr>
        <w:t>The Stanford Encyclopedia of Philosophy</w:t>
      </w:r>
      <w:r w:rsidRPr="00427042">
        <w:t xml:space="preserve">, </w:t>
      </w:r>
      <w:hyperlink r:id="rId12" w:anchor="God" w:tgtFrame="_new" w:history="1">
        <w:r w:rsidRPr="00427042">
          <w:rPr>
            <w:rStyle w:val="Hyperlink"/>
          </w:rPr>
          <w:t>https://plato.stanford.edu/entries/aquinas/#God</w:t>
        </w:r>
      </w:hyperlink>
      <w:r w:rsidRPr="00427042">
        <w:t xml:space="preserve"> </w:t>
      </w:r>
    </w:p>
    <w:p w14:paraId="1B642A00" w14:textId="77777777" w:rsidR="00427042" w:rsidRPr="00427042" w:rsidRDefault="00427042" w:rsidP="00427042">
      <w:r w:rsidRPr="00427042">
        <w:rPr>
          <w:b/>
          <w:bCs/>
        </w:rPr>
        <w:t>Sartre, Jean-Paul</w:t>
      </w:r>
      <w:r w:rsidRPr="00427042">
        <w:t xml:space="preserve">, </w:t>
      </w:r>
      <w:r w:rsidRPr="00427042">
        <w:rPr>
          <w:i/>
          <w:iCs/>
        </w:rPr>
        <w:t>Existentialism Is a Humanism</w:t>
      </w:r>
      <w:r w:rsidRPr="00427042">
        <w:t xml:space="preserve"> (London: Methuen, 2007).</w:t>
      </w:r>
    </w:p>
    <w:p w14:paraId="6CAC12C5" w14:textId="77777777" w:rsidR="00427042" w:rsidRPr="00427042" w:rsidRDefault="00427042" w:rsidP="00427042">
      <w:r w:rsidRPr="00427042">
        <w:rPr>
          <w:b/>
          <w:bCs/>
        </w:rPr>
        <w:t>Sedley, David</w:t>
      </w:r>
      <w:r w:rsidRPr="00427042">
        <w:t xml:space="preserve">, ‘An Introduction to Plato’s Theory of Forms’, </w:t>
      </w:r>
      <w:r w:rsidRPr="00427042">
        <w:rPr>
          <w:i/>
          <w:iCs/>
        </w:rPr>
        <w:t>Philosophy</w:t>
      </w:r>
      <w:r w:rsidRPr="00427042">
        <w:t xml:space="preserve">, 78 (Royal Institute of Philosophy, 2016), </w:t>
      </w:r>
      <w:hyperlink r:id="rId13" w:tgtFrame="_new" w:history="1">
        <w:r w:rsidRPr="00427042">
          <w:rPr>
            <w:rStyle w:val="Hyperlink"/>
          </w:rPr>
          <w:t>https://doi.org/10.1017/S1358246116000333</w:t>
        </w:r>
      </w:hyperlink>
      <w:r w:rsidRPr="00427042">
        <w:t>.</w:t>
      </w:r>
    </w:p>
    <w:p w14:paraId="6E05BCAC" w14:textId="77777777" w:rsidR="00277207" w:rsidRPr="00277207" w:rsidRDefault="00277207" w:rsidP="00277207"/>
    <w:sectPr w:rsidR="00277207" w:rsidRPr="002772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1738DC" w14:textId="77777777" w:rsidR="00DD5089" w:rsidRDefault="00DD5089" w:rsidP="00A13AE0">
      <w:pPr>
        <w:spacing w:after="0" w:line="240" w:lineRule="auto"/>
      </w:pPr>
      <w:r>
        <w:separator/>
      </w:r>
    </w:p>
  </w:endnote>
  <w:endnote w:type="continuationSeparator" w:id="0">
    <w:p w14:paraId="2FB8C2E9" w14:textId="77777777" w:rsidR="00DD5089" w:rsidRDefault="00DD5089" w:rsidP="00A13A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7284E5" w14:textId="77777777" w:rsidR="00DD5089" w:rsidRDefault="00DD5089" w:rsidP="00A13AE0">
      <w:pPr>
        <w:spacing w:after="0" w:line="240" w:lineRule="auto"/>
      </w:pPr>
      <w:r>
        <w:separator/>
      </w:r>
    </w:p>
  </w:footnote>
  <w:footnote w:type="continuationSeparator" w:id="0">
    <w:p w14:paraId="40995D6B" w14:textId="77777777" w:rsidR="00DD5089" w:rsidRDefault="00DD5089" w:rsidP="00A13AE0">
      <w:pPr>
        <w:spacing w:after="0" w:line="240" w:lineRule="auto"/>
      </w:pPr>
      <w:r>
        <w:continuationSeparator/>
      </w:r>
    </w:p>
  </w:footnote>
  <w:footnote w:id="1">
    <w:p w14:paraId="07244138" w14:textId="0255C67C" w:rsidR="00A13AE0" w:rsidRPr="00455F29" w:rsidRDefault="00A13AE0">
      <w:pPr>
        <w:pStyle w:val="FootnoteText"/>
      </w:pPr>
      <w:r>
        <w:rPr>
          <w:rStyle w:val="FootnoteReference"/>
        </w:rPr>
        <w:footnoteRef/>
      </w:r>
      <w:r>
        <w:t xml:space="preserve"> </w:t>
      </w:r>
      <w:r w:rsidR="00205996">
        <w:t>David Sedley, An Introduction to Plato’s Theory of Forms</w:t>
      </w:r>
      <w:r w:rsidR="008D1D89">
        <w:t xml:space="preserve"> in </w:t>
      </w:r>
      <w:r w:rsidR="008D1D89">
        <w:rPr>
          <w:i/>
          <w:iCs/>
        </w:rPr>
        <w:t>The Philosophy of Comedy</w:t>
      </w:r>
      <w:r w:rsidR="00455F29">
        <w:rPr>
          <w:i/>
          <w:iCs/>
        </w:rPr>
        <w:t xml:space="preserve">, </w:t>
      </w:r>
      <w:r w:rsidR="00455F29">
        <w:t>vol. 78</w:t>
      </w:r>
      <w:r w:rsidR="00227A7B">
        <w:t xml:space="preserve"> (Royal Institute of Philosophy, 2016)</w:t>
      </w:r>
      <w:r w:rsidR="0076445A">
        <w:t xml:space="preserve">, p.9 </w:t>
      </w:r>
      <w:hyperlink r:id="rId1" w:tgtFrame="_blank" w:history="1">
        <w:r w:rsidR="0076445A" w:rsidRPr="0076445A">
          <w:rPr>
            <w:rStyle w:val="Hyperlink"/>
          </w:rPr>
          <w:t xml:space="preserve">https://doi.org/10.1017/S1358246116000333 </w:t>
        </w:r>
      </w:hyperlink>
    </w:p>
  </w:footnote>
  <w:footnote w:id="2">
    <w:p w14:paraId="36E0DB1C" w14:textId="0DEC5F6D" w:rsidR="00181D3F" w:rsidRDefault="00181D3F">
      <w:pPr>
        <w:pStyle w:val="FootnoteText"/>
      </w:pPr>
      <w:r>
        <w:rPr>
          <w:rStyle w:val="FootnoteReference"/>
        </w:rPr>
        <w:footnoteRef/>
      </w:r>
      <w:r>
        <w:t xml:space="preserve"> </w:t>
      </w:r>
      <w:r w:rsidR="00651965" w:rsidRPr="00651965">
        <w:t>Robert Pasnau</w:t>
      </w:r>
      <w:r w:rsidR="00F34E35">
        <w:t xml:space="preserve">, </w:t>
      </w:r>
      <w:r w:rsidR="00F34E35" w:rsidRPr="00F34E35">
        <w:t>Thomas Aquinas</w:t>
      </w:r>
      <w:r w:rsidR="00F34E35">
        <w:t xml:space="preserve">, </w:t>
      </w:r>
      <w:hyperlink r:id="rId2" w:anchor="God" w:history="1">
        <w:r w:rsidR="00F34E35" w:rsidRPr="00A422A6">
          <w:rPr>
            <w:rStyle w:val="Hyperlink"/>
          </w:rPr>
          <w:t>https://plato.stanford.edu/entries/aquinas/#God</w:t>
        </w:r>
      </w:hyperlink>
      <w:r w:rsidR="00F34E35">
        <w:t xml:space="preserve"> (Accessed 20/07/2026)</w:t>
      </w:r>
    </w:p>
  </w:footnote>
  <w:footnote w:id="3">
    <w:p w14:paraId="047BCB27" w14:textId="399A0FC2" w:rsidR="007C4F01" w:rsidRPr="003538FB" w:rsidRDefault="007C4F01">
      <w:pPr>
        <w:pStyle w:val="FootnoteText"/>
      </w:pPr>
      <w:r>
        <w:rPr>
          <w:rStyle w:val="FootnoteReference"/>
        </w:rPr>
        <w:footnoteRef/>
      </w:r>
      <w:r>
        <w:t xml:space="preserve"> Thomas Aquinas, </w:t>
      </w:r>
      <w:r w:rsidR="0063628C" w:rsidRPr="0063628C">
        <w:t>Summa Theologica</w:t>
      </w:r>
      <w:r w:rsidR="0063628C">
        <w:t xml:space="preserve">, </w:t>
      </w:r>
      <w:r w:rsidR="003538FB">
        <w:rPr>
          <w:i/>
          <w:iCs/>
        </w:rPr>
        <w:t>First Part, Question 15: Of Ideas</w:t>
      </w:r>
      <w:r w:rsidR="003538FB">
        <w:t xml:space="preserve">, </w:t>
      </w:r>
      <w:hyperlink r:id="rId3" w:anchor="FPQ15OUTP1" w:history="1">
        <w:r w:rsidR="00E13A8A" w:rsidRPr="00A422A6">
          <w:rPr>
            <w:rStyle w:val="Hyperlink"/>
          </w:rPr>
          <w:t>https://isidore.co/aquinas/summa/FP/FP015.html#FPQ15OUTP1</w:t>
        </w:r>
      </w:hyperlink>
      <w:r w:rsidR="00E13A8A">
        <w:t xml:space="preserve"> (Accessed 20/07/2026)</w:t>
      </w:r>
    </w:p>
  </w:footnote>
  <w:footnote w:id="4">
    <w:p w14:paraId="7EE8C6AE" w14:textId="18AEF9F4" w:rsidR="004016E3" w:rsidRDefault="004016E3">
      <w:pPr>
        <w:pStyle w:val="FootnoteText"/>
      </w:pPr>
      <w:r>
        <w:rPr>
          <w:rStyle w:val="FootnoteReference"/>
        </w:rPr>
        <w:footnoteRef/>
      </w:r>
      <w:r>
        <w:t xml:space="preserve"> </w:t>
      </w:r>
      <w:r w:rsidR="00972DA0">
        <w:t xml:space="preserve">Jean-Paul </w:t>
      </w:r>
      <w:r w:rsidR="00301424">
        <w:t>Sartre</w:t>
      </w:r>
      <w:r w:rsidR="00972DA0">
        <w:t xml:space="preserve">, </w:t>
      </w:r>
      <w:r w:rsidR="00972DA0" w:rsidRPr="001D31AD">
        <w:rPr>
          <w:i/>
          <w:iCs/>
        </w:rPr>
        <w:t>Existentialism is a Humanism</w:t>
      </w:r>
      <w:r w:rsidR="008E04AE">
        <w:t xml:space="preserve"> (</w:t>
      </w:r>
      <w:r w:rsidR="00914179">
        <w:t>Methuen,</w:t>
      </w:r>
      <w:r w:rsidR="00146327">
        <w:t xml:space="preserve"> 2007)</w:t>
      </w:r>
      <w:r w:rsidR="00914179">
        <w:t xml:space="preserve"> </w:t>
      </w:r>
      <w:r w:rsidR="00B67AE9">
        <w:t>p.28</w:t>
      </w:r>
      <w:r w:rsidR="00232CC6">
        <w:t xml:space="preserve">. </w:t>
      </w:r>
      <w:r w:rsidR="00232CC6" w:rsidRPr="00232CC6">
        <w:t>978-0-413-77639-6</w:t>
      </w:r>
    </w:p>
  </w:footnote>
  <w:footnote w:id="5">
    <w:p w14:paraId="5A14870C" w14:textId="114A09D5" w:rsidR="00E63070" w:rsidRDefault="00E63070">
      <w:pPr>
        <w:pStyle w:val="FootnoteText"/>
      </w:pPr>
      <w:r>
        <w:rPr>
          <w:rStyle w:val="FootnoteReference"/>
        </w:rPr>
        <w:footnoteRef/>
      </w:r>
      <w:r>
        <w:t xml:space="preserve"> Ibid</w:t>
      </w:r>
      <w:r w:rsidR="002F371D">
        <w:t>, p.30</w:t>
      </w:r>
    </w:p>
  </w:footnote>
  <w:footnote w:id="6">
    <w:p w14:paraId="63C9C31D" w14:textId="75D4B0A6" w:rsidR="00EC1E72" w:rsidRPr="0007669E" w:rsidRDefault="00EC1E72">
      <w:pPr>
        <w:pStyle w:val="FootnoteText"/>
      </w:pPr>
      <w:r>
        <w:rPr>
          <w:rStyle w:val="FootnoteReference"/>
        </w:rPr>
        <w:footnoteRef/>
      </w:r>
      <w:r>
        <w:t xml:space="preserve"> George Novack, </w:t>
      </w:r>
      <w:r w:rsidR="0007669E" w:rsidRPr="0007669E">
        <w:t>Marxism Versus Existentialism</w:t>
      </w:r>
      <w:r w:rsidR="0007669E">
        <w:t xml:space="preserve"> in </w:t>
      </w:r>
      <w:r w:rsidR="0007669E">
        <w:rPr>
          <w:i/>
          <w:iCs/>
        </w:rPr>
        <w:t>Understanding History</w:t>
      </w:r>
      <w:r w:rsidR="0007669E">
        <w:t>,</w:t>
      </w:r>
      <w:r w:rsidR="00FE5F75">
        <w:t xml:space="preserve"> </w:t>
      </w:r>
      <w:hyperlink r:id="rId4" w:history="1">
        <w:r w:rsidR="00FE5F75" w:rsidRPr="00A422A6">
          <w:rPr>
            <w:rStyle w:val="Hyperlink"/>
          </w:rPr>
          <w:t>https://www.marxists.org/archive/novack/works/history/ch12.htm</w:t>
        </w:r>
      </w:hyperlink>
      <w:r w:rsidR="00FE5F75">
        <w:t xml:space="preserve"> (Accessed 20/07/2026)</w:t>
      </w:r>
    </w:p>
  </w:footnote>
  <w:footnote w:id="7">
    <w:p w14:paraId="0E17B17B" w14:textId="250B85A1" w:rsidR="008C22C5" w:rsidRDefault="008C22C5" w:rsidP="008C22C5">
      <w:pPr>
        <w:pStyle w:val="FootnoteText"/>
      </w:pPr>
      <w:r>
        <w:rPr>
          <w:rStyle w:val="FootnoteReference"/>
        </w:rPr>
        <w:footnoteRef/>
      </w:r>
      <w:r>
        <w:t xml:space="preserve"> Christina Howells, The Cambridge Companion to </w:t>
      </w:r>
      <w:r w:rsidR="00301424">
        <w:t>Sartre</w:t>
      </w:r>
      <w:r w:rsidR="00786794">
        <w:t xml:space="preserve"> (2006, Cambridge University Press)</w:t>
      </w:r>
    </w:p>
  </w:footnote>
  <w:footnote w:id="8">
    <w:p w14:paraId="5B2BE78A" w14:textId="1B0D35A6" w:rsidR="00E353BD" w:rsidRDefault="00E353BD">
      <w:pPr>
        <w:pStyle w:val="FootnoteText"/>
      </w:pPr>
      <w:r>
        <w:rPr>
          <w:rStyle w:val="FootnoteReference"/>
        </w:rPr>
        <w:footnoteRef/>
      </w:r>
      <w:r>
        <w:t xml:space="preserve"> </w:t>
      </w:r>
      <w:r w:rsidR="00301424">
        <w:t>Sartre</w:t>
      </w:r>
      <w:r w:rsidR="000655E6">
        <w:t>, Existentialism is a Humanism, p</w:t>
      </w:r>
      <w:r w:rsidR="00476709">
        <w:t>. 38</w:t>
      </w:r>
    </w:p>
  </w:footnote>
  <w:footnote w:id="9">
    <w:p w14:paraId="51B97F84" w14:textId="77777777" w:rsidR="0041545D" w:rsidRDefault="0041545D" w:rsidP="0041545D">
      <w:pPr>
        <w:pStyle w:val="FootnoteText"/>
      </w:pPr>
      <w:r>
        <w:rPr>
          <w:rStyle w:val="FootnoteReference"/>
        </w:rPr>
        <w:footnoteRef/>
      </w:r>
      <w:r>
        <w:t xml:space="preserve"> Ibid, p.39</w:t>
      </w:r>
    </w:p>
  </w:footnote>
  <w:footnote w:id="10">
    <w:p w14:paraId="2A2D0881" w14:textId="70811447" w:rsidR="00167A95" w:rsidRDefault="00167A95">
      <w:pPr>
        <w:pStyle w:val="FootnoteText"/>
      </w:pPr>
      <w:r>
        <w:rPr>
          <w:rStyle w:val="FootnoteReference"/>
        </w:rPr>
        <w:footnoteRef/>
      </w:r>
      <w:r>
        <w:t xml:space="preserve"> David Benatar, Better </w:t>
      </w:r>
      <w:r w:rsidR="003505B7">
        <w:t xml:space="preserve">Never </w:t>
      </w:r>
      <w:r>
        <w:t>to Have Been: The Harm of Coming into Existence (</w:t>
      </w:r>
      <w:r w:rsidR="00230D76">
        <w:t>2006,</w:t>
      </w:r>
      <w:r w:rsidR="003E5919">
        <w:t xml:space="preserve"> Oxford </w:t>
      </w:r>
      <w:r w:rsidR="00FF1864">
        <w:t>University Press</w:t>
      </w:r>
      <w:r w:rsidR="003E5919">
        <w:t xml:space="preserve">) </w:t>
      </w:r>
      <w:hyperlink r:id="rId5" w:history="1">
        <w:r w:rsidR="009A6A1D" w:rsidRPr="009A6A1D">
          <w:rPr>
            <w:rStyle w:val="Hyperlink"/>
          </w:rPr>
          <w:t>https://doi-org.uwtsd.idm.oclc.org/10.1093/acprof:oso/9780199296422.003.0002</w:t>
        </w:r>
      </w:hyperlink>
    </w:p>
  </w:footnote>
  <w:footnote w:id="11">
    <w:p w14:paraId="20D22027" w14:textId="2CA225D0" w:rsidR="00A8107E" w:rsidRDefault="00A8107E">
      <w:pPr>
        <w:pStyle w:val="FootnoteText"/>
      </w:pPr>
      <w:r>
        <w:rPr>
          <w:rStyle w:val="FootnoteReference"/>
        </w:rPr>
        <w:footnoteRef/>
      </w:r>
      <w:r>
        <w:t xml:space="preserve"> Ibid,</w:t>
      </w:r>
      <w:r w:rsidR="00616DFB">
        <w:t xml:space="preserve"> ch.2,</w:t>
      </w:r>
      <w:r w:rsidR="00D251BC">
        <w:t xml:space="preserve"> p.</w:t>
      </w:r>
      <w:r w:rsidR="00616DFB">
        <w:t>29</w:t>
      </w:r>
    </w:p>
  </w:footnote>
  <w:footnote w:id="12">
    <w:p w14:paraId="1842D8B1" w14:textId="335A94D9" w:rsidR="00B726C8" w:rsidRDefault="00B726C8" w:rsidP="00B726C8">
      <w:pPr>
        <w:pStyle w:val="FootnoteText"/>
      </w:pPr>
      <w:r>
        <w:rPr>
          <w:rStyle w:val="FootnoteReference"/>
        </w:rPr>
        <w:footnoteRef/>
      </w:r>
      <w:r>
        <w:t xml:space="preserve"> Sartre, Existentialism is a Humanism, p</w:t>
      </w:r>
      <w:r w:rsidR="00515170">
        <w:t>p. 49-50</w:t>
      </w:r>
    </w:p>
  </w:footnote>
  <w:footnote w:id="13">
    <w:p w14:paraId="22137B48" w14:textId="392C8130" w:rsidR="00996260" w:rsidRDefault="00996260">
      <w:pPr>
        <w:pStyle w:val="FootnoteText"/>
      </w:pPr>
      <w:r>
        <w:rPr>
          <w:rStyle w:val="FootnoteReference"/>
        </w:rPr>
        <w:footnoteRef/>
      </w:r>
      <w:r>
        <w:t xml:space="preserve"> Ibid</w:t>
      </w:r>
    </w:p>
  </w:footnote>
  <w:footnote w:id="14">
    <w:p w14:paraId="77C27C80" w14:textId="34CB2FA6" w:rsidR="0037392B" w:rsidRDefault="0037392B">
      <w:pPr>
        <w:pStyle w:val="FootnoteText"/>
      </w:pPr>
      <w:r>
        <w:rPr>
          <w:rStyle w:val="FootnoteReference"/>
        </w:rPr>
        <w:footnoteRef/>
      </w:r>
      <w:r>
        <w:t xml:space="preserve"> </w:t>
      </w:r>
      <w:r w:rsidR="00A373B8">
        <w:t xml:space="preserve">S.J. Correya, </w:t>
      </w:r>
      <w:r w:rsidR="00A373B8" w:rsidRPr="00A373B8">
        <w:t>Not Just Lying to Oneself: An Examination of Bad Faith in Sartre</w:t>
      </w:r>
      <w:r w:rsidR="00A373B8">
        <w:t xml:space="preserve"> (</w:t>
      </w:r>
      <w:r w:rsidR="0075432D">
        <w:t xml:space="preserve">2021, </w:t>
      </w:r>
      <w:r w:rsidR="0075432D" w:rsidRPr="0075432D">
        <w:t>Indian Council of Philosophical Research</w:t>
      </w:r>
      <w:r w:rsidR="0075432D">
        <w:t xml:space="preserve">) </w:t>
      </w:r>
      <w:r w:rsidR="00442756">
        <w:t>p.118</w:t>
      </w:r>
      <w:r w:rsidR="004011AB">
        <w:t xml:space="preserve"> </w:t>
      </w:r>
      <w:hyperlink r:id="rId6" w:history="1">
        <w:r w:rsidR="004011AB" w:rsidRPr="00F10A0F">
          <w:rPr>
            <w:rStyle w:val="Hyperlink"/>
          </w:rPr>
          <w:t>https://doi-org.uwtsd.idm.oclc.org/10.1007/s40961-021-00232-y</w:t>
        </w:r>
      </w:hyperlink>
      <w:r w:rsidR="004011AB">
        <w:t xml:space="preserve"> </w:t>
      </w:r>
    </w:p>
  </w:footnote>
  <w:footnote w:id="15">
    <w:p w14:paraId="0E712B9E" w14:textId="426AAAA2" w:rsidR="0003406B" w:rsidRDefault="0003406B">
      <w:pPr>
        <w:pStyle w:val="FootnoteText"/>
      </w:pPr>
      <w:r>
        <w:rPr>
          <w:rStyle w:val="FootnoteReference"/>
        </w:rPr>
        <w:footnoteRef/>
      </w:r>
      <w:r>
        <w:t xml:space="preserve"> Ibid, p.</w:t>
      </w:r>
      <w:r w:rsidR="00C15838">
        <w:t>117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DA9"/>
    <w:rsid w:val="00000AF0"/>
    <w:rsid w:val="000047D8"/>
    <w:rsid w:val="000118E3"/>
    <w:rsid w:val="0002388E"/>
    <w:rsid w:val="00027092"/>
    <w:rsid w:val="0003406B"/>
    <w:rsid w:val="0003535C"/>
    <w:rsid w:val="00041C27"/>
    <w:rsid w:val="000424F8"/>
    <w:rsid w:val="00047E78"/>
    <w:rsid w:val="000652D2"/>
    <w:rsid w:val="000655E6"/>
    <w:rsid w:val="0007669E"/>
    <w:rsid w:val="00082933"/>
    <w:rsid w:val="00084E3B"/>
    <w:rsid w:val="00091901"/>
    <w:rsid w:val="00097777"/>
    <w:rsid w:val="000A3C80"/>
    <w:rsid w:val="000D0871"/>
    <w:rsid w:val="000D7661"/>
    <w:rsid w:val="000E344F"/>
    <w:rsid w:val="000F7D19"/>
    <w:rsid w:val="001213DB"/>
    <w:rsid w:val="001216D1"/>
    <w:rsid w:val="00142E89"/>
    <w:rsid w:val="001450B8"/>
    <w:rsid w:val="00146327"/>
    <w:rsid w:val="00156A18"/>
    <w:rsid w:val="00167A95"/>
    <w:rsid w:val="00181D3F"/>
    <w:rsid w:val="001928B3"/>
    <w:rsid w:val="00197B6F"/>
    <w:rsid w:val="001B77C7"/>
    <w:rsid w:val="001D1C8B"/>
    <w:rsid w:val="001D28A1"/>
    <w:rsid w:val="001D2A34"/>
    <w:rsid w:val="001D31AD"/>
    <w:rsid w:val="001D5428"/>
    <w:rsid w:val="001E2D32"/>
    <w:rsid w:val="001F4948"/>
    <w:rsid w:val="002043CF"/>
    <w:rsid w:val="00205996"/>
    <w:rsid w:val="00227989"/>
    <w:rsid w:val="00227A7B"/>
    <w:rsid w:val="00230D76"/>
    <w:rsid w:val="002326B0"/>
    <w:rsid w:val="00232CC6"/>
    <w:rsid w:val="002406AA"/>
    <w:rsid w:val="00244C01"/>
    <w:rsid w:val="00244E60"/>
    <w:rsid w:val="002506E7"/>
    <w:rsid w:val="002728FE"/>
    <w:rsid w:val="00276A92"/>
    <w:rsid w:val="00277207"/>
    <w:rsid w:val="00284427"/>
    <w:rsid w:val="00286052"/>
    <w:rsid w:val="00287DDA"/>
    <w:rsid w:val="00290EF2"/>
    <w:rsid w:val="00292084"/>
    <w:rsid w:val="002967AE"/>
    <w:rsid w:val="002A2998"/>
    <w:rsid w:val="002B636F"/>
    <w:rsid w:val="002C5B51"/>
    <w:rsid w:val="002C7272"/>
    <w:rsid w:val="002D2F36"/>
    <w:rsid w:val="002E4216"/>
    <w:rsid w:val="002F371D"/>
    <w:rsid w:val="002F41A2"/>
    <w:rsid w:val="00301424"/>
    <w:rsid w:val="00302F00"/>
    <w:rsid w:val="003144E6"/>
    <w:rsid w:val="0032232C"/>
    <w:rsid w:val="00334375"/>
    <w:rsid w:val="00334ECB"/>
    <w:rsid w:val="003505B7"/>
    <w:rsid w:val="00352619"/>
    <w:rsid w:val="003538FB"/>
    <w:rsid w:val="00353905"/>
    <w:rsid w:val="003602DF"/>
    <w:rsid w:val="00361EC3"/>
    <w:rsid w:val="00364B29"/>
    <w:rsid w:val="00365F49"/>
    <w:rsid w:val="003736D0"/>
    <w:rsid w:val="0037392B"/>
    <w:rsid w:val="00373B63"/>
    <w:rsid w:val="00374083"/>
    <w:rsid w:val="0037539C"/>
    <w:rsid w:val="00377076"/>
    <w:rsid w:val="003828DC"/>
    <w:rsid w:val="00383EFC"/>
    <w:rsid w:val="003867C2"/>
    <w:rsid w:val="00386EDD"/>
    <w:rsid w:val="00392DF5"/>
    <w:rsid w:val="0039315B"/>
    <w:rsid w:val="003A2865"/>
    <w:rsid w:val="003D1A6C"/>
    <w:rsid w:val="003E5919"/>
    <w:rsid w:val="003F21F6"/>
    <w:rsid w:val="003F38E4"/>
    <w:rsid w:val="003F3D8F"/>
    <w:rsid w:val="004011AB"/>
    <w:rsid w:val="004016E3"/>
    <w:rsid w:val="0040197D"/>
    <w:rsid w:val="0041545D"/>
    <w:rsid w:val="00424C0F"/>
    <w:rsid w:val="0042665D"/>
    <w:rsid w:val="00427042"/>
    <w:rsid w:val="00442756"/>
    <w:rsid w:val="00451355"/>
    <w:rsid w:val="00452A85"/>
    <w:rsid w:val="00455F29"/>
    <w:rsid w:val="00472610"/>
    <w:rsid w:val="00476709"/>
    <w:rsid w:val="00482320"/>
    <w:rsid w:val="0048553C"/>
    <w:rsid w:val="00495AA6"/>
    <w:rsid w:val="004A1D98"/>
    <w:rsid w:val="004A6788"/>
    <w:rsid w:val="004B0B6D"/>
    <w:rsid w:val="004B6132"/>
    <w:rsid w:val="004D0CF4"/>
    <w:rsid w:val="004D37B4"/>
    <w:rsid w:val="004E1EA5"/>
    <w:rsid w:val="004E5354"/>
    <w:rsid w:val="004F0F5E"/>
    <w:rsid w:val="004F2C06"/>
    <w:rsid w:val="005066A2"/>
    <w:rsid w:val="00511AB1"/>
    <w:rsid w:val="00512926"/>
    <w:rsid w:val="00515170"/>
    <w:rsid w:val="005156AB"/>
    <w:rsid w:val="00522234"/>
    <w:rsid w:val="00522343"/>
    <w:rsid w:val="0053270D"/>
    <w:rsid w:val="00562277"/>
    <w:rsid w:val="00565F8C"/>
    <w:rsid w:val="00570C9A"/>
    <w:rsid w:val="00574C9B"/>
    <w:rsid w:val="00581485"/>
    <w:rsid w:val="00595740"/>
    <w:rsid w:val="005A41DC"/>
    <w:rsid w:val="005A607B"/>
    <w:rsid w:val="005C09A9"/>
    <w:rsid w:val="005C316A"/>
    <w:rsid w:val="005C50FD"/>
    <w:rsid w:val="005E2537"/>
    <w:rsid w:val="005E2939"/>
    <w:rsid w:val="005F0AB3"/>
    <w:rsid w:val="005F162A"/>
    <w:rsid w:val="00611C7E"/>
    <w:rsid w:val="006131A3"/>
    <w:rsid w:val="00616DFB"/>
    <w:rsid w:val="0063628C"/>
    <w:rsid w:val="00637BCF"/>
    <w:rsid w:val="00651965"/>
    <w:rsid w:val="006540A9"/>
    <w:rsid w:val="006655F4"/>
    <w:rsid w:val="00665E73"/>
    <w:rsid w:val="00670899"/>
    <w:rsid w:val="00670ACD"/>
    <w:rsid w:val="00676E37"/>
    <w:rsid w:val="00677B9C"/>
    <w:rsid w:val="00682631"/>
    <w:rsid w:val="00687220"/>
    <w:rsid w:val="006A45B0"/>
    <w:rsid w:val="006B3BC3"/>
    <w:rsid w:val="006D2BEC"/>
    <w:rsid w:val="006D6996"/>
    <w:rsid w:val="006E188E"/>
    <w:rsid w:val="006E5D48"/>
    <w:rsid w:val="006E64DA"/>
    <w:rsid w:val="006E732C"/>
    <w:rsid w:val="006F5BF2"/>
    <w:rsid w:val="00701AEF"/>
    <w:rsid w:val="007040B1"/>
    <w:rsid w:val="007100F3"/>
    <w:rsid w:val="00723D41"/>
    <w:rsid w:val="007347E9"/>
    <w:rsid w:val="0073583D"/>
    <w:rsid w:val="007468AD"/>
    <w:rsid w:val="0075432D"/>
    <w:rsid w:val="0076445A"/>
    <w:rsid w:val="00770283"/>
    <w:rsid w:val="00771105"/>
    <w:rsid w:val="00771C8A"/>
    <w:rsid w:val="00786574"/>
    <w:rsid w:val="00786794"/>
    <w:rsid w:val="00790787"/>
    <w:rsid w:val="007B6643"/>
    <w:rsid w:val="007C4F01"/>
    <w:rsid w:val="007D20AB"/>
    <w:rsid w:val="007D4282"/>
    <w:rsid w:val="007F0AAF"/>
    <w:rsid w:val="007F1487"/>
    <w:rsid w:val="00804617"/>
    <w:rsid w:val="00811E42"/>
    <w:rsid w:val="00823AD1"/>
    <w:rsid w:val="00827CA8"/>
    <w:rsid w:val="00830E80"/>
    <w:rsid w:val="00834960"/>
    <w:rsid w:val="00834B2F"/>
    <w:rsid w:val="00835288"/>
    <w:rsid w:val="008430B3"/>
    <w:rsid w:val="00855F9D"/>
    <w:rsid w:val="00857B8A"/>
    <w:rsid w:val="00864139"/>
    <w:rsid w:val="00864171"/>
    <w:rsid w:val="00866462"/>
    <w:rsid w:val="00870609"/>
    <w:rsid w:val="008776AB"/>
    <w:rsid w:val="00877918"/>
    <w:rsid w:val="008809AA"/>
    <w:rsid w:val="00881008"/>
    <w:rsid w:val="008864B5"/>
    <w:rsid w:val="008A7949"/>
    <w:rsid w:val="008B00B7"/>
    <w:rsid w:val="008B10B4"/>
    <w:rsid w:val="008B47B1"/>
    <w:rsid w:val="008C22C5"/>
    <w:rsid w:val="008D1D89"/>
    <w:rsid w:val="008D28B9"/>
    <w:rsid w:val="008E04AE"/>
    <w:rsid w:val="008E0CB9"/>
    <w:rsid w:val="008F4376"/>
    <w:rsid w:val="00911A61"/>
    <w:rsid w:val="00914179"/>
    <w:rsid w:val="00923663"/>
    <w:rsid w:val="0093425D"/>
    <w:rsid w:val="00935208"/>
    <w:rsid w:val="0093646D"/>
    <w:rsid w:val="00936CEE"/>
    <w:rsid w:val="009414EC"/>
    <w:rsid w:val="00944364"/>
    <w:rsid w:val="00946B01"/>
    <w:rsid w:val="00946FB1"/>
    <w:rsid w:val="0097118D"/>
    <w:rsid w:val="00972DA0"/>
    <w:rsid w:val="009818C1"/>
    <w:rsid w:val="00991382"/>
    <w:rsid w:val="00996260"/>
    <w:rsid w:val="009A20C9"/>
    <w:rsid w:val="009A6A1D"/>
    <w:rsid w:val="009B2876"/>
    <w:rsid w:val="009C2A8B"/>
    <w:rsid w:val="009C5FAA"/>
    <w:rsid w:val="009D2F5B"/>
    <w:rsid w:val="009D3613"/>
    <w:rsid w:val="009D36F0"/>
    <w:rsid w:val="00A0250A"/>
    <w:rsid w:val="00A13AE0"/>
    <w:rsid w:val="00A3029D"/>
    <w:rsid w:val="00A30C23"/>
    <w:rsid w:val="00A33918"/>
    <w:rsid w:val="00A373B8"/>
    <w:rsid w:val="00A43913"/>
    <w:rsid w:val="00A67310"/>
    <w:rsid w:val="00A72B62"/>
    <w:rsid w:val="00A763FD"/>
    <w:rsid w:val="00A8107E"/>
    <w:rsid w:val="00A96AB0"/>
    <w:rsid w:val="00A974BA"/>
    <w:rsid w:val="00A97502"/>
    <w:rsid w:val="00AB2F11"/>
    <w:rsid w:val="00AB7298"/>
    <w:rsid w:val="00AC2A33"/>
    <w:rsid w:val="00AC4090"/>
    <w:rsid w:val="00AC7C99"/>
    <w:rsid w:val="00AE008C"/>
    <w:rsid w:val="00AE406A"/>
    <w:rsid w:val="00AF3996"/>
    <w:rsid w:val="00AF5626"/>
    <w:rsid w:val="00B022C7"/>
    <w:rsid w:val="00B10565"/>
    <w:rsid w:val="00B10850"/>
    <w:rsid w:val="00B137F2"/>
    <w:rsid w:val="00B42582"/>
    <w:rsid w:val="00B5327E"/>
    <w:rsid w:val="00B54523"/>
    <w:rsid w:val="00B54D64"/>
    <w:rsid w:val="00B615ED"/>
    <w:rsid w:val="00B6456E"/>
    <w:rsid w:val="00B646AB"/>
    <w:rsid w:val="00B67AE9"/>
    <w:rsid w:val="00B70826"/>
    <w:rsid w:val="00B726C8"/>
    <w:rsid w:val="00B72CD4"/>
    <w:rsid w:val="00B761BA"/>
    <w:rsid w:val="00B77749"/>
    <w:rsid w:val="00B77E2B"/>
    <w:rsid w:val="00B8466C"/>
    <w:rsid w:val="00B853E8"/>
    <w:rsid w:val="00B94192"/>
    <w:rsid w:val="00B97CAB"/>
    <w:rsid w:val="00BA04D0"/>
    <w:rsid w:val="00BB6CC6"/>
    <w:rsid w:val="00BD212F"/>
    <w:rsid w:val="00BD4EB7"/>
    <w:rsid w:val="00BE5822"/>
    <w:rsid w:val="00BE6453"/>
    <w:rsid w:val="00BF7170"/>
    <w:rsid w:val="00C1361D"/>
    <w:rsid w:val="00C15838"/>
    <w:rsid w:val="00C339A9"/>
    <w:rsid w:val="00C5606B"/>
    <w:rsid w:val="00C66D95"/>
    <w:rsid w:val="00C745D7"/>
    <w:rsid w:val="00C77875"/>
    <w:rsid w:val="00C935CD"/>
    <w:rsid w:val="00C96A7F"/>
    <w:rsid w:val="00CC01CD"/>
    <w:rsid w:val="00CC3798"/>
    <w:rsid w:val="00CC6FF1"/>
    <w:rsid w:val="00CC7532"/>
    <w:rsid w:val="00CD3CF4"/>
    <w:rsid w:val="00CD4BEC"/>
    <w:rsid w:val="00CE089F"/>
    <w:rsid w:val="00CE4E91"/>
    <w:rsid w:val="00CE6D85"/>
    <w:rsid w:val="00CF70AF"/>
    <w:rsid w:val="00CF753A"/>
    <w:rsid w:val="00D1322E"/>
    <w:rsid w:val="00D23ACF"/>
    <w:rsid w:val="00D251BC"/>
    <w:rsid w:val="00D27C90"/>
    <w:rsid w:val="00D33AB2"/>
    <w:rsid w:val="00D45532"/>
    <w:rsid w:val="00D552FA"/>
    <w:rsid w:val="00D64183"/>
    <w:rsid w:val="00D71C77"/>
    <w:rsid w:val="00D72100"/>
    <w:rsid w:val="00D7313B"/>
    <w:rsid w:val="00D757B7"/>
    <w:rsid w:val="00D80967"/>
    <w:rsid w:val="00D86AA5"/>
    <w:rsid w:val="00D9087C"/>
    <w:rsid w:val="00D93D73"/>
    <w:rsid w:val="00D96D3B"/>
    <w:rsid w:val="00DA1708"/>
    <w:rsid w:val="00DA4023"/>
    <w:rsid w:val="00DB0984"/>
    <w:rsid w:val="00DB5566"/>
    <w:rsid w:val="00DD5089"/>
    <w:rsid w:val="00DD7671"/>
    <w:rsid w:val="00DE6155"/>
    <w:rsid w:val="00DE7046"/>
    <w:rsid w:val="00E12082"/>
    <w:rsid w:val="00E13A8A"/>
    <w:rsid w:val="00E14266"/>
    <w:rsid w:val="00E15242"/>
    <w:rsid w:val="00E353BD"/>
    <w:rsid w:val="00E63070"/>
    <w:rsid w:val="00E72151"/>
    <w:rsid w:val="00E738DB"/>
    <w:rsid w:val="00E75DA9"/>
    <w:rsid w:val="00E82032"/>
    <w:rsid w:val="00E83B9B"/>
    <w:rsid w:val="00E84CD3"/>
    <w:rsid w:val="00E8533B"/>
    <w:rsid w:val="00EB4D09"/>
    <w:rsid w:val="00EB5BDA"/>
    <w:rsid w:val="00EC1E72"/>
    <w:rsid w:val="00EF365A"/>
    <w:rsid w:val="00EF5355"/>
    <w:rsid w:val="00F17A0B"/>
    <w:rsid w:val="00F27A68"/>
    <w:rsid w:val="00F343F1"/>
    <w:rsid w:val="00F34E35"/>
    <w:rsid w:val="00F36D19"/>
    <w:rsid w:val="00F50595"/>
    <w:rsid w:val="00F55426"/>
    <w:rsid w:val="00F57919"/>
    <w:rsid w:val="00F619A7"/>
    <w:rsid w:val="00F62876"/>
    <w:rsid w:val="00F65018"/>
    <w:rsid w:val="00F668A3"/>
    <w:rsid w:val="00F675C8"/>
    <w:rsid w:val="00F67E66"/>
    <w:rsid w:val="00F829BB"/>
    <w:rsid w:val="00F871D9"/>
    <w:rsid w:val="00F978FB"/>
    <w:rsid w:val="00FB6F3E"/>
    <w:rsid w:val="00FD2ED7"/>
    <w:rsid w:val="00FD37E9"/>
    <w:rsid w:val="00FE5F75"/>
    <w:rsid w:val="00FF1864"/>
    <w:rsid w:val="00FF1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C87F4"/>
  <w15:chartTrackingRefBased/>
  <w15:docId w15:val="{3CAE05CC-DE93-4095-B3C7-ABC4066871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5DA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75DA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75DA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E75DA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75DA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75D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5D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5D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5D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5DA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75DA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75DA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E75DA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75DA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75D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5D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5D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5DA9"/>
    <w:rPr>
      <w:rFonts w:eastAsiaTheme="majorEastAsia" w:cstheme="majorBidi"/>
      <w:color w:val="272727" w:themeColor="text1" w:themeTint="D8"/>
    </w:rPr>
  </w:style>
  <w:style w:type="paragraph" w:styleId="Title">
    <w:name w:val="Title"/>
    <w:basedOn w:val="Normal"/>
    <w:next w:val="Normal"/>
    <w:link w:val="TitleChar"/>
    <w:uiPriority w:val="10"/>
    <w:qFormat/>
    <w:rsid w:val="00E75D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5D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5D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5D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5DA9"/>
    <w:pPr>
      <w:spacing w:before="160"/>
      <w:jc w:val="center"/>
    </w:pPr>
    <w:rPr>
      <w:i/>
      <w:iCs/>
      <w:color w:val="404040" w:themeColor="text1" w:themeTint="BF"/>
    </w:rPr>
  </w:style>
  <w:style w:type="character" w:customStyle="1" w:styleId="QuoteChar">
    <w:name w:val="Quote Char"/>
    <w:basedOn w:val="DefaultParagraphFont"/>
    <w:link w:val="Quote"/>
    <w:uiPriority w:val="29"/>
    <w:rsid w:val="00E75DA9"/>
    <w:rPr>
      <w:i/>
      <w:iCs/>
      <w:color w:val="404040" w:themeColor="text1" w:themeTint="BF"/>
    </w:rPr>
  </w:style>
  <w:style w:type="paragraph" w:styleId="ListParagraph">
    <w:name w:val="List Paragraph"/>
    <w:basedOn w:val="Normal"/>
    <w:uiPriority w:val="34"/>
    <w:qFormat/>
    <w:rsid w:val="00E75DA9"/>
    <w:pPr>
      <w:ind w:left="720"/>
      <w:contextualSpacing/>
    </w:pPr>
  </w:style>
  <w:style w:type="character" w:styleId="IntenseEmphasis">
    <w:name w:val="Intense Emphasis"/>
    <w:basedOn w:val="DefaultParagraphFont"/>
    <w:uiPriority w:val="21"/>
    <w:qFormat/>
    <w:rsid w:val="00E75DA9"/>
    <w:rPr>
      <w:i/>
      <w:iCs/>
      <w:color w:val="2F5496" w:themeColor="accent1" w:themeShade="BF"/>
    </w:rPr>
  </w:style>
  <w:style w:type="paragraph" w:styleId="IntenseQuote">
    <w:name w:val="Intense Quote"/>
    <w:basedOn w:val="Normal"/>
    <w:next w:val="Normal"/>
    <w:link w:val="IntenseQuoteChar"/>
    <w:uiPriority w:val="30"/>
    <w:qFormat/>
    <w:rsid w:val="00E75DA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75DA9"/>
    <w:rPr>
      <w:i/>
      <w:iCs/>
      <w:color w:val="2F5496" w:themeColor="accent1" w:themeShade="BF"/>
    </w:rPr>
  </w:style>
  <w:style w:type="character" w:styleId="IntenseReference">
    <w:name w:val="Intense Reference"/>
    <w:basedOn w:val="DefaultParagraphFont"/>
    <w:uiPriority w:val="32"/>
    <w:qFormat/>
    <w:rsid w:val="00E75DA9"/>
    <w:rPr>
      <w:b/>
      <w:bCs/>
      <w:smallCaps/>
      <w:color w:val="2F5496" w:themeColor="accent1" w:themeShade="BF"/>
      <w:spacing w:val="5"/>
    </w:rPr>
  </w:style>
  <w:style w:type="paragraph" w:styleId="FootnoteText">
    <w:name w:val="footnote text"/>
    <w:basedOn w:val="Normal"/>
    <w:link w:val="FootnoteTextChar"/>
    <w:uiPriority w:val="99"/>
    <w:semiHidden/>
    <w:unhideWhenUsed/>
    <w:rsid w:val="00A13AE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13AE0"/>
    <w:rPr>
      <w:sz w:val="20"/>
      <w:szCs w:val="20"/>
    </w:rPr>
  </w:style>
  <w:style w:type="character" w:styleId="FootnoteReference">
    <w:name w:val="footnote reference"/>
    <w:basedOn w:val="DefaultParagraphFont"/>
    <w:uiPriority w:val="99"/>
    <w:semiHidden/>
    <w:unhideWhenUsed/>
    <w:rsid w:val="00A13AE0"/>
    <w:rPr>
      <w:vertAlign w:val="superscript"/>
    </w:rPr>
  </w:style>
  <w:style w:type="character" w:styleId="Hyperlink">
    <w:name w:val="Hyperlink"/>
    <w:basedOn w:val="DefaultParagraphFont"/>
    <w:uiPriority w:val="99"/>
    <w:unhideWhenUsed/>
    <w:rsid w:val="0076445A"/>
    <w:rPr>
      <w:color w:val="0563C1" w:themeColor="hyperlink"/>
      <w:u w:val="single"/>
    </w:rPr>
  </w:style>
  <w:style w:type="character" w:styleId="UnresolvedMention">
    <w:name w:val="Unresolved Mention"/>
    <w:basedOn w:val="DefaultParagraphFont"/>
    <w:uiPriority w:val="99"/>
    <w:semiHidden/>
    <w:unhideWhenUsed/>
    <w:rsid w:val="0076445A"/>
    <w:rPr>
      <w:color w:val="605E5C"/>
      <w:shd w:val="clear" w:color="auto" w:fill="E1DFDD"/>
    </w:rPr>
  </w:style>
  <w:style w:type="character" w:styleId="FollowedHyperlink">
    <w:name w:val="FollowedHyperlink"/>
    <w:basedOn w:val="DefaultParagraphFont"/>
    <w:uiPriority w:val="99"/>
    <w:semiHidden/>
    <w:unhideWhenUsed/>
    <w:rsid w:val="004011A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17/S1358246116000333"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plato.stanford.edu/entries/aquina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marxists.org/archive/novack/works/history/ch12.htm"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isidore.co/aquinas/summa/FP/FP015.html"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isidore.co/aquinas/summa/FP/FP015.html" TargetMode="External"/><Relationship Id="rId2" Type="http://schemas.openxmlformats.org/officeDocument/2006/relationships/hyperlink" Target="https://plato.stanford.edu/entries/aquinas/" TargetMode="External"/><Relationship Id="rId1" Type="http://schemas.openxmlformats.org/officeDocument/2006/relationships/hyperlink" Target="https://doi.org/10.1017/S1358246116000333" TargetMode="External"/><Relationship Id="rId6" Type="http://schemas.openxmlformats.org/officeDocument/2006/relationships/hyperlink" Target="https://doi-org.uwtsd.idm.oclc.org/10.1007/s40961-021-00232-y" TargetMode="External"/><Relationship Id="rId5" Type="http://schemas.openxmlformats.org/officeDocument/2006/relationships/hyperlink" Target="https://doi-org.uwtsd.idm.oclc.org/10.1093/acprof:oso/9780199296422.003.0002" TargetMode="External"/><Relationship Id="rId4" Type="http://schemas.openxmlformats.org/officeDocument/2006/relationships/hyperlink" Target="https://www.marxists.org/archive/novack/works/history/ch12.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2ea42c22ddaa7072ead07b1a1a5e742f">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72a7b822decd5c3f01d58ab417b06198"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4:SharedWithUsers" minOccurs="0"/>
                <xsd:element ref="ns4:SharedWithDetails" minOccurs="0"/>
                <xsd:element ref="ns4:SharingHintHash"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6E0ACF-47BC-4EAD-B59A-A890D2EAE2EF}">
  <ds:schemaRefs>
    <ds:schemaRef ds:uri="http://schemas.microsoft.com/office/2006/metadata/properties"/>
    <ds:schemaRef ds:uri="http://schemas.microsoft.com/office/infopath/2007/PartnerControls"/>
    <ds:schemaRef ds:uri="0ebdf10f-b5a3-45b6-acdb-7dc1eb398785"/>
  </ds:schemaRefs>
</ds:datastoreItem>
</file>

<file path=customXml/itemProps2.xml><?xml version="1.0" encoding="utf-8"?>
<ds:datastoreItem xmlns:ds="http://schemas.openxmlformats.org/officeDocument/2006/customXml" ds:itemID="{7D509ED4-9296-4FB3-9FFB-5C9A5CD8D38E}">
  <ds:schemaRefs>
    <ds:schemaRef ds:uri="http://schemas.microsoft.com/sharepoint/v3/contenttype/forms"/>
  </ds:schemaRefs>
</ds:datastoreItem>
</file>

<file path=customXml/itemProps3.xml><?xml version="1.0" encoding="utf-8"?>
<ds:datastoreItem xmlns:ds="http://schemas.openxmlformats.org/officeDocument/2006/customXml" ds:itemID="{AEC8E583-1A9C-474A-8A2B-6625348FEF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BF90E27-49A9-43BA-8ED8-5747A55D2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Pages>
  <Words>2325</Words>
  <Characters>13253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Priestley (2306087)</dc:creator>
  <cp:keywords/>
  <dc:description/>
  <cp:lastModifiedBy>Kelsey Priestley (2306087)</cp:lastModifiedBy>
  <cp:revision>4</cp:revision>
  <dcterms:created xsi:type="dcterms:W3CDTF">2026-07-23T19:48:00Z</dcterms:created>
  <dcterms:modified xsi:type="dcterms:W3CDTF">2026-07-23T19:49:00Z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