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1B6FE8">
      <w:pPr>
        <w:spacing w:before="200"/>
        <w:ind w:firstLine="720"/>
        <w:jc w:val="center"/>
        <w:rPr>
          <w:rFonts w:cs="Arial"/>
          <w:b/>
          <w:sz w:val="22"/>
          <w:szCs w:val="22"/>
        </w:rPr>
      </w:pPr>
      <w:r>
        <w:rPr>
          <w:rFonts w:cs="Arial"/>
          <w:b/>
          <w:sz w:val="22"/>
          <w:szCs w:val="22"/>
        </w:rPr>
        <w:t>PG1 - FULL RESEARCH PROPOSAL</w:t>
      </w:r>
    </w:p>
    <w:p w14:paraId="67A10B1E">
      <w:pPr>
        <w:rPr>
          <w:rFonts w:cs="Arial"/>
          <w:b/>
          <w:sz w:val="22"/>
          <w:szCs w:val="22"/>
        </w:rPr>
      </w:pPr>
    </w:p>
    <w:tbl>
      <w:tblPr>
        <w:tblStyle w:val="14"/>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76"/>
      </w:tblGrid>
      <w:tr w14:paraId="7FC849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776" w:type="dxa"/>
          </w:tcPr>
          <w:p w14:paraId="2834770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r>
              <w:fldChar w:fldCharType="begin"/>
            </w:r>
            <w:r>
              <w:instrText xml:space="preserve"> HYPERLINK "mailto:pgresearch@uwtsd.ac.uk" </w:instrText>
            </w:r>
            <w:r>
              <w:fldChar w:fldCharType="separate"/>
            </w:r>
            <w:r>
              <w:rPr>
                <w:rStyle w:val="19"/>
                <w:rFonts w:cs="Arial"/>
                <w:sz w:val="22"/>
                <w:szCs w:val="22"/>
              </w:rPr>
              <w:t>pgresearch@uwtsd.ac.uk</w:t>
            </w:r>
            <w:r>
              <w:rPr>
                <w:rStyle w:val="19"/>
                <w:rFonts w:cs="Arial"/>
                <w:sz w:val="22"/>
                <w:szCs w:val="22"/>
              </w:rPr>
              <w:fldChar w:fldCharType="end"/>
            </w:r>
            <w:r>
              <w:rPr>
                <w:rFonts w:cs="Arial"/>
                <w:b/>
                <w:bCs/>
                <w:sz w:val="22"/>
                <w:szCs w:val="22"/>
              </w:rPr>
              <w:t xml:space="preserve">. </w:t>
            </w:r>
          </w:p>
        </w:tc>
      </w:tr>
    </w:tbl>
    <w:p w14:paraId="41AFDF91">
      <w:pPr>
        <w:rPr>
          <w:rFonts w:cs="Arial"/>
          <w:b/>
          <w:sz w:val="22"/>
          <w:szCs w:val="22"/>
        </w:rPr>
      </w:pPr>
    </w:p>
    <w:p w14:paraId="13208F20">
      <w:pPr>
        <w:spacing w:before="240"/>
        <w:rPr>
          <w:rFonts w:cs="Arial"/>
          <w:b/>
          <w:sz w:val="22"/>
          <w:szCs w:val="22"/>
        </w:rPr>
      </w:pPr>
      <w:r>
        <w:rPr>
          <w:rFonts w:cs="Arial"/>
          <w:b/>
          <w:sz w:val="22"/>
          <w:szCs w:val="22"/>
        </w:rPr>
        <w:t xml:space="preserve">Student Details </w:t>
      </w: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55"/>
        <w:gridCol w:w="2056"/>
        <w:gridCol w:w="2835"/>
        <w:gridCol w:w="2835"/>
      </w:tblGrid>
      <w:tr w14:paraId="0707E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shd w:val="clear" w:color="auto" w:fill="F1F1F1" w:themeFill="background1" w:themeFillShade="F2"/>
          </w:tcPr>
          <w:p w14:paraId="631F831C">
            <w:pPr>
              <w:tabs>
                <w:tab w:val="center" w:pos="2202"/>
              </w:tabs>
              <w:rPr>
                <w:rFonts w:cs="Arial"/>
                <w:sz w:val="22"/>
                <w:szCs w:val="22"/>
              </w:rPr>
            </w:pPr>
            <w:r>
              <w:rPr>
                <w:rFonts w:cs="Arial"/>
                <w:sz w:val="22"/>
                <w:szCs w:val="22"/>
              </w:rPr>
              <w:t>Student Family / Surname:</w:t>
            </w:r>
          </w:p>
          <w:p w14:paraId="4AF5A3C3">
            <w:pPr>
              <w:rPr>
                <w:rFonts w:cs="Arial"/>
                <w:sz w:val="22"/>
                <w:szCs w:val="22"/>
              </w:rPr>
            </w:pPr>
          </w:p>
        </w:tc>
        <w:tc>
          <w:tcPr>
            <w:tcW w:w="5670" w:type="dxa"/>
            <w:gridSpan w:val="2"/>
            <w:shd w:val="clear" w:color="auto" w:fill="auto"/>
          </w:tcPr>
          <w:p w14:paraId="4C983A78">
            <w:pPr>
              <w:rPr>
                <w:rFonts w:hint="default" w:cs="Arial"/>
                <w:sz w:val="22"/>
                <w:szCs w:val="22"/>
                <w:lang w:val="en-US" w:eastAsia="zh-CN"/>
              </w:rPr>
            </w:pPr>
            <w:r>
              <w:rPr>
                <w:rFonts w:hint="eastAsia" w:cs="Arial"/>
                <w:sz w:val="22"/>
                <w:szCs w:val="22"/>
                <w:lang w:val="en-US" w:eastAsia="zh-CN"/>
              </w:rPr>
              <w:t>Lai</w:t>
            </w:r>
          </w:p>
        </w:tc>
      </w:tr>
      <w:tr w14:paraId="75A0E5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shd w:val="clear" w:color="auto" w:fill="F1F1F1" w:themeFill="background1" w:themeFillShade="F2"/>
          </w:tcPr>
          <w:p w14:paraId="54C7E4AF">
            <w:pPr>
              <w:rPr>
                <w:rFonts w:cs="Arial"/>
                <w:sz w:val="22"/>
                <w:szCs w:val="22"/>
              </w:rPr>
            </w:pPr>
            <w:r>
              <w:rPr>
                <w:rFonts w:cs="Arial"/>
                <w:sz w:val="22"/>
                <w:szCs w:val="22"/>
              </w:rPr>
              <w:t>Student Given / First name:</w:t>
            </w:r>
          </w:p>
          <w:p w14:paraId="139D02D7">
            <w:pPr>
              <w:rPr>
                <w:rFonts w:cs="Arial"/>
                <w:sz w:val="22"/>
                <w:szCs w:val="22"/>
              </w:rPr>
            </w:pPr>
          </w:p>
        </w:tc>
        <w:tc>
          <w:tcPr>
            <w:tcW w:w="5670" w:type="dxa"/>
            <w:gridSpan w:val="2"/>
            <w:shd w:val="clear" w:color="auto" w:fill="auto"/>
          </w:tcPr>
          <w:p w14:paraId="0982AFDA">
            <w:pPr>
              <w:rPr>
                <w:rFonts w:hint="default" w:cs="Arial"/>
                <w:sz w:val="22"/>
                <w:szCs w:val="22"/>
                <w:lang w:val="en-US" w:eastAsia="zh-CN"/>
              </w:rPr>
            </w:pPr>
            <w:r>
              <w:rPr>
                <w:rFonts w:hint="eastAsia" w:cs="Arial"/>
                <w:sz w:val="22"/>
                <w:szCs w:val="22"/>
                <w:lang w:val="en-US" w:eastAsia="zh-CN"/>
              </w:rPr>
              <w:t>Weicheng</w:t>
            </w:r>
          </w:p>
        </w:tc>
      </w:tr>
      <w:tr w14:paraId="3BE87A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shd w:val="clear" w:color="auto" w:fill="F1F1F1" w:themeFill="background1" w:themeFillShade="F2"/>
          </w:tcPr>
          <w:p w14:paraId="38813AE2">
            <w:pPr>
              <w:rPr>
                <w:rFonts w:cs="Arial"/>
                <w:sz w:val="22"/>
                <w:szCs w:val="22"/>
              </w:rPr>
            </w:pPr>
            <w:r>
              <w:rPr>
                <w:rFonts w:cs="Arial"/>
                <w:sz w:val="22"/>
                <w:szCs w:val="22"/>
              </w:rPr>
              <w:t>Student Number</w:t>
            </w:r>
          </w:p>
          <w:p w14:paraId="50BCCB4A">
            <w:pPr>
              <w:tabs>
                <w:tab w:val="center" w:pos="2202"/>
              </w:tabs>
              <w:rPr>
                <w:rFonts w:cs="Arial"/>
                <w:sz w:val="22"/>
                <w:szCs w:val="22"/>
              </w:rPr>
            </w:pPr>
          </w:p>
        </w:tc>
        <w:tc>
          <w:tcPr>
            <w:tcW w:w="5670" w:type="dxa"/>
            <w:gridSpan w:val="2"/>
            <w:shd w:val="clear" w:color="auto" w:fill="auto"/>
          </w:tcPr>
          <w:p w14:paraId="75CFB1E4">
            <w:pPr>
              <w:rPr>
                <w:rFonts w:hint="default" w:eastAsia="宋体" w:cs="Arial"/>
                <w:sz w:val="22"/>
                <w:szCs w:val="22"/>
                <w:lang w:val="en-US" w:eastAsia="zh-CN"/>
              </w:rPr>
            </w:pPr>
            <w:r>
              <w:rPr>
                <w:rFonts w:hint="eastAsia" w:eastAsia="宋体" w:cs="Arial"/>
                <w:sz w:val="22"/>
                <w:szCs w:val="22"/>
                <w:lang w:val="en-US" w:eastAsia="zh-CN"/>
              </w:rPr>
              <w:t>2318943</w:t>
            </w:r>
          </w:p>
        </w:tc>
      </w:tr>
      <w:tr w14:paraId="38B503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111" w:type="dxa"/>
            <w:gridSpan w:val="2"/>
            <w:shd w:val="clear" w:color="auto" w:fill="F1F1F1" w:themeFill="background1" w:themeFillShade="F2"/>
          </w:tcPr>
          <w:p w14:paraId="60A21908">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shd w:val="clear" w:color="auto" w:fill="auto"/>
          </w:tcPr>
          <w:p w14:paraId="20FE3057">
            <w:r>
              <w:rPr>
                <w:lang w:val="en-US" w:eastAsia="zh-CN"/>
              </w:rPr>
              <w:t>Wales</w:t>
            </w:r>
            <w:r>
              <w:rPr>
                <w:rFonts w:hint="eastAsia"/>
                <w:lang w:val="en-US" w:eastAsia="zh-CN"/>
              </w:rPr>
              <w:t xml:space="preserve"> </w:t>
            </w:r>
            <w:r>
              <w:rPr>
                <w:lang w:val="en-US" w:eastAsia="zh-CN"/>
              </w:rPr>
              <w:t xml:space="preserve">Institute of </w:t>
            </w:r>
            <w:r>
              <w:rPr>
                <w:rFonts w:hint="default"/>
                <w:lang w:val="en-US" w:eastAsia="zh-CN"/>
              </w:rPr>
              <w:t>Science and Art</w:t>
            </w:r>
          </w:p>
          <w:p w14:paraId="45A727F7">
            <w:pPr>
              <w:rPr>
                <w:rFonts w:cs="Arial"/>
                <w:sz w:val="22"/>
                <w:szCs w:val="22"/>
                <w:lang w:eastAsia="zh-Hans"/>
              </w:rPr>
            </w:pPr>
          </w:p>
        </w:tc>
      </w:tr>
      <w:tr w14:paraId="61E088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111" w:type="dxa"/>
            <w:gridSpan w:val="2"/>
            <w:shd w:val="clear" w:color="auto" w:fill="F1F1F1" w:themeFill="background1" w:themeFillShade="F2"/>
          </w:tcPr>
          <w:p w14:paraId="134D63C4">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shd w:val="clear" w:color="auto" w:fill="auto"/>
          </w:tcPr>
          <w:p w14:paraId="1AF91D2A">
            <w:pPr>
              <w:rPr>
                <w:rFonts w:cs="Arial"/>
                <w:sz w:val="22"/>
                <w:szCs w:val="22"/>
              </w:rPr>
            </w:pPr>
          </w:p>
        </w:tc>
      </w:tr>
      <w:tr w14:paraId="567B82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5" w:type="dxa"/>
            <w:shd w:val="clear" w:color="auto" w:fill="F1F1F1" w:themeFill="background1" w:themeFillShade="F2"/>
          </w:tcPr>
          <w:p w14:paraId="7DD8280F">
            <w:pPr>
              <w:rPr>
                <w:rFonts w:cs="Arial"/>
                <w:sz w:val="22"/>
                <w:szCs w:val="22"/>
              </w:rPr>
            </w:pPr>
            <w:r>
              <w:rPr>
                <w:rFonts w:cs="Arial"/>
                <w:sz w:val="22"/>
                <w:szCs w:val="22"/>
              </w:rPr>
              <w:t>Start Date</w:t>
            </w:r>
          </w:p>
        </w:tc>
        <w:tc>
          <w:tcPr>
            <w:tcW w:w="2056" w:type="dxa"/>
            <w:shd w:val="clear" w:color="auto" w:fill="FFFFFF" w:themeFill="background1"/>
          </w:tcPr>
          <w:p w14:paraId="6885D0B7">
            <w:pPr>
              <w:rPr>
                <w:rFonts w:hint="default" w:eastAsia="宋体" w:cs="Arial"/>
                <w:sz w:val="22"/>
                <w:szCs w:val="22"/>
                <w:lang w:val="en-US" w:eastAsia="zh-CN"/>
              </w:rPr>
            </w:pPr>
            <w:r>
              <w:rPr>
                <w:rFonts w:hint="eastAsia" w:eastAsia="宋体" w:cs="Arial"/>
                <w:sz w:val="22"/>
                <w:szCs w:val="22"/>
                <w:lang w:val="en-US" w:eastAsia="zh-CN"/>
              </w:rPr>
              <w:t>01/ 10/ 2024</w:t>
            </w:r>
          </w:p>
        </w:tc>
        <w:tc>
          <w:tcPr>
            <w:tcW w:w="2835" w:type="dxa"/>
            <w:shd w:val="clear" w:color="auto" w:fill="F1F1F1" w:themeFill="background1" w:themeFillShade="F2"/>
          </w:tcPr>
          <w:p w14:paraId="70A4F3B0">
            <w:pPr>
              <w:rPr>
                <w:rFonts w:cs="Arial"/>
                <w:sz w:val="22"/>
                <w:szCs w:val="22"/>
              </w:rPr>
            </w:pPr>
          </w:p>
        </w:tc>
        <w:tc>
          <w:tcPr>
            <w:tcW w:w="2835" w:type="dxa"/>
            <w:shd w:val="clear" w:color="auto" w:fill="auto"/>
          </w:tcPr>
          <w:p w14:paraId="0325A6C5">
            <w:pPr>
              <w:rPr>
                <w:rFonts w:hint="default" w:eastAsia="宋体" w:cs="Arial"/>
                <w:sz w:val="22"/>
                <w:szCs w:val="22"/>
                <w:lang w:val="en-US" w:eastAsia="zh-CN"/>
              </w:rPr>
            </w:pPr>
            <w:r>
              <w:rPr>
                <w:rFonts w:hint="eastAsia" w:eastAsia="宋体" w:cs="Arial"/>
                <w:sz w:val="22"/>
                <w:szCs w:val="22"/>
                <w:lang w:val="en-US" w:eastAsia="zh-CN"/>
              </w:rPr>
              <w:t>30/ 09/ 2027</w:t>
            </w:r>
          </w:p>
        </w:tc>
      </w:tr>
      <w:tr w14:paraId="251E08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shd w:val="clear" w:color="auto" w:fill="F1F1F1" w:themeFill="background1" w:themeFillShade="F2"/>
          </w:tcPr>
          <w:p w14:paraId="5B464AB0">
            <w:pPr>
              <w:rPr>
                <w:rFonts w:cs="Arial"/>
                <w:sz w:val="22"/>
                <w:szCs w:val="22"/>
              </w:rPr>
            </w:pPr>
            <w:r>
              <w:rPr>
                <w:rFonts w:cs="Arial"/>
                <w:sz w:val="22"/>
                <w:szCs w:val="22"/>
              </w:rPr>
              <w:t>Mode of Study</w:t>
            </w:r>
          </w:p>
          <w:p w14:paraId="32AC254B">
            <w:pPr>
              <w:rPr>
                <w:rFonts w:cs="Arial"/>
                <w:sz w:val="22"/>
                <w:szCs w:val="22"/>
              </w:rPr>
            </w:pPr>
          </w:p>
        </w:tc>
        <w:tc>
          <w:tcPr>
            <w:tcW w:w="2835" w:type="dxa"/>
            <w:shd w:val="clear" w:color="auto" w:fill="auto"/>
          </w:tcPr>
          <w:p w14:paraId="111F828B">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c>
          <w:tcPr>
            <w:tcW w:w="2835" w:type="dxa"/>
            <w:shd w:val="clear" w:color="auto" w:fill="auto"/>
          </w:tcPr>
          <w:p w14:paraId="00DFCF3D">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lang w:val="en-GB" w:eastAsia="en-GB" w:bidi="ar-SA"/>
                  </w:rPr>
                  <w:t>☒</w:t>
                </w:r>
              </w:sdtContent>
            </w:sdt>
          </w:p>
        </w:tc>
      </w:tr>
    </w:tbl>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14:paraId="52116E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shd w:val="clear" w:color="auto" w:fill="F1F1F1" w:themeFill="background1" w:themeFillShade="F2"/>
          </w:tcPr>
          <w:p w14:paraId="0C2EE508">
            <w:pPr>
              <w:rPr>
                <w:rFonts w:cs="Arial"/>
                <w:sz w:val="22"/>
                <w:szCs w:val="22"/>
              </w:rPr>
            </w:pPr>
            <w:r>
              <w:rPr>
                <w:rFonts w:cs="Arial"/>
                <w:sz w:val="22"/>
                <w:szCs w:val="22"/>
              </w:rPr>
              <w:t>PhD</w:t>
            </w:r>
          </w:p>
          <w:p w14:paraId="7E150CDA">
            <w:pPr>
              <w:rPr>
                <w:rFonts w:cs="Arial"/>
                <w:sz w:val="22"/>
                <w:szCs w:val="22"/>
              </w:rPr>
            </w:pPr>
            <w:r>
              <w:rPr>
                <w:rFonts w:cs="Arial"/>
                <w:sz w:val="22"/>
                <w:szCs w:val="22"/>
              </w:rPr>
              <w:t>by Research</w:t>
            </w:r>
          </w:p>
        </w:tc>
        <w:tc>
          <w:tcPr>
            <w:tcW w:w="1660" w:type="dxa"/>
            <w:shd w:val="clear" w:color="auto" w:fill="F1F1F1" w:themeFill="background1" w:themeFillShade="F2"/>
          </w:tcPr>
          <w:p w14:paraId="089AFE73">
            <w:pPr>
              <w:rPr>
                <w:rFonts w:cs="Arial"/>
                <w:sz w:val="22"/>
                <w:szCs w:val="22"/>
              </w:rPr>
            </w:pPr>
            <w:r>
              <w:rPr>
                <w:rFonts w:cs="Arial"/>
                <w:sz w:val="22"/>
                <w:szCs w:val="22"/>
              </w:rPr>
              <w:t xml:space="preserve">PhD </w:t>
            </w:r>
          </w:p>
          <w:p w14:paraId="3D202538">
            <w:pPr>
              <w:rPr>
                <w:rFonts w:cs="Arial"/>
                <w:sz w:val="22"/>
                <w:szCs w:val="22"/>
              </w:rPr>
            </w:pPr>
            <w:r>
              <w:rPr>
                <w:rFonts w:cs="Arial"/>
                <w:sz w:val="22"/>
                <w:szCs w:val="22"/>
              </w:rPr>
              <w:t>Practice Based</w:t>
            </w:r>
          </w:p>
        </w:tc>
        <w:tc>
          <w:tcPr>
            <w:tcW w:w="1648" w:type="dxa"/>
            <w:shd w:val="clear" w:color="auto" w:fill="F1F1F1" w:themeFill="background1" w:themeFillShade="F2"/>
          </w:tcPr>
          <w:p w14:paraId="1540ABF7">
            <w:pPr>
              <w:rPr>
                <w:rFonts w:cs="Arial"/>
                <w:sz w:val="22"/>
                <w:szCs w:val="22"/>
              </w:rPr>
            </w:pPr>
            <w:r>
              <w:rPr>
                <w:rFonts w:cs="Arial"/>
                <w:sz w:val="22"/>
                <w:szCs w:val="22"/>
              </w:rPr>
              <w:t xml:space="preserve">PhD by </w:t>
            </w:r>
          </w:p>
          <w:p w14:paraId="6D11D54E">
            <w:pPr>
              <w:rPr>
                <w:rFonts w:cs="Arial"/>
                <w:sz w:val="22"/>
                <w:szCs w:val="22"/>
              </w:rPr>
            </w:pPr>
            <w:r>
              <w:rPr>
                <w:rFonts w:cs="Arial"/>
                <w:sz w:val="22"/>
                <w:szCs w:val="22"/>
              </w:rPr>
              <w:t>Published Works</w:t>
            </w:r>
          </w:p>
        </w:tc>
        <w:tc>
          <w:tcPr>
            <w:tcW w:w="1662" w:type="dxa"/>
            <w:shd w:val="clear" w:color="auto" w:fill="F1F1F1" w:themeFill="background1" w:themeFillShade="F2"/>
          </w:tcPr>
          <w:p w14:paraId="6031027A">
            <w:pPr>
              <w:rPr>
                <w:rFonts w:cs="Arial"/>
                <w:sz w:val="22"/>
                <w:szCs w:val="22"/>
              </w:rPr>
            </w:pPr>
            <w:r>
              <w:rPr>
                <w:rFonts w:cs="Arial"/>
                <w:sz w:val="22"/>
                <w:szCs w:val="22"/>
              </w:rPr>
              <w:t>Professional Doctorate</w:t>
            </w:r>
          </w:p>
          <w:p w14:paraId="5338E6CC">
            <w:pPr>
              <w:rPr>
                <w:rFonts w:cs="Arial"/>
                <w:sz w:val="22"/>
                <w:szCs w:val="22"/>
              </w:rPr>
            </w:pPr>
            <w:r>
              <w:rPr>
                <w:rFonts w:cs="Arial"/>
                <w:szCs w:val="22"/>
              </w:rPr>
              <w:t>(including DBA, DProf, Ed D)</w:t>
            </w:r>
          </w:p>
        </w:tc>
        <w:tc>
          <w:tcPr>
            <w:tcW w:w="1629" w:type="dxa"/>
            <w:shd w:val="clear" w:color="auto" w:fill="F1F1F1" w:themeFill="background1" w:themeFillShade="F2"/>
          </w:tcPr>
          <w:p w14:paraId="48FB1034">
            <w:pPr>
              <w:rPr>
                <w:rFonts w:cs="Arial"/>
                <w:sz w:val="22"/>
                <w:szCs w:val="22"/>
              </w:rPr>
            </w:pPr>
            <w:r>
              <w:rPr>
                <w:rFonts w:cs="Arial"/>
                <w:sz w:val="22"/>
                <w:szCs w:val="22"/>
              </w:rPr>
              <w:t>MPhil by Research</w:t>
            </w:r>
          </w:p>
          <w:p w14:paraId="62A96A8A">
            <w:pPr>
              <w:rPr>
                <w:rFonts w:cs="Arial"/>
                <w:sz w:val="22"/>
                <w:szCs w:val="22"/>
              </w:rPr>
            </w:pPr>
          </w:p>
        </w:tc>
        <w:tc>
          <w:tcPr>
            <w:tcW w:w="1525" w:type="dxa"/>
            <w:shd w:val="clear" w:color="auto" w:fill="F1F1F1" w:themeFill="background1" w:themeFillShade="F2"/>
          </w:tcPr>
          <w:p w14:paraId="18690D32">
            <w:pPr>
              <w:rPr>
                <w:rFonts w:cs="Arial"/>
                <w:sz w:val="22"/>
                <w:szCs w:val="22"/>
              </w:rPr>
            </w:pPr>
            <w:r>
              <w:rPr>
                <w:rFonts w:cs="Arial"/>
                <w:sz w:val="22"/>
                <w:szCs w:val="22"/>
              </w:rPr>
              <w:t>MPhil</w:t>
            </w:r>
          </w:p>
          <w:p w14:paraId="112C0192">
            <w:pPr>
              <w:rPr>
                <w:rFonts w:cs="Arial"/>
                <w:sz w:val="22"/>
                <w:szCs w:val="22"/>
              </w:rPr>
            </w:pPr>
            <w:r>
              <w:rPr>
                <w:rFonts w:cs="Arial"/>
                <w:sz w:val="22"/>
                <w:szCs w:val="22"/>
              </w:rPr>
              <w:t xml:space="preserve">Practice Based </w:t>
            </w:r>
          </w:p>
          <w:p w14:paraId="6044FFAD">
            <w:pPr>
              <w:rPr>
                <w:rFonts w:cs="Arial"/>
                <w:sz w:val="22"/>
                <w:szCs w:val="22"/>
              </w:rPr>
            </w:pPr>
          </w:p>
        </w:tc>
      </w:tr>
      <w:tr w14:paraId="7302D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tcPr>
          <w:sdt>
            <w:sdtPr>
              <w:rPr>
                <w:rFonts w:cs="Arial"/>
                <w:sz w:val="22"/>
                <w:szCs w:val="22"/>
              </w:rPr>
              <w:id w:val="746380728"/>
              <w14:checkbox>
                <w14:checked w14:val="0"/>
                <w14:checkedState w14:val="2612" w14:font="MS Gothic"/>
                <w14:uncheckedState w14:val="2610" w14:font="MS Gothic"/>
              </w14:checkbox>
            </w:sdtPr>
            <w:sdtEndPr>
              <w:rPr>
                <w:rFonts w:cs="Arial"/>
                <w:sz w:val="22"/>
                <w:szCs w:val="22"/>
              </w:rPr>
            </w:sdtEndPr>
            <w:sdtContent>
              <w:p w14:paraId="01BCCEDB">
                <w:pPr>
                  <w:jc w:val="center"/>
                  <w:rPr>
                    <w:rFonts w:cs="Arial"/>
                    <w:sz w:val="22"/>
                    <w:szCs w:val="22"/>
                  </w:rPr>
                </w:pPr>
                <w:r>
                  <w:rPr>
                    <w:rFonts w:ascii="MS Gothic" w:hAnsi="MS Gothic" w:eastAsia="MS Gothic" w:cs="Arial"/>
                    <w:sz w:val="22"/>
                    <w:szCs w:val="22"/>
                  </w:rPr>
                  <w:t>☐</w:t>
                </w:r>
              </w:p>
            </w:sdtContent>
          </w:sdt>
          <w:p w14:paraId="43584980">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EndPr>
            <w:rPr>
              <w:rFonts w:cs="Arial"/>
              <w:sz w:val="22"/>
              <w:szCs w:val="22"/>
            </w:rPr>
          </w:sdtEndPr>
          <w:sdtContent>
            <w:tc>
              <w:tcPr>
                <w:tcW w:w="1660" w:type="dxa"/>
              </w:tcPr>
              <w:p w14:paraId="2D089835">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14:paraId="3DC3F887">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EndPr>
            <w:rPr>
              <w:rFonts w:cs="Arial"/>
              <w:sz w:val="22"/>
              <w:szCs w:val="22"/>
            </w:rPr>
          </w:sdtEndPr>
          <w:sdtContent>
            <w:tc>
              <w:tcPr>
                <w:tcW w:w="1662" w:type="dxa"/>
              </w:tcPr>
              <w:p w14:paraId="222233A1">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14:paraId="15236023">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14:paraId="092BDE7C">
                <w:pPr>
                  <w:jc w:val="center"/>
                  <w:rPr>
                    <w:rFonts w:cs="Arial"/>
                    <w:sz w:val="22"/>
                    <w:szCs w:val="22"/>
                  </w:rPr>
                </w:pPr>
                <w:r>
                  <w:rPr>
                    <w:rFonts w:ascii="MS Gothic" w:hAnsi="MS Gothic" w:eastAsia="MS Gothic" w:cs="Arial"/>
                    <w:sz w:val="22"/>
                    <w:szCs w:val="22"/>
                  </w:rPr>
                  <w:t>☐</w:t>
                </w:r>
              </w:p>
            </w:tc>
          </w:sdtContent>
        </w:sdt>
      </w:tr>
      <w:tr w14:paraId="002C30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shd w:val="clear" w:color="auto" w:fill="D8D8D8" w:themeFill="background1" w:themeFillShade="D9"/>
          </w:tcPr>
          <w:p w14:paraId="5015986A">
            <w:pPr>
              <w:jc w:val="center"/>
              <w:rPr>
                <w:rFonts w:cs="Arial"/>
                <w:sz w:val="22"/>
                <w:szCs w:val="22"/>
              </w:rPr>
            </w:pPr>
            <w:r>
              <w:rPr>
                <w:rFonts w:cs="Arial"/>
                <w:sz w:val="22"/>
                <w:szCs w:val="22"/>
              </w:rPr>
              <w:t>MA by Research</w:t>
            </w:r>
          </w:p>
        </w:tc>
        <w:tc>
          <w:tcPr>
            <w:tcW w:w="1660" w:type="dxa"/>
            <w:shd w:val="clear" w:color="auto" w:fill="D8D8D8" w:themeFill="background1" w:themeFillShade="D9"/>
          </w:tcPr>
          <w:p w14:paraId="6784FFE2">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14:paraId="74597816">
            <w:pPr>
              <w:jc w:val="center"/>
              <w:rPr>
                <w:rFonts w:cs="Arial"/>
                <w:sz w:val="22"/>
                <w:szCs w:val="22"/>
              </w:rPr>
            </w:pPr>
            <w:r>
              <w:rPr>
                <w:rFonts w:cs="Arial"/>
                <w:sz w:val="22"/>
                <w:szCs w:val="22"/>
              </w:rPr>
              <w:t>MRes</w:t>
            </w:r>
          </w:p>
        </w:tc>
        <w:tc>
          <w:tcPr>
            <w:tcW w:w="1662" w:type="dxa"/>
            <w:shd w:val="clear" w:color="auto" w:fill="D8D8D8" w:themeFill="background1" w:themeFillShade="D9"/>
          </w:tcPr>
          <w:p w14:paraId="2760CEEB">
            <w:pPr>
              <w:jc w:val="center"/>
              <w:rPr>
                <w:rFonts w:cs="Arial"/>
                <w:sz w:val="22"/>
                <w:szCs w:val="22"/>
              </w:rPr>
            </w:pPr>
          </w:p>
        </w:tc>
        <w:tc>
          <w:tcPr>
            <w:tcW w:w="1629" w:type="dxa"/>
            <w:shd w:val="clear" w:color="auto" w:fill="D8D8D8" w:themeFill="background1" w:themeFillShade="D9"/>
          </w:tcPr>
          <w:p w14:paraId="47EEC8A4">
            <w:pPr>
              <w:jc w:val="center"/>
              <w:rPr>
                <w:rFonts w:cs="Arial"/>
                <w:sz w:val="22"/>
                <w:szCs w:val="22"/>
              </w:rPr>
            </w:pPr>
          </w:p>
        </w:tc>
        <w:tc>
          <w:tcPr>
            <w:tcW w:w="1525" w:type="dxa"/>
            <w:shd w:val="clear" w:color="auto" w:fill="D8D8D8" w:themeFill="background1" w:themeFillShade="D9"/>
          </w:tcPr>
          <w:p w14:paraId="2E94090E">
            <w:pPr>
              <w:jc w:val="center"/>
              <w:rPr>
                <w:rFonts w:cs="Arial"/>
                <w:sz w:val="22"/>
                <w:szCs w:val="22"/>
              </w:rPr>
            </w:pPr>
          </w:p>
        </w:tc>
      </w:tr>
      <w:tr w14:paraId="6E7B34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tcPr>
          <w:sdt>
            <w:sdtPr>
              <w:rPr>
                <w:rFonts w:cs="Arial"/>
                <w:sz w:val="22"/>
                <w:szCs w:val="22"/>
              </w:rPr>
              <w:id w:val="1366476584"/>
              <w14:checkbox>
                <w14:checked w14:val="0"/>
                <w14:checkedState w14:val="2612" w14:font="MS Gothic"/>
                <w14:uncheckedState w14:val="2610" w14:font="MS Gothic"/>
              </w14:checkbox>
            </w:sdtPr>
            <w:sdtEndPr>
              <w:rPr>
                <w:rFonts w:cs="Arial"/>
                <w:sz w:val="22"/>
                <w:szCs w:val="22"/>
              </w:rPr>
            </w:sdtEndPr>
            <w:sdtContent>
              <w:p w14:paraId="3A5C1CED">
                <w:pPr>
                  <w:jc w:val="center"/>
                  <w:rPr>
                    <w:rFonts w:cs="Arial"/>
                    <w:sz w:val="22"/>
                    <w:szCs w:val="22"/>
                  </w:rPr>
                </w:pPr>
                <w:r>
                  <w:rPr>
                    <w:rFonts w:ascii="MS Gothic" w:hAnsi="MS Gothic" w:eastAsia="MS Gothic" w:cs="Arial"/>
                    <w:sz w:val="22"/>
                    <w:szCs w:val="22"/>
                  </w:rPr>
                  <w:t>☐</w:t>
                </w:r>
              </w:p>
            </w:sdtContent>
          </w:sdt>
          <w:p w14:paraId="7ACE8D3B">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14:paraId="610D168E">
                <w:pPr>
                  <w:jc w:val="center"/>
                  <w:rPr>
                    <w:rFonts w:cs="Arial"/>
                    <w:sz w:val="22"/>
                    <w:szCs w:val="22"/>
                  </w:rPr>
                </w:pPr>
                <w:r>
                  <w:rPr>
                    <w:rFonts w:ascii="MS Gothic" w:hAnsi="MS Gothic" w:eastAsia="MS Gothic" w:cs="Arial"/>
                    <w:sz w:val="22"/>
                    <w:szCs w:val="22"/>
                  </w:rPr>
                  <w:t>☐</w:t>
                </w:r>
              </w:p>
            </w:sdtContent>
          </w:sdt>
          <w:p w14:paraId="4E2724AB">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14:paraId="4EB6A137">
                <w:pPr>
                  <w:jc w:val="center"/>
                  <w:rPr>
                    <w:rFonts w:cs="Arial"/>
                    <w:sz w:val="22"/>
                    <w:szCs w:val="22"/>
                  </w:rPr>
                </w:pPr>
                <w:r>
                  <w:rPr>
                    <w:rFonts w:ascii="MS Gothic" w:hAnsi="MS Gothic" w:eastAsia="MS Gothic" w:cs="Arial"/>
                    <w:sz w:val="22"/>
                    <w:szCs w:val="22"/>
                  </w:rPr>
                  <w:t>☐</w:t>
                </w:r>
              </w:p>
            </w:sdtContent>
          </w:sdt>
          <w:p w14:paraId="4F53A6CD">
            <w:pPr>
              <w:jc w:val="center"/>
              <w:rPr>
                <w:rFonts w:cs="Arial"/>
                <w:sz w:val="22"/>
                <w:szCs w:val="22"/>
              </w:rPr>
            </w:pPr>
          </w:p>
        </w:tc>
        <w:tc>
          <w:tcPr>
            <w:tcW w:w="1662" w:type="dxa"/>
          </w:tcPr>
          <w:p w14:paraId="5732EEEC">
            <w:pPr>
              <w:jc w:val="center"/>
              <w:rPr>
                <w:rFonts w:cs="Arial"/>
                <w:sz w:val="22"/>
                <w:szCs w:val="22"/>
              </w:rPr>
            </w:pPr>
          </w:p>
        </w:tc>
        <w:tc>
          <w:tcPr>
            <w:tcW w:w="1629" w:type="dxa"/>
          </w:tcPr>
          <w:p w14:paraId="5804B584">
            <w:pPr>
              <w:jc w:val="center"/>
              <w:rPr>
                <w:rFonts w:cs="Arial"/>
                <w:sz w:val="22"/>
                <w:szCs w:val="22"/>
              </w:rPr>
            </w:pPr>
          </w:p>
        </w:tc>
        <w:tc>
          <w:tcPr>
            <w:tcW w:w="1525" w:type="dxa"/>
          </w:tcPr>
          <w:p w14:paraId="47B4645E">
            <w:pPr>
              <w:jc w:val="center"/>
              <w:rPr>
                <w:rFonts w:cs="Arial"/>
                <w:sz w:val="22"/>
                <w:szCs w:val="22"/>
              </w:rPr>
            </w:pPr>
          </w:p>
        </w:tc>
      </w:tr>
    </w:tbl>
    <w:p w14:paraId="07A1ACF8">
      <w:pPr>
        <w:ind w:left="180" w:hanging="270"/>
        <w:rPr>
          <w:rFonts w:cs="Arial"/>
          <w:b/>
          <w:sz w:val="22"/>
          <w:szCs w:val="22"/>
        </w:rPr>
      </w:pPr>
    </w:p>
    <w:p w14:paraId="607555D2">
      <w:pPr>
        <w:rPr>
          <w:rFonts w:cs="Arial"/>
          <w:sz w:val="22"/>
          <w:szCs w:val="22"/>
        </w:rPr>
      </w:pPr>
    </w:p>
    <w:p w14:paraId="106A4E2E">
      <w:pPr>
        <w:ind w:left="-142"/>
        <w:rPr>
          <w:rFonts w:cs="Arial"/>
          <w:bCs/>
          <w:sz w:val="22"/>
          <w:szCs w:val="22"/>
        </w:rPr>
      </w:pPr>
      <w:r>
        <w:rPr>
          <w:rFonts w:cs="Arial"/>
          <w:b/>
          <w:bCs/>
          <w:sz w:val="22"/>
          <w:szCs w:val="22"/>
        </w:rPr>
        <w:t>Proposed Research</w:t>
      </w:r>
    </w:p>
    <w:p w14:paraId="5945FBF9">
      <w:pPr>
        <w:rPr>
          <w:rFonts w:cs="Arial"/>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81"/>
      </w:tblGrid>
      <w:tr w14:paraId="77021C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6CE06150">
            <w:pPr>
              <w:rPr>
                <w:rFonts w:cs="Arial"/>
                <w:sz w:val="22"/>
                <w:szCs w:val="22"/>
              </w:rPr>
            </w:pPr>
            <w:r>
              <w:rPr>
                <w:rFonts w:cs="Arial"/>
                <w:sz w:val="22"/>
                <w:szCs w:val="22"/>
              </w:rPr>
              <w:t>Current Proposed Title (20 / 30 words):</w:t>
            </w:r>
          </w:p>
        </w:tc>
      </w:tr>
      <w:tr w14:paraId="46DEB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7CC9201E">
            <w:pPr>
              <w:jc w:val="left"/>
              <w:rPr>
                <w:rFonts w:cs="Arial"/>
                <w:sz w:val="22"/>
                <w:szCs w:val="22"/>
              </w:rPr>
            </w:pPr>
            <w:bookmarkStart w:id="0" w:name="_GoBack"/>
            <w:r>
              <w:rPr>
                <w:rFonts w:hint="default" w:ascii="Arial" w:hAnsi="Arial" w:eastAsia="宋体" w:cs="Arial"/>
                <w:b w:val="0"/>
                <w:bCs w:val="0"/>
                <w:sz w:val="22"/>
                <w:szCs w:val="22"/>
              </w:rPr>
              <w:t xml:space="preserve">Metal </w:t>
            </w:r>
            <w:r>
              <w:rPr>
                <w:rFonts w:hint="default" w:ascii="Arial" w:hAnsi="Arial" w:eastAsia="宋体" w:cs="Arial"/>
                <w:b w:val="0"/>
                <w:bCs w:val="0"/>
                <w:sz w:val="22"/>
                <w:szCs w:val="22"/>
                <w:lang w:val="en-US" w:eastAsia="zh-CN"/>
              </w:rPr>
              <w:t xml:space="preserve">Music </w:t>
            </w:r>
            <w:r>
              <w:rPr>
                <w:rFonts w:hint="default" w:ascii="Arial" w:hAnsi="Arial" w:eastAsia="宋体" w:cs="Arial"/>
                <w:b w:val="0"/>
                <w:bCs w:val="0"/>
                <w:sz w:val="22"/>
                <w:szCs w:val="22"/>
              </w:rPr>
              <w:t>as an Auditory Intervention of Marginal Culture in Artistic Practice: Exploring Inspiration, Imagination and Expressive Transformations among Young Chinese Painters</w:t>
            </w:r>
            <w:bookmarkEnd w:id="0"/>
          </w:p>
        </w:tc>
      </w:tr>
      <w:tr w14:paraId="047A55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6A6E17FC">
            <w:pPr>
              <w:rPr>
                <w:rFonts w:cs="Arial"/>
                <w:sz w:val="22"/>
                <w:szCs w:val="22"/>
              </w:rPr>
            </w:pPr>
            <w:r>
              <w:rPr>
                <w:rFonts w:cs="Arial"/>
                <w:sz w:val="22"/>
                <w:szCs w:val="22"/>
              </w:rPr>
              <w:t xml:space="preserve"> </w:t>
            </w:r>
          </w:p>
          <w:p w14:paraId="1C9B2173">
            <w:pPr>
              <w:rPr>
                <w:rFonts w:cs="Arial"/>
                <w:sz w:val="22"/>
                <w:szCs w:val="22"/>
              </w:rPr>
            </w:pPr>
            <w:r>
              <w:rPr>
                <w:rFonts w:cs="Arial"/>
                <w:sz w:val="22"/>
                <w:szCs w:val="22"/>
              </w:rPr>
              <w:t>Background &amp; Context (approx. 500 words)</w:t>
            </w:r>
          </w:p>
          <w:p w14:paraId="065EF8C5">
            <w:pPr>
              <w:rPr>
                <w:rFonts w:cs="Arial"/>
                <w:sz w:val="22"/>
                <w:szCs w:val="22"/>
              </w:rPr>
            </w:pPr>
          </w:p>
        </w:tc>
      </w:tr>
      <w:tr w14:paraId="3F5B44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64361CA6">
            <w:pPr>
              <w:rPr>
                <w:rFonts w:cs="Arial"/>
                <w:sz w:val="22"/>
                <w:szCs w:val="22"/>
              </w:rPr>
            </w:pPr>
            <w:r>
              <w:rPr>
                <w:rFonts w:cs="Arial"/>
                <w:sz w:val="22"/>
                <w:szCs w:val="22"/>
              </w:rPr>
              <w:t>In this section you will need to:</w:t>
            </w:r>
          </w:p>
          <w:p w14:paraId="0AF5F2BC">
            <w:pPr>
              <w:pStyle w:val="27"/>
              <w:numPr>
                <w:ilvl w:val="0"/>
                <w:numId w:val="1"/>
              </w:numPr>
              <w:autoSpaceDE w:val="0"/>
              <w:autoSpaceDN w:val="0"/>
              <w:adjustRightInd w:val="0"/>
              <w:contextualSpacing/>
              <w:rPr>
                <w:rFonts w:cs="Arial"/>
                <w:sz w:val="22"/>
                <w:szCs w:val="22"/>
              </w:rPr>
            </w:pPr>
            <w:r>
              <w:rPr>
                <w:rFonts w:cs="Arial"/>
                <w:sz w:val="22"/>
                <w:szCs w:val="22"/>
              </w:rPr>
              <w:t>Place the research topic in its historical, cultural and social context.</w:t>
            </w:r>
          </w:p>
          <w:p w14:paraId="186DD564">
            <w:pPr>
              <w:pStyle w:val="27"/>
              <w:numPr>
                <w:ilvl w:val="0"/>
                <w:numId w:val="1"/>
              </w:numPr>
              <w:autoSpaceDE w:val="0"/>
              <w:autoSpaceDN w:val="0"/>
              <w:adjustRightInd w:val="0"/>
              <w:contextualSpacing/>
              <w:rPr>
                <w:rFonts w:cs="Arial"/>
                <w:sz w:val="22"/>
                <w:szCs w:val="22"/>
              </w:rPr>
            </w:pPr>
            <w:r>
              <w:rPr>
                <w:rFonts w:cs="Arial"/>
                <w:sz w:val="22"/>
                <w:szCs w:val="22"/>
              </w:rPr>
              <w:t>Explain why the research is significant and important.</w:t>
            </w:r>
          </w:p>
          <w:p w14:paraId="6B58E3C7">
            <w:pPr>
              <w:pStyle w:val="27"/>
              <w:numPr>
                <w:ilvl w:val="0"/>
                <w:numId w:val="1"/>
              </w:numPr>
              <w:autoSpaceDE w:val="0"/>
              <w:autoSpaceDN w:val="0"/>
              <w:adjustRightInd w:val="0"/>
              <w:contextualSpacing/>
              <w:rPr>
                <w:rFonts w:cs="Arial"/>
                <w:sz w:val="22"/>
                <w:szCs w:val="22"/>
              </w:rPr>
            </w:pPr>
            <w:r>
              <w:rPr>
                <w:rFonts w:cs="Arial"/>
                <w:sz w:val="22"/>
                <w:szCs w:val="22"/>
              </w:rPr>
              <w:t>Place the research in the current academic context.</w:t>
            </w:r>
          </w:p>
          <w:p w14:paraId="424D83B9">
            <w:pPr>
              <w:pStyle w:val="27"/>
              <w:numPr>
                <w:ilvl w:val="0"/>
                <w:numId w:val="2"/>
              </w:numPr>
              <w:autoSpaceDE w:val="0"/>
              <w:autoSpaceDN w:val="0"/>
              <w:adjustRightInd w:val="0"/>
              <w:contextualSpacing/>
              <w:rPr>
                <w:rFonts w:cs="Arial"/>
                <w:sz w:val="22"/>
                <w:szCs w:val="22"/>
                <w:lang w:eastAsia="zh-CN"/>
              </w:rPr>
            </w:pPr>
            <w:r>
              <w:rPr>
                <w:rFonts w:hint="eastAsia" w:ascii="微软雅黑" w:hAnsi="微软雅黑" w:eastAsia="微软雅黑" w:cs="微软雅黑"/>
                <w:sz w:val="22"/>
                <w:szCs w:val="22"/>
                <w:lang w:eastAsia="zh-CN"/>
              </w:rPr>
              <w:t>将研究主题置于其历史、文化和社会背景中。</w:t>
            </w:r>
          </w:p>
          <w:p w14:paraId="32C3343D">
            <w:pPr>
              <w:pStyle w:val="27"/>
              <w:numPr>
                <w:ilvl w:val="0"/>
                <w:numId w:val="2"/>
              </w:numPr>
              <w:autoSpaceDE w:val="0"/>
              <w:autoSpaceDN w:val="0"/>
              <w:adjustRightInd w:val="0"/>
              <w:contextualSpacing/>
              <w:rPr>
                <w:rFonts w:cs="Arial"/>
                <w:sz w:val="22"/>
                <w:szCs w:val="22"/>
                <w:lang w:eastAsia="zh-CN"/>
              </w:rPr>
            </w:pPr>
            <w:r>
              <w:rPr>
                <w:rFonts w:hint="eastAsia" w:ascii="微软雅黑" w:hAnsi="微软雅黑" w:eastAsia="微软雅黑" w:cs="微软雅黑"/>
                <w:sz w:val="22"/>
                <w:szCs w:val="22"/>
                <w:lang w:eastAsia="zh-CN"/>
              </w:rPr>
              <w:t>解释为什么这项研究意义重大且重要。</w:t>
            </w:r>
          </w:p>
          <w:p w14:paraId="72310052">
            <w:pPr>
              <w:pStyle w:val="27"/>
              <w:numPr>
                <w:ilvl w:val="0"/>
                <w:numId w:val="2"/>
              </w:numPr>
              <w:autoSpaceDE w:val="0"/>
              <w:autoSpaceDN w:val="0"/>
              <w:adjustRightInd w:val="0"/>
              <w:contextualSpacing/>
              <w:rPr>
                <w:rFonts w:hint="eastAsia" w:ascii="微软雅黑" w:hAnsi="微软雅黑" w:eastAsia="微软雅黑" w:cs="微软雅黑"/>
                <w:sz w:val="22"/>
                <w:szCs w:val="22"/>
                <w:lang w:eastAsia="zh-CN"/>
              </w:rPr>
            </w:pPr>
            <w:r>
              <w:rPr>
                <w:rFonts w:hint="eastAsia" w:ascii="微软雅黑" w:hAnsi="微软雅黑" w:eastAsia="微软雅黑" w:cs="微软雅黑"/>
                <w:sz w:val="22"/>
                <w:szCs w:val="22"/>
                <w:lang w:eastAsia="zh-CN"/>
              </w:rPr>
              <w:t>将研究置于当前的学术背景中。</w:t>
            </w:r>
          </w:p>
          <w:p w14:paraId="20B2669D">
            <w:pPr>
              <w:ind w:firstLine="440" w:firstLineChars="200"/>
              <w:jc w:val="both"/>
              <w:rPr>
                <w:sz w:val="22"/>
                <w:szCs w:val="22"/>
              </w:rPr>
            </w:pPr>
            <w:r>
              <w:rPr>
                <w:sz w:val="22"/>
                <w:szCs w:val="22"/>
              </w:rPr>
              <w:t>In China’s art education system, the development of young painters benefits from systematic academy training but is constrained by its emphasis on standardisation. Academy training provides solid foundations (Luo, 2025) but its focus on correctness suppresses autonomy and experimentation (Li, 2012). Cross-cultural studies show that Eastern education emphasises discipline and collective norms, while Western systems highlight individuality and creativity (Houghton, 2016; Zhao, 2009; Li, 2012). In China, technical training remains a focus but hinders efforts to establish independent artistic languages. Although art academies are becoming more open, the long-standing entrance examination system—with its focus on technique and standardisation—continues to shape graduates. Combined with market and social pressures, this legacy leaves young artists anxious about their creative direction.</w:t>
            </w:r>
          </w:p>
          <w:p w14:paraId="4E5EB9F3">
            <w:pPr>
              <w:ind w:firstLine="440" w:firstLineChars="200"/>
              <w:jc w:val="both"/>
              <w:rPr>
                <w:sz w:val="22"/>
                <w:szCs w:val="22"/>
              </w:rPr>
            </w:pPr>
          </w:p>
          <w:p w14:paraId="7C9A829E">
            <w:pPr>
              <w:ind w:firstLine="440" w:firstLineChars="200"/>
              <w:jc w:val="both"/>
              <w:rPr>
                <w:sz w:val="22"/>
                <w:szCs w:val="22"/>
              </w:rPr>
            </w:pPr>
            <w:r>
              <w:rPr>
                <w:sz w:val="22"/>
                <w:szCs w:val="22"/>
              </w:rPr>
              <w:t>Sensory interventions are therefore considered a potential way to address these constraints. Research shows that music and other stimuli can cross into the visual domain and stimulate imagery and motivation (Bowman, 2004; Herff et al., 2025; Taruffi et al., 2023). This study introduces heavy metal not for historic ties to painting but for its sonic intensity and marginality, resonating with young painters’ constrained position. Metal emerged in the late 1960s, becoming a global subculture yet remaining peripheral and associated with rebellion (Weinstein, 2000; Walser, 1993). In China, it spread after reform but remained niche (Zhao, 2023).</w:t>
            </w:r>
          </w:p>
          <w:p w14:paraId="23715C5C">
            <w:pPr>
              <w:ind w:firstLine="440" w:firstLineChars="200"/>
              <w:jc w:val="both"/>
              <w:rPr>
                <w:sz w:val="22"/>
                <w:szCs w:val="22"/>
              </w:rPr>
            </w:pPr>
          </w:p>
          <w:p w14:paraId="7C17699C">
            <w:pPr>
              <w:ind w:firstLine="440" w:firstLineChars="200"/>
              <w:jc w:val="both"/>
              <w:rPr>
                <w:sz w:val="22"/>
                <w:szCs w:val="22"/>
              </w:rPr>
            </w:pPr>
            <w:r>
              <w:rPr>
                <w:sz w:val="22"/>
                <w:szCs w:val="22"/>
              </w:rPr>
              <w:t>Theoretically, metal’s dissonance and intensity may disrupt perception and expand imagination. Dewey (1934) saw art as lived experience; Merleau-Ponty (2012) stressed embodied perception; Deleuze (1994) argued art generates difference by reorganising perception. Together, these perspectives suggest auditory interventions in visual practice can foster new creative modes.</w:t>
            </w:r>
          </w:p>
          <w:p w14:paraId="65FAAF2D">
            <w:pPr>
              <w:ind w:firstLine="440" w:firstLineChars="200"/>
              <w:jc w:val="both"/>
              <w:rPr>
                <w:sz w:val="22"/>
                <w:szCs w:val="22"/>
              </w:rPr>
            </w:pPr>
          </w:p>
          <w:p w14:paraId="6ECCA1DA">
            <w:pPr>
              <w:ind w:firstLine="440" w:firstLineChars="200"/>
              <w:jc w:val="both"/>
              <w:rPr>
                <w:sz w:val="22"/>
                <w:szCs w:val="22"/>
              </w:rPr>
            </w:pPr>
            <w:r>
              <w:rPr>
                <w:sz w:val="22"/>
                <w:szCs w:val="22"/>
              </w:rPr>
              <w:t>This study focuses on the creative processes of young Chinese painters within ten years of graduation under the intervention of heavy metal music. These early-career artists, shaped by academy training and social pressures, are ideal for exploring how auditory intervention influences imagination, inspiration, and expression.</w:t>
            </w:r>
          </w:p>
          <w:p w14:paraId="535E1C41">
            <w:pPr>
              <w:ind w:firstLine="440" w:firstLineChars="200"/>
              <w:jc w:val="both"/>
              <w:rPr>
                <w:sz w:val="22"/>
                <w:szCs w:val="22"/>
              </w:rPr>
            </w:pPr>
          </w:p>
          <w:p w14:paraId="47C31DF1">
            <w:pPr>
              <w:ind w:firstLine="440" w:firstLineChars="200"/>
              <w:jc w:val="both"/>
              <w:rPr>
                <w:sz w:val="22"/>
                <w:szCs w:val="22"/>
              </w:rPr>
            </w:pPr>
            <w:r>
              <w:rPr>
                <w:sz w:val="22"/>
                <w:szCs w:val="22"/>
              </w:rPr>
              <w:t>Research on music and creativity has produced extensive findings but has been dominated by psychology and neuroscience, largely focusing on general audiences and neglecting artists’ lived experiences and practices. Studies show music influences emotion, cognition, and divergent thinking (Daly et al., 2020; Vuust et al., 2022). Cross-modal work shows music can stimulate visual creativity (Bowman, 2004; Herff et al., 2025; Taruffi et al., 2023), and extreme metal may trigger creative thinking (Angeler et al., 2016). Gayen et al. (2021) used a mixed-methods design to study uncertain music, revealing dynamic links between sound and visual creativity. However, their focus on uncertainty did not address how artists experience culturally transgressive sounds such as heavy metal. This gap highlights the need to investigate how young Chinese painters respond in practice to metal as auditory intervention.</w:t>
            </w:r>
          </w:p>
          <w:p w14:paraId="04062B5B">
            <w:pPr>
              <w:ind w:firstLine="440" w:firstLineChars="200"/>
              <w:jc w:val="both"/>
              <w:rPr>
                <w:sz w:val="22"/>
                <w:szCs w:val="22"/>
              </w:rPr>
            </w:pPr>
          </w:p>
          <w:p w14:paraId="42D84DEE">
            <w:pPr>
              <w:ind w:firstLine="440" w:firstLineChars="200"/>
              <w:jc w:val="both"/>
              <w:rPr>
                <w:sz w:val="22"/>
                <w:szCs w:val="22"/>
              </w:rPr>
            </w:pPr>
            <w:r>
              <w:rPr>
                <w:sz w:val="22"/>
                <w:szCs w:val="22"/>
              </w:rPr>
              <w:t>Accordingly, this study centres on participants’ painting practice, analysing perceptual shifts, inspiration, and expressive transformation under musical intervention to examine challenges and potentials of subjectivity in artistic expression. The researcher’s own creative practice is incorporated as a reflexive response to participants’ experiences, generating knowledge through the interplay between participant accounts and researcher practice.</w:t>
            </w:r>
          </w:p>
          <w:p w14:paraId="6EEE650A">
            <w:pPr>
              <w:pStyle w:val="27"/>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tc>
      </w:tr>
      <w:tr w14:paraId="5BABAB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2B5B6BE6">
            <w:pPr>
              <w:rPr>
                <w:rFonts w:cs="Arial"/>
                <w:sz w:val="22"/>
                <w:szCs w:val="22"/>
                <w:lang w:eastAsia="zh-CN"/>
              </w:rPr>
            </w:pPr>
          </w:p>
          <w:p w14:paraId="6D47198A">
            <w:pPr>
              <w:rPr>
                <w:rFonts w:cs="Arial"/>
                <w:sz w:val="22"/>
                <w:szCs w:val="22"/>
              </w:rPr>
            </w:pPr>
            <w:r>
              <w:rPr>
                <w:rFonts w:cs="Arial"/>
                <w:sz w:val="22"/>
                <w:szCs w:val="22"/>
              </w:rPr>
              <w:t>Aims and Objectives (approx.. 250 – 500 words)</w:t>
            </w:r>
          </w:p>
        </w:tc>
      </w:tr>
      <w:tr w14:paraId="1AEA88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63EAF498">
            <w:pPr>
              <w:rPr>
                <w:rFonts w:cs="Arial"/>
                <w:sz w:val="22"/>
                <w:szCs w:val="22"/>
              </w:rPr>
            </w:pPr>
            <w:r>
              <w:rPr>
                <w:rFonts w:cs="Arial"/>
                <w:sz w:val="22"/>
                <w:szCs w:val="22"/>
              </w:rPr>
              <w:t>In this section you will need to:</w:t>
            </w:r>
          </w:p>
          <w:p w14:paraId="3C3B4FD3">
            <w:pPr>
              <w:pStyle w:val="27"/>
              <w:numPr>
                <w:ilvl w:val="0"/>
                <w:numId w:val="3"/>
              </w:numPr>
              <w:autoSpaceDE w:val="0"/>
              <w:autoSpaceDN w:val="0"/>
              <w:adjustRightInd w:val="0"/>
              <w:contextualSpacing/>
              <w:rPr>
                <w:rFonts w:hint="eastAsia" w:ascii="微软雅黑" w:hAnsi="微软雅黑" w:eastAsia="微软雅黑" w:cs="微软雅黑"/>
                <w:sz w:val="18"/>
                <w:szCs w:val="18"/>
              </w:rPr>
            </w:pPr>
            <w:r>
              <w:rPr>
                <w:rFonts w:cs="Arial"/>
                <w:sz w:val="22"/>
                <w:szCs w:val="22"/>
              </w:rPr>
              <w:t>Explain what you want to achieve through the research.</w:t>
            </w:r>
            <w:r>
              <w:rPr>
                <w:rFonts w:hint="eastAsia" w:ascii="微软雅黑" w:hAnsi="微软雅黑" w:eastAsia="微软雅黑" w:cs="微软雅黑"/>
                <w:sz w:val="22"/>
                <w:szCs w:val="22"/>
                <w:lang w:eastAsia="zh-CN"/>
              </w:rPr>
              <w:t xml:space="preserve"> 解释希望通过研究实现什么目标。</w:t>
            </w:r>
          </w:p>
          <w:p w14:paraId="44FFF9B5">
            <w:pPr>
              <w:pStyle w:val="27"/>
              <w:numPr>
                <w:ilvl w:val="0"/>
                <w:numId w:val="3"/>
              </w:numPr>
              <w:autoSpaceDE w:val="0"/>
              <w:autoSpaceDN w:val="0"/>
              <w:adjustRightInd w:val="0"/>
              <w:contextualSpacing/>
              <w:rPr>
                <w:rFonts w:hint="eastAsia" w:ascii="微软雅黑" w:hAnsi="微软雅黑" w:eastAsia="微软雅黑" w:cs="微软雅黑"/>
                <w:sz w:val="18"/>
                <w:szCs w:val="18"/>
              </w:rPr>
            </w:pPr>
            <w:r>
              <w:rPr>
                <w:rFonts w:cs="Arial"/>
                <w:sz w:val="22"/>
                <w:szCs w:val="22"/>
              </w:rPr>
              <w:t>Outline the aims of the research.</w:t>
            </w:r>
            <w:r>
              <w:rPr>
                <w:rFonts w:hint="eastAsia" w:cs="Arial"/>
                <w:sz w:val="22"/>
                <w:szCs w:val="22"/>
              </w:rPr>
              <w:t xml:space="preserve"> </w:t>
            </w:r>
            <w:r>
              <w:rPr>
                <w:rFonts w:hint="eastAsia" w:ascii="微软雅黑" w:hAnsi="微软雅黑" w:eastAsia="微软雅黑" w:cs="微软雅黑"/>
                <w:sz w:val="22"/>
                <w:szCs w:val="22"/>
              </w:rPr>
              <w:t>概述研究的目的。</w:t>
            </w:r>
          </w:p>
          <w:p w14:paraId="0DBB6816">
            <w:pPr>
              <w:pStyle w:val="27"/>
              <w:numPr>
                <w:ilvl w:val="0"/>
                <w:numId w:val="0"/>
              </w:numPr>
              <w:autoSpaceDE w:val="0"/>
              <w:autoSpaceDN w:val="0"/>
              <w:adjustRightInd w:val="0"/>
              <w:contextualSpacing/>
              <w:rPr>
                <w:rFonts w:cs="Arial"/>
                <w:b/>
                <w:bCs/>
                <w:sz w:val="22"/>
                <w:szCs w:val="22"/>
              </w:rPr>
            </w:pPr>
          </w:p>
          <w:p w14:paraId="29B29972">
            <w:pPr>
              <w:rPr>
                <w:sz w:val="22"/>
                <w:szCs w:val="22"/>
              </w:rPr>
            </w:pPr>
            <w:r>
              <w:rPr>
                <w:b/>
                <w:bCs/>
                <w:sz w:val="22"/>
                <w:szCs w:val="22"/>
              </w:rPr>
              <w:t>Aim</w:t>
            </w:r>
            <w:r>
              <w:rPr>
                <w:b/>
                <w:bCs/>
                <w:sz w:val="22"/>
                <w:szCs w:val="22"/>
              </w:rPr>
              <w:br w:type="textWrapping"/>
            </w:r>
            <w:r>
              <w:rPr>
                <w:rFonts w:hint="default" w:ascii="Arial" w:hAnsi="Arial" w:eastAsia="宋体" w:cs="Arial"/>
                <w:b w:val="0"/>
                <w:bCs w:val="0"/>
                <w:sz w:val="22"/>
                <w:szCs w:val="22"/>
              </w:rPr>
              <w:t xml:space="preserve">This study aims to explore how heavy metal music, as an </w:t>
            </w:r>
            <w:r>
              <w:rPr>
                <w:rStyle w:val="16"/>
                <w:rFonts w:hint="default" w:ascii="Arial" w:hAnsi="Arial" w:eastAsia="宋体" w:cs="Arial"/>
                <w:b w:val="0"/>
                <w:bCs w:val="0"/>
                <w:sz w:val="22"/>
                <w:szCs w:val="22"/>
              </w:rPr>
              <w:t>auditory intervention of marginal culture</w:t>
            </w:r>
            <w:r>
              <w:rPr>
                <w:rFonts w:hint="default" w:ascii="Arial" w:hAnsi="Arial" w:eastAsia="宋体" w:cs="Arial"/>
                <w:b w:val="0"/>
                <w:bCs w:val="0"/>
                <w:sz w:val="22"/>
                <w:szCs w:val="22"/>
              </w:rPr>
              <w:t>, influences the inspiration, imagination, and expressive transformation of young Chinese painters with academy training.</w:t>
            </w:r>
            <w:r>
              <w:rPr>
                <w:rFonts w:hint="default" w:ascii="Arial" w:hAnsi="Arial" w:eastAsia="宋体" w:cs="Arial"/>
                <w:b w:val="0"/>
                <w:bCs w:val="0"/>
                <w:sz w:val="22"/>
                <w:szCs w:val="22"/>
                <w:lang w:val="en-US" w:eastAsia="zh-CN"/>
              </w:rPr>
              <w:t xml:space="preserve"> </w:t>
            </w:r>
            <w:r>
              <w:rPr>
                <w:rFonts w:hint="default" w:ascii="Arial" w:hAnsi="Arial" w:cs="Arial"/>
                <w:sz w:val="22"/>
                <w:szCs w:val="22"/>
              </w:rPr>
              <w:t>By integrating participant artworks, reflective accounts, and the researcher’s own practice, the study examines how such intervention may act as a catalyst for creative breakthroughs and deepen understanding of cross-sensory creativity and the formation of subjectivity.</w:t>
            </w:r>
          </w:p>
          <w:p w14:paraId="77DCCD24">
            <w:pPr>
              <w:rPr>
                <w:sz w:val="22"/>
                <w:szCs w:val="22"/>
              </w:rPr>
            </w:pPr>
          </w:p>
          <w:p w14:paraId="7A52CDA0">
            <w:pPr>
              <w:rPr>
                <w:sz w:val="22"/>
                <w:szCs w:val="22"/>
              </w:rPr>
            </w:pPr>
          </w:p>
          <w:p w14:paraId="1BAAE737">
            <w:pPr>
              <w:rPr>
                <w:b/>
                <w:bCs/>
                <w:sz w:val="22"/>
                <w:szCs w:val="22"/>
              </w:rPr>
            </w:pPr>
            <w:r>
              <w:rPr>
                <w:b/>
                <w:bCs/>
                <w:sz w:val="22"/>
                <w:szCs w:val="22"/>
              </w:rPr>
              <w:t>Objectives</w:t>
            </w:r>
          </w:p>
          <w:p w14:paraId="08ABEA34">
            <w:pPr>
              <w:numPr>
                <w:ilvl w:val="0"/>
                <w:numId w:val="4"/>
              </w:numPr>
              <w:rPr>
                <w:sz w:val="22"/>
                <w:szCs w:val="22"/>
              </w:rPr>
            </w:pPr>
            <w:r>
              <w:rPr>
                <w:sz w:val="22"/>
                <w:szCs w:val="22"/>
              </w:rPr>
              <w:t>Inspiration: To observe and document how sources of inspiration emerge or shift under the influence of heavy metal, highlighting the role of auditory stimuli in triggering or redirecting creative impulses.</w:t>
            </w:r>
          </w:p>
          <w:p w14:paraId="61235178">
            <w:pPr>
              <w:numPr>
                <w:ilvl w:val="0"/>
                <w:numId w:val="4"/>
              </w:numPr>
              <w:ind w:left="0" w:leftChars="0" w:firstLine="0" w:firstLineChars="0"/>
              <w:rPr>
                <w:sz w:val="22"/>
                <w:szCs w:val="22"/>
              </w:rPr>
            </w:pPr>
            <w:r>
              <w:rPr>
                <w:sz w:val="22"/>
                <w:szCs w:val="22"/>
              </w:rPr>
              <w:t>Imagination: To examine how participants’ imaginative processes expand, shift, or are reconfigured under musical influence, with particular attention to how sonic qualities may translate into visual invention and symbolic association.</w:t>
            </w:r>
          </w:p>
          <w:p w14:paraId="40E123EF">
            <w:pPr>
              <w:numPr>
                <w:ilvl w:val="0"/>
                <w:numId w:val="4"/>
              </w:numPr>
              <w:ind w:left="0" w:leftChars="0" w:firstLine="0" w:firstLineChars="0"/>
              <w:rPr>
                <w:sz w:val="22"/>
                <w:szCs w:val="22"/>
              </w:rPr>
            </w:pPr>
            <w:r>
              <w:rPr>
                <w:sz w:val="22"/>
                <w:szCs w:val="22"/>
              </w:rPr>
              <w:t>Expressive Transformation: To analyse how artistic expression changes under auditory intervention, drawing on participants’ artworks, reflective journals, and interviews to identify visible shifts in colour, composition, or gesture.</w:t>
            </w:r>
          </w:p>
          <w:p w14:paraId="4DF79600">
            <w:pPr>
              <w:numPr>
                <w:ilvl w:val="0"/>
                <w:numId w:val="4"/>
              </w:numPr>
              <w:ind w:left="0" w:leftChars="0" w:firstLine="0" w:firstLineChars="0"/>
              <w:rPr>
                <w:sz w:val="20"/>
                <w:szCs w:val="20"/>
              </w:rPr>
            </w:pPr>
            <w:r>
              <w:rPr>
                <w:sz w:val="22"/>
                <w:szCs w:val="22"/>
              </w:rPr>
              <w:t>Researcher’s Practice: To incorporate the researcher’s own creative practice, not only as a response and extension of participant experiences but as an essential part of the research contribution, ensuring that creative outcomes and the written thesis jointly constitute the site of knowledge production.</w:t>
            </w:r>
          </w:p>
          <w:p w14:paraId="642C0FCA">
            <w:pPr>
              <w:pStyle w:val="27"/>
              <w:numPr>
                <w:ilvl w:val="0"/>
                <w:numId w:val="0"/>
              </w:numPr>
              <w:autoSpaceDE w:val="0"/>
              <w:autoSpaceDN w:val="0"/>
              <w:adjustRightInd w:val="0"/>
              <w:ind w:left="360" w:leftChars="0"/>
              <w:contextualSpacing/>
              <w:rPr>
                <w:rFonts w:cs="Arial"/>
                <w:sz w:val="22"/>
                <w:szCs w:val="22"/>
              </w:rPr>
            </w:pPr>
          </w:p>
        </w:tc>
      </w:tr>
      <w:tr w14:paraId="3B2963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3279BA5F">
            <w:pPr>
              <w:rPr>
                <w:rFonts w:cs="Arial"/>
                <w:sz w:val="22"/>
                <w:szCs w:val="22"/>
              </w:rPr>
            </w:pPr>
          </w:p>
          <w:p w14:paraId="02EF8E0E">
            <w:pPr>
              <w:rPr>
                <w:rFonts w:cs="Arial"/>
                <w:sz w:val="22"/>
                <w:szCs w:val="22"/>
              </w:rPr>
            </w:pPr>
            <w:r>
              <w:rPr>
                <w:rFonts w:cs="Arial"/>
                <w:sz w:val="22"/>
                <w:szCs w:val="22"/>
              </w:rPr>
              <w:t xml:space="preserve">Proposed plan of work including timetable </w:t>
            </w:r>
          </w:p>
        </w:tc>
      </w:tr>
      <w:tr w14:paraId="6D638D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Pr>
          <w:p w14:paraId="3DE4FDEB">
            <w:pPr>
              <w:rPr>
                <w:rFonts w:cs="Arial"/>
                <w:i/>
                <w:sz w:val="22"/>
                <w:szCs w:val="22"/>
              </w:rPr>
            </w:pPr>
            <w:r>
              <w:rPr>
                <w:rFonts w:cs="Arial"/>
                <w:i/>
                <w:sz w:val="22"/>
                <w:szCs w:val="22"/>
              </w:rPr>
              <w:t>Proposed plan of work</w:t>
            </w:r>
          </w:p>
          <w:p w14:paraId="14EDF531">
            <w:pPr>
              <w:rPr>
                <w:rFonts w:cs="Arial"/>
                <w:sz w:val="22"/>
                <w:szCs w:val="22"/>
              </w:rPr>
            </w:pPr>
          </w:p>
          <w:p w14:paraId="07E423F5">
            <w:pPr>
              <w:rPr>
                <w:rFonts w:cs="Arial"/>
                <w:sz w:val="22"/>
                <w:szCs w:val="22"/>
              </w:rPr>
            </w:pPr>
            <w:r>
              <w:rPr>
                <w:rFonts w:cs="Arial"/>
                <w:sz w:val="22"/>
                <w:szCs w:val="22"/>
              </w:rPr>
              <w:t>In this section you will need to complete a proposed plan of your work explaining the timeline for key elements of the thesis. This can be set out as a table like below or as a gantt chart (for example)</w:t>
            </w:r>
          </w:p>
          <w:p w14:paraId="56442899">
            <w:pPr>
              <w:rPr>
                <w:rFonts w:cs="Arial"/>
                <w:sz w:val="22"/>
                <w:szCs w:val="22"/>
              </w:rPr>
            </w:pPr>
          </w:p>
          <w:p w14:paraId="0FD65113">
            <w:pPr>
              <w:rPr>
                <w:rFonts w:cs="Arial"/>
                <w:sz w:val="22"/>
                <w:szCs w:val="22"/>
              </w:rPr>
            </w:pPr>
            <w:r>
              <w:rPr>
                <w:rFonts w:cs="Arial"/>
                <w:sz w:val="22"/>
                <w:szCs w:val="22"/>
              </w:rPr>
              <w:t>This plan should indicate that the research will be completed by the end of the fee paying period (the minimum period of candidature.</w:t>
            </w:r>
          </w:p>
          <w:p w14:paraId="2BF0F110">
            <w:pPr>
              <w:rPr>
                <w:rFonts w:cs="Arial"/>
                <w:sz w:val="22"/>
                <w:szCs w:val="22"/>
                <w:lang w:eastAsia="zh-CN"/>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777"/>
              <w:gridCol w:w="4778"/>
            </w:tblGrid>
            <w:tr w14:paraId="1D921B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555CBE44">
                  <w:pPr>
                    <w:jc w:val="center"/>
                    <w:rPr>
                      <w:rFonts w:cs="Arial"/>
                      <w:b/>
                      <w:bCs/>
                      <w:sz w:val="22"/>
                      <w:szCs w:val="22"/>
                    </w:rPr>
                  </w:pPr>
                  <w:r>
                    <w:rPr>
                      <w:rFonts w:cs="Arial"/>
                      <w:b/>
                      <w:bCs/>
                      <w:sz w:val="22"/>
                      <w:szCs w:val="22"/>
                    </w:rPr>
                    <w:t>Planned Development (e.g. submission of form, completion of chapter, submission of thesis)</w:t>
                  </w:r>
                </w:p>
              </w:tc>
              <w:tc>
                <w:tcPr>
                  <w:tcW w:w="4778" w:type="dxa"/>
                </w:tcPr>
                <w:p w14:paraId="61FC0D2B">
                  <w:pPr>
                    <w:jc w:val="center"/>
                    <w:rPr>
                      <w:rFonts w:cs="Arial"/>
                      <w:b/>
                      <w:bCs/>
                      <w:sz w:val="22"/>
                      <w:szCs w:val="22"/>
                    </w:rPr>
                  </w:pPr>
                  <w:r>
                    <w:rPr>
                      <w:rFonts w:cs="Arial"/>
                      <w:b/>
                      <w:bCs/>
                      <w:sz w:val="22"/>
                      <w:szCs w:val="22"/>
                    </w:rPr>
                    <w:t>Target Date</w:t>
                  </w:r>
                </w:p>
              </w:tc>
            </w:tr>
            <w:tr w14:paraId="3E5FE1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46318CD9">
                  <w:pPr>
                    <w:jc w:val="center"/>
                    <w:rPr>
                      <w:rFonts w:hint="default" w:ascii="Arial" w:hAnsi="Arial" w:eastAsia="宋体" w:cs="Arial"/>
                      <w:sz w:val="22"/>
                      <w:szCs w:val="22"/>
                    </w:rPr>
                  </w:pPr>
                  <w:r>
                    <w:rPr>
                      <w:rFonts w:hint="default" w:ascii="Arial" w:hAnsi="Arial" w:eastAsia="宋体" w:cs="Arial"/>
                      <w:sz w:val="22"/>
                      <w:szCs w:val="22"/>
                    </w:rPr>
                    <w:t>Submit PG1 – Full Research Proposal</w:t>
                  </w:r>
                </w:p>
                <w:p w14:paraId="606543DF">
                  <w:pPr>
                    <w:jc w:val="center"/>
                    <w:rPr>
                      <w:rFonts w:hint="default" w:ascii="Arial" w:hAnsi="Arial" w:eastAsia="宋体" w:cs="Arial"/>
                      <w:sz w:val="22"/>
                      <w:szCs w:val="22"/>
                    </w:rPr>
                  </w:pPr>
                </w:p>
              </w:tc>
              <w:tc>
                <w:tcPr>
                  <w:tcW w:w="4778" w:type="dxa"/>
                </w:tcPr>
                <w:p w14:paraId="3F2D0D31">
                  <w:pPr>
                    <w:jc w:val="center"/>
                    <w:rPr>
                      <w:rFonts w:hint="default" w:ascii="Arial" w:hAnsi="Arial" w:cs="Arial"/>
                      <w:sz w:val="22"/>
                      <w:szCs w:val="22"/>
                    </w:rPr>
                  </w:pPr>
                  <w:r>
                    <w:rPr>
                      <w:rFonts w:hint="default" w:ascii="Arial" w:hAnsi="Arial" w:eastAsia="宋体" w:cs="Arial"/>
                      <w:sz w:val="22"/>
                      <w:szCs w:val="22"/>
                    </w:rPr>
                    <w:t>Sep 2025</w:t>
                  </w:r>
                </w:p>
              </w:tc>
            </w:tr>
            <w:tr w14:paraId="037708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7F5D96E5">
                  <w:pPr>
                    <w:jc w:val="center"/>
                    <w:rPr>
                      <w:rFonts w:hint="default" w:ascii="Arial" w:hAnsi="Arial" w:cs="Arial"/>
                      <w:sz w:val="22"/>
                      <w:szCs w:val="22"/>
                    </w:rPr>
                  </w:pPr>
                  <w:r>
                    <w:rPr>
                      <w:rFonts w:hint="default" w:ascii="Arial" w:hAnsi="Arial" w:eastAsia="宋体" w:cs="Arial"/>
                      <w:sz w:val="22"/>
                      <w:szCs w:val="22"/>
                    </w:rPr>
                    <w:t>Submit PG2 – Proposal Application for Ethical Approval</w:t>
                  </w:r>
                </w:p>
              </w:tc>
              <w:tc>
                <w:tcPr>
                  <w:tcW w:w="4778" w:type="dxa"/>
                </w:tcPr>
                <w:p w14:paraId="4472CEDF">
                  <w:pPr>
                    <w:jc w:val="center"/>
                    <w:rPr>
                      <w:rFonts w:hint="default" w:ascii="Arial" w:hAnsi="Arial" w:cs="Arial"/>
                      <w:sz w:val="22"/>
                      <w:szCs w:val="22"/>
                    </w:rPr>
                  </w:pPr>
                  <w:r>
                    <w:rPr>
                      <w:rFonts w:hint="default" w:ascii="Arial" w:hAnsi="Arial" w:eastAsia="宋体" w:cs="Arial"/>
                      <w:sz w:val="22"/>
                      <w:szCs w:val="22"/>
                    </w:rPr>
                    <w:t>Oct 2025</w:t>
                  </w:r>
                </w:p>
              </w:tc>
            </w:tr>
            <w:tr w14:paraId="1C3B5F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08850EF2">
                  <w:pPr>
                    <w:jc w:val="center"/>
                    <w:rPr>
                      <w:rFonts w:hint="default" w:ascii="Arial" w:hAnsi="Arial" w:cs="Arial"/>
                      <w:sz w:val="22"/>
                      <w:szCs w:val="22"/>
                    </w:rPr>
                  </w:pPr>
                  <w:r>
                    <w:rPr>
                      <w:rFonts w:hint="default" w:ascii="Arial" w:hAnsi="Arial" w:eastAsia="宋体" w:cs="Arial"/>
                      <w:sz w:val="22"/>
                      <w:szCs w:val="22"/>
                    </w:rPr>
                    <w:t>Finalize research design (post-ethics approval)</w:t>
                  </w:r>
                </w:p>
              </w:tc>
              <w:tc>
                <w:tcPr>
                  <w:tcW w:w="4778" w:type="dxa"/>
                </w:tcPr>
                <w:p w14:paraId="739AFF27">
                  <w:pPr>
                    <w:jc w:val="center"/>
                    <w:rPr>
                      <w:rFonts w:hint="default" w:ascii="Arial" w:hAnsi="Arial" w:cs="Arial"/>
                      <w:sz w:val="22"/>
                      <w:szCs w:val="22"/>
                    </w:rPr>
                  </w:pPr>
                  <w:r>
                    <w:rPr>
                      <w:rFonts w:hint="default" w:ascii="Arial" w:hAnsi="Arial" w:eastAsia="宋体" w:cs="Arial"/>
                      <w:sz w:val="22"/>
                      <w:szCs w:val="22"/>
                    </w:rPr>
                    <w:t>Dec 2025</w:t>
                  </w:r>
                </w:p>
              </w:tc>
            </w:tr>
            <w:tr w14:paraId="376DA1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2CCE4D2A">
                  <w:pPr>
                    <w:jc w:val="center"/>
                    <w:rPr>
                      <w:rFonts w:hint="default" w:ascii="Arial" w:hAnsi="Arial" w:cs="Arial"/>
                      <w:sz w:val="22"/>
                      <w:szCs w:val="22"/>
                    </w:rPr>
                  </w:pPr>
                  <w:r>
                    <w:rPr>
                      <w:rFonts w:hint="default" w:ascii="Arial" w:hAnsi="Arial" w:eastAsia="宋体" w:cs="Arial"/>
                      <w:sz w:val="22"/>
                      <w:szCs w:val="22"/>
                    </w:rPr>
                    <w:t>Draft Introduction (Ch.2) and Literature Review (Ch.3)</w:t>
                  </w:r>
                </w:p>
              </w:tc>
              <w:tc>
                <w:tcPr>
                  <w:tcW w:w="4778" w:type="dxa"/>
                </w:tcPr>
                <w:p w14:paraId="01731808">
                  <w:pPr>
                    <w:jc w:val="center"/>
                    <w:rPr>
                      <w:rFonts w:hint="default" w:ascii="Arial" w:hAnsi="Arial" w:cs="Arial"/>
                      <w:sz w:val="22"/>
                      <w:szCs w:val="22"/>
                    </w:rPr>
                  </w:pPr>
                  <w:r>
                    <w:rPr>
                      <w:rFonts w:hint="default" w:ascii="Arial" w:hAnsi="Arial" w:eastAsia="宋体" w:cs="Arial"/>
                      <w:sz w:val="22"/>
                      <w:szCs w:val="22"/>
                    </w:rPr>
                    <w:t>Jan–Mar 2026</w:t>
                  </w:r>
                </w:p>
              </w:tc>
            </w:tr>
            <w:tr w14:paraId="30DF97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03CF225D">
                  <w:pPr>
                    <w:jc w:val="center"/>
                    <w:rPr>
                      <w:rFonts w:hint="default" w:ascii="Arial" w:hAnsi="Arial" w:eastAsia="宋体" w:cs="Arial"/>
                      <w:sz w:val="22"/>
                      <w:szCs w:val="22"/>
                    </w:rPr>
                  </w:pPr>
                  <w:r>
                    <w:rPr>
                      <w:rFonts w:hint="default" w:ascii="Arial" w:hAnsi="Arial" w:eastAsia="宋体" w:cs="Arial"/>
                      <w:sz w:val="22"/>
                      <w:szCs w:val="22"/>
                    </w:rPr>
                    <w:t>Draft Methodology (Ch.4)</w:t>
                  </w:r>
                </w:p>
                <w:p w14:paraId="6B77020B">
                  <w:pPr>
                    <w:jc w:val="center"/>
                    <w:rPr>
                      <w:rFonts w:hint="default" w:ascii="Arial" w:hAnsi="Arial" w:eastAsia="宋体" w:cs="Arial"/>
                      <w:sz w:val="22"/>
                      <w:szCs w:val="22"/>
                    </w:rPr>
                  </w:pPr>
                </w:p>
              </w:tc>
              <w:tc>
                <w:tcPr>
                  <w:tcW w:w="4778" w:type="dxa"/>
                </w:tcPr>
                <w:p w14:paraId="3C660521">
                  <w:pPr>
                    <w:jc w:val="center"/>
                    <w:rPr>
                      <w:rFonts w:hint="default" w:ascii="Arial" w:hAnsi="Arial" w:cs="Arial"/>
                      <w:sz w:val="22"/>
                      <w:szCs w:val="22"/>
                    </w:rPr>
                  </w:pPr>
                  <w:r>
                    <w:rPr>
                      <w:rFonts w:hint="default" w:ascii="Arial" w:hAnsi="Arial" w:eastAsia="宋体" w:cs="Arial"/>
                      <w:sz w:val="22"/>
                      <w:szCs w:val="22"/>
                    </w:rPr>
                    <w:t>Apr 2026</w:t>
                  </w:r>
                </w:p>
              </w:tc>
            </w:tr>
            <w:tr w14:paraId="42565D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0CC14C01">
                  <w:pPr>
                    <w:jc w:val="center"/>
                    <w:rPr>
                      <w:rFonts w:hint="default" w:ascii="Arial" w:hAnsi="Arial" w:cs="Arial"/>
                      <w:sz w:val="22"/>
                      <w:szCs w:val="22"/>
                    </w:rPr>
                  </w:pPr>
                  <w:r>
                    <w:rPr>
                      <w:rFonts w:hint="default" w:ascii="Arial" w:hAnsi="Arial" w:eastAsia="宋体" w:cs="Arial"/>
                      <w:sz w:val="22"/>
                      <w:szCs w:val="22"/>
                    </w:rPr>
                    <w:t>Conduct participant-based data collection (Ch.5)</w:t>
                  </w:r>
                </w:p>
              </w:tc>
              <w:tc>
                <w:tcPr>
                  <w:tcW w:w="4778" w:type="dxa"/>
                </w:tcPr>
                <w:p w14:paraId="6E8D6B32">
                  <w:pPr>
                    <w:jc w:val="center"/>
                    <w:rPr>
                      <w:rFonts w:hint="default" w:ascii="Arial" w:hAnsi="Arial" w:cs="Arial"/>
                      <w:sz w:val="22"/>
                      <w:szCs w:val="22"/>
                    </w:rPr>
                  </w:pPr>
                  <w:r>
                    <w:rPr>
                      <w:rFonts w:hint="default" w:ascii="Arial" w:hAnsi="Arial" w:eastAsia="宋体" w:cs="Arial"/>
                      <w:sz w:val="22"/>
                      <w:szCs w:val="22"/>
                    </w:rPr>
                    <w:t>May–Jul 2026</w:t>
                  </w:r>
                </w:p>
              </w:tc>
            </w:tr>
            <w:tr w14:paraId="718D7E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1F53F10B">
                  <w:pPr>
                    <w:jc w:val="center"/>
                    <w:rPr>
                      <w:rFonts w:hint="default" w:ascii="Arial" w:hAnsi="Arial" w:eastAsia="宋体" w:cs="Arial"/>
                      <w:sz w:val="22"/>
                      <w:szCs w:val="22"/>
                    </w:rPr>
                  </w:pPr>
                  <w:r>
                    <w:rPr>
                      <w:rFonts w:hint="default" w:ascii="Arial" w:hAnsi="Arial" w:eastAsia="宋体" w:cs="Arial"/>
                      <w:sz w:val="22"/>
                      <w:szCs w:val="22"/>
                    </w:rPr>
                    <w:t>Preliminary data analysis and researcher’s creative practice (Ch.5)</w:t>
                  </w:r>
                </w:p>
              </w:tc>
              <w:tc>
                <w:tcPr>
                  <w:tcW w:w="4778" w:type="dxa"/>
                </w:tcPr>
                <w:p w14:paraId="33FC1DDA">
                  <w:pPr>
                    <w:jc w:val="center"/>
                    <w:rPr>
                      <w:rFonts w:hint="default" w:ascii="Arial" w:hAnsi="Arial" w:eastAsia="宋体" w:cs="Arial"/>
                      <w:sz w:val="22"/>
                      <w:szCs w:val="22"/>
                    </w:rPr>
                  </w:pPr>
                  <w:r>
                    <w:rPr>
                      <w:rFonts w:hint="default" w:ascii="Arial" w:hAnsi="Arial" w:eastAsia="宋体" w:cs="Arial"/>
                      <w:sz w:val="22"/>
                      <w:szCs w:val="22"/>
                    </w:rPr>
                    <w:t>Aug–Dec 2026</w:t>
                  </w:r>
                </w:p>
              </w:tc>
            </w:tr>
            <w:tr w14:paraId="6A6F46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4AB55211">
                  <w:pPr>
                    <w:jc w:val="center"/>
                    <w:rPr>
                      <w:rFonts w:hint="default" w:ascii="Arial" w:hAnsi="Arial" w:eastAsia="宋体" w:cs="Arial"/>
                      <w:sz w:val="22"/>
                      <w:szCs w:val="22"/>
                    </w:rPr>
                  </w:pPr>
                  <w:r>
                    <w:rPr>
                      <w:rFonts w:hint="default" w:ascii="Arial" w:hAnsi="Arial" w:eastAsia="宋体" w:cs="Arial"/>
                      <w:sz w:val="22"/>
                      <w:szCs w:val="22"/>
                    </w:rPr>
                    <w:t>Draft Findings and Analysis (Ch.6)</w:t>
                  </w:r>
                </w:p>
                <w:p w14:paraId="5029B2D7">
                  <w:pPr>
                    <w:jc w:val="center"/>
                    <w:rPr>
                      <w:rFonts w:hint="default" w:ascii="Arial" w:hAnsi="Arial" w:eastAsia="宋体" w:cs="Arial"/>
                      <w:sz w:val="22"/>
                      <w:szCs w:val="22"/>
                    </w:rPr>
                  </w:pPr>
                </w:p>
              </w:tc>
              <w:tc>
                <w:tcPr>
                  <w:tcW w:w="4778" w:type="dxa"/>
                </w:tcPr>
                <w:p w14:paraId="43BFF52A">
                  <w:pPr>
                    <w:jc w:val="center"/>
                    <w:rPr>
                      <w:rFonts w:hint="default" w:ascii="Arial" w:hAnsi="Arial" w:eastAsia="宋体" w:cs="Arial"/>
                      <w:sz w:val="22"/>
                      <w:szCs w:val="22"/>
                    </w:rPr>
                  </w:pPr>
                  <w:r>
                    <w:rPr>
                      <w:rFonts w:hint="default" w:ascii="Arial" w:hAnsi="Arial" w:eastAsia="宋体" w:cs="Arial"/>
                      <w:sz w:val="22"/>
                      <w:szCs w:val="22"/>
                    </w:rPr>
                    <w:t>Jan–Feb 2027</w:t>
                  </w:r>
                </w:p>
              </w:tc>
            </w:tr>
            <w:tr w14:paraId="532287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5F942E92">
                  <w:pPr>
                    <w:jc w:val="center"/>
                    <w:rPr>
                      <w:rFonts w:hint="default" w:ascii="Arial" w:hAnsi="Arial" w:eastAsia="宋体" w:cs="Arial"/>
                      <w:sz w:val="22"/>
                      <w:szCs w:val="22"/>
                    </w:rPr>
                  </w:pPr>
                  <w:r>
                    <w:rPr>
                      <w:rFonts w:hint="default" w:ascii="Arial" w:hAnsi="Arial" w:eastAsia="宋体" w:cs="Arial"/>
                      <w:sz w:val="22"/>
                      <w:szCs w:val="22"/>
                    </w:rPr>
                    <w:t>Full analysis and draft Discussion (Ch.7)</w:t>
                  </w:r>
                </w:p>
                <w:p w14:paraId="2EE2719D">
                  <w:pPr>
                    <w:jc w:val="center"/>
                    <w:rPr>
                      <w:rFonts w:hint="default" w:ascii="Arial" w:hAnsi="Arial" w:eastAsia="宋体" w:cs="Arial"/>
                      <w:sz w:val="22"/>
                      <w:szCs w:val="22"/>
                    </w:rPr>
                  </w:pPr>
                </w:p>
              </w:tc>
              <w:tc>
                <w:tcPr>
                  <w:tcW w:w="4778" w:type="dxa"/>
                </w:tcPr>
                <w:p w14:paraId="59853E63">
                  <w:pPr>
                    <w:jc w:val="center"/>
                    <w:rPr>
                      <w:rFonts w:hint="default" w:ascii="Arial" w:hAnsi="Arial" w:eastAsia="宋体" w:cs="Arial"/>
                      <w:sz w:val="22"/>
                      <w:szCs w:val="22"/>
                    </w:rPr>
                  </w:pPr>
                  <w:r>
                    <w:rPr>
                      <w:rFonts w:hint="default" w:ascii="Arial" w:hAnsi="Arial" w:eastAsia="宋体" w:cs="Arial"/>
                      <w:sz w:val="22"/>
                      <w:szCs w:val="22"/>
                    </w:rPr>
                    <w:t>Mar–Apr 2027</w:t>
                  </w:r>
                </w:p>
              </w:tc>
            </w:tr>
            <w:tr w14:paraId="58D7D2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15E6581C">
                  <w:pPr>
                    <w:jc w:val="center"/>
                    <w:rPr>
                      <w:rFonts w:hint="default" w:ascii="Arial" w:hAnsi="Arial" w:eastAsia="宋体" w:cs="Arial"/>
                      <w:sz w:val="22"/>
                      <w:szCs w:val="22"/>
                    </w:rPr>
                  </w:pPr>
                  <w:r>
                    <w:rPr>
                      <w:rFonts w:hint="default" w:ascii="Arial" w:hAnsi="Arial" w:eastAsia="宋体" w:cs="Arial"/>
                      <w:sz w:val="22"/>
                      <w:szCs w:val="22"/>
                    </w:rPr>
                    <w:t>Draft Conclusion (Ch.8), Abstract (Ch.1), References (Ch.9), and Appendices (Ch.10)</w:t>
                  </w:r>
                </w:p>
              </w:tc>
              <w:tc>
                <w:tcPr>
                  <w:tcW w:w="4778" w:type="dxa"/>
                </w:tcPr>
                <w:p w14:paraId="02C240F8">
                  <w:pPr>
                    <w:jc w:val="center"/>
                    <w:rPr>
                      <w:rFonts w:hint="default" w:ascii="Arial" w:hAnsi="Arial" w:eastAsia="宋体" w:cs="Arial"/>
                      <w:sz w:val="22"/>
                      <w:szCs w:val="22"/>
                    </w:rPr>
                  </w:pPr>
                  <w:r>
                    <w:rPr>
                      <w:rFonts w:hint="default" w:ascii="Arial" w:hAnsi="Arial" w:eastAsia="宋体" w:cs="Arial"/>
                      <w:sz w:val="22"/>
                      <w:szCs w:val="22"/>
                    </w:rPr>
                    <w:t>May–Jun 2027</w:t>
                  </w:r>
                </w:p>
              </w:tc>
            </w:tr>
            <w:tr w14:paraId="341B93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33CB4507">
                  <w:pPr>
                    <w:jc w:val="center"/>
                    <w:rPr>
                      <w:rFonts w:hint="default" w:ascii="Arial" w:hAnsi="Arial" w:eastAsia="宋体" w:cs="Arial"/>
                      <w:sz w:val="22"/>
                      <w:szCs w:val="22"/>
                    </w:rPr>
                  </w:pPr>
                  <w:r>
                    <w:rPr>
                      <w:rFonts w:hint="default" w:ascii="Arial" w:hAnsi="Arial" w:eastAsia="宋体" w:cs="Arial"/>
                      <w:sz w:val="22"/>
                      <w:szCs w:val="22"/>
                    </w:rPr>
                    <w:t>Full draft completed and revisions</w:t>
                  </w:r>
                </w:p>
                <w:p w14:paraId="6AD8FC96">
                  <w:pPr>
                    <w:jc w:val="center"/>
                    <w:rPr>
                      <w:rFonts w:hint="default" w:ascii="Arial" w:hAnsi="Arial" w:eastAsia="宋体" w:cs="Arial"/>
                      <w:sz w:val="22"/>
                      <w:szCs w:val="22"/>
                    </w:rPr>
                  </w:pPr>
                </w:p>
              </w:tc>
              <w:tc>
                <w:tcPr>
                  <w:tcW w:w="4778" w:type="dxa"/>
                </w:tcPr>
                <w:p w14:paraId="482608B0">
                  <w:pPr>
                    <w:jc w:val="center"/>
                    <w:rPr>
                      <w:rFonts w:hint="default" w:ascii="Arial" w:hAnsi="Arial" w:eastAsia="宋体" w:cs="Arial"/>
                      <w:sz w:val="22"/>
                      <w:szCs w:val="22"/>
                    </w:rPr>
                  </w:pPr>
                  <w:r>
                    <w:rPr>
                      <w:rFonts w:hint="default" w:ascii="Arial" w:hAnsi="Arial" w:eastAsia="宋体" w:cs="Arial"/>
                      <w:sz w:val="22"/>
                      <w:szCs w:val="22"/>
                    </w:rPr>
                    <w:t>Jul–Aug 2027</w:t>
                  </w:r>
                </w:p>
              </w:tc>
            </w:tr>
            <w:tr w14:paraId="3E8416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1FAAECC8">
                  <w:pPr>
                    <w:jc w:val="center"/>
                    <w:rPr>
                      <w:rFonts w:hint="default" w:ascii="Arial" w:hAnsi="Arial" w:eastAsia="宋体" w:cs="Arial"/>
                      <w:sz w:val="22"/>
                      <w:szCs w:val="22"/>
                    </w:rPr>
                  </w:pPr>
                  <w:r>
                    <w:rPr>
                      <w:rFonts w:hint="default" w:ascii="Arial" w:hAnsi="Arial" w:eastAsia="宋体" w:cs="Arial"/>
                      <w:sz w:val="22"/>
                      <w:szCs w:val="22"/>
                    </w:rPr>
                    <w:t>Final submission of thesis</w:t>
                  </w:r>
                </w:p>
                <w:p w14:paraId="66B28C3C">
                  <w:pPr>
                    <w:jc w:val="center"/>
                    <w:rPr>
                      <w:rFonts w:hint="default" w:ascii="Arial" w:hAnsi="Arial" w:eastAsia="宋体" w:cs="Arial"/>
                      <w:sz w:val="22"/>
                      <w:szCs w:val="22"/>
                    </w:rPr>
                  </w:pPr>
                </w:p>
              </w:tc>
              <w:tc>
                <w:tcPr>
                  <w:tcW w:w="4778" w:type="dxa"/>
                </w:tcPr>
                <w:p w14:paraId="10F9E0B9">
                  <w:pPr>
                    <w:jc w:val="center"/>
                    <w:rPr>
                      <w:rFonts w:hint="default" w:ascii="Arial" w:hAnsi="Arial" w:eastAsia="宋体" w:cs="Arial"/>
                      <w:sz w:val="22"/>
                      <w:szCs w:val="22"/>
                    </w:rPr>
                  </w:pPr>
                  <w:r>
                    <w:rPr>
                      <w:rFonts w:hint="default" w:ascii="Arial" w:hAnsi="Arial" w:eastAsia="宋体" w:cs="Arial"/>
                      <w:sz w:val="22"/>
                      <w:szCs w:val="22"/>
                    </w:rPr>
                    <w:t>Sep 2027</w:t>
                  </w:r>
                </w:p>
              </w:tc>
            </w:tr>
          </w:tbl>
          <w:p w14:paraId="628019D8">
            <w:pPr>
              <w:rPr>
                <w:rFonts w:cs="Arial"/>
                <w:sz w:val="22"/>
                <w:szCs w:val="22"/>
              </w:rPr>
            </w:pPr>
          </w:p>
          <w:p w14:paraId="62E10401">
            <w:pPr>
              <w:rPr>
                <w:rFonts w:cs="Arial"/>
                <w:sz w:val="22"/>
                <w:szCs w:val="22"/>
              </w:rPr>
            </w:pPr>
          </w:p>
        </w:tc>
      </w:tr>
      <w:tr w14:paraId="2E92A4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1F44D456">
            <w:pPr>
              <w:rPr>
                <w:rFonts w:cs="Arial"/>
                <w:sz w:val="22"/>
                <w:szCs w:val="22"/>
              </w:rPr>
            </w:pPr>
            <w:r>
              <w:rPr>
                <w:rFonts w:cs="Arial"/>
                <w:sz w:val="22"/>
                <w:szCs w:val="22"/>
              </w:rPr>
              <w:t>Proposed methodology (approx. 500 words):</w:t>
            </w:r>
          </w:p>
        </w:tc>
      </w:tr>
      <w:tr w14:paraId="61D1B7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4AB645F6">
            <w:pPr>
              <w:rPr>
                <w:rFonts w:cs="Arial"/>
                <w:sz w:val="22"/>
                <w:szCs w:val="22"/>
              </w:rPr>
            </w:pPr>
            <w:r>
              <w:rPr>
                <w:rFonts w:cs="Arial"/>
                <w:sz w:val="22"/>
                <w:szCs w:val="22"/>
              </w:rPr>
              <w:t>In this section you will need to explain how you will achieve your aims and objectives:</w:t>
            </w:r>
          </w:p>
          <w:p w14:paraId="4DA6D159">
            <w:pPr>
              <w:rPr>
                <w:rFonts w:cs="Arial"/>
                <w:sz w:val="22"/>
                <w:szCs w:val="22"/>
              </w:rPr>
            </w:pPr>
          </w:p>
          <w:p w14:paraId="32DD6E12">
            <w:pPr>
              <w:numPr>
                <w:ilvl w:val="0"/>
                <w:numId w:val="5"/>
              </w:numPr>
            </w:pPr>
            <w:r>
              <w:rPr>
                <w:rFonts w:cs="Arial"/>
                <w:sz w:val="22"/>
                <w:szCs w:val="22"/>
              </w:rPr>
              <w:t>Explain your disciplinary orientation/ approach</w:t>
            </w:r>
          </w:p>
          <w:p w14:paraId="4C1A8861">
            <w:pPr>
              <w:numPr>
                <w:ilvl w:val="0"/>
                <w:numId w:val="5"/>
              </w:numPr>
            </w:pPr>
            <w:r>
              <w:rPr>
                <w:rFonts w:cs="Arial"/>
                <w:sz w:val="22"/>
                <w:szCs w:val="22"/>
              </w:rPr>
              <w:t>Describe the methods you will use to carry out your research: (eg library-based research, on-line research, fieldwork (interviews/ participant-observation), analysis of visual data, combinations of these)</w:t>
            </w:r>
          </w:p>
          <w:p w14:paraId="697691C1">
            <w:pPr>
              <w:numPr>
                <w:ilvl w:val="0"/>
                <w:numId w:val="0"/>
              </w:numPr>
              <w:rPr>
                <w:rFonts w:cs="Arial"/>
                <w:sz w:val="22"/>
                <w:szCs w:val="22"/>
              </w:rPr>
            </w:pPr>
          </w:p>
          <w:p w14:paraId="1F8246F2">
            <w:pPr>
              <w:numPr>
                <w:ilvl w:val="0"/>
                <w:numId w:val="0"/>
              </w:numPr>
              <w:rPr>
                <w:rFonts w:cs="Arial"/>
                <w:sz w:val="22"/>
                <w:szCs w:val="22"/>
              </w:rPr>
            </w:pPr>
          </w:p>
          <w:p w14:paraId="43924227">
            <w:pPr>
              <w:numPr>
                <w:ilvl w:val="0"/>
                <w:numId w:val="0"/>
              </w:numPr>
              <w:rPr>
                <w:rFonts w:cs="Arial"/>
                <w:sz w:val="22"/>
                <w:szCs w:val="22"/>
              </w:rPr>
            </w:pPr>
          </w:p>
          <w:p w14:paraId="25906014">
            <w:pPr>
              <w:ind w:left="440" w:hanging="440" w:hangingChars="200"/>
              <w:jc w:val="both"/>
              <w:rPr>
                <w:b/>
                <w:bCs/>
                <w:sz w:val="22"/>
                <w:szCs w:val="22"/>
              </w:rPr>
            </w:pPr>
            <w:r>
              <w:rPr>
                <w:b/>
                <w:bCs/>
                <w:sz w:val="22"/>
                <w:szCs w:val="22"/>
              </w:rPr>
              <w:t>Disciplinary Orientation and Approach</w:t>
            </w:r>
          </w:p>
          <w:p w14:paraId="03E95C31">
            <w:pPr>
              <w:ind w:left="440" w:hanging="440" w:hangingChars="200"/>
              <w:jc w:val="both"/>
              <w:rPr>
                <w:b/>
                <w:bCs/>
                <w:sz w:val="22"/>
                <w:szCs w:val="22"/>
              </w:rPr>
            </w:pPr>
          </w:p>
          <w:p w14:paraId="13453320">
            <w:pPr>
              <w:ind w:firstLine="440" w:firstLineChars="200"/>
              <w:jc w:val="both"/>
              <w:rPr>
                <w:sz w:val="22"/>
                <w:szCs w:val="22"/>
              </w:rPr>
            </w:pPr>
            <w:r>
              <w:rPr>
                <w:sz w:val="22"/>
                <w:szCs w:val="22"/>
              </w:rPr>
              <w:t>This research is grounded in qualitative methodology and adopts an interpretivist phenomenological orientation. Within this paradigm, knowledge is understood as being generated through lived experience, the construction of subjective meaning, and contextualised interpretation, rather than through objective quantification (Denscombe, 2014). Specifically, the study employs Interpretative Phenomenological Analysis (IPA), which emphasises how individuals perceive, interpret, and construct their experiential world, making it particularly suited to the exploration of complex experiences related to creativity (Smith et al., 2010; Alase, 2017). The creative outcomes, including artworks produced by participants and the researcher, are not only data sources but also integral to the contribution to knowledge. The written thesis contextualises and theorises these works, highlighting their significance. Knowledge is generated through participants’ self-reflection and the researcher’s reflexive practice. This reflexivity is not autoethnography but acknowledges that the researcher’s dual role as artist and researcher may shape interpretation while enriching analysis (Finlay, 2002).</w:t>
            </w:r>
          </w:p>
          <w:p w14:paraId="434C2D54">
            <w:pPr>
              <w:jc w:val="both"/>
              <w:rPr>
                <w:sz w:val="22"/>
                <w:szCs w:val="22"/>
              </w:rPr>
            </w:pPr>
          </w:p>
          <w:p w14:paraId="47D85784">
            <w:pPr>
              <w:jc w:val="both"/>
              <w:rPr>
                <w:b/>
                <w:bCs/>
                <w:sz w:val="22"/>
                <w:szCs w:val="22"/>
              </w:rPr>
            </w:pPr>
            <w:r>
              <w:rPr>
                <w:b/>
                <w:bCs/>
                <w:sz w:val="22"/>
                <w:szCs w:val="22"/>
              </w:rPr>
              <w:t>Research Design</w:t>
            </w:r>
          </w:p>
          <w:p w14:paraId="4FEF302C">
            <w:pPr>
              <w:jc w:val="both"/>
              <w:rPr>
                <w:b/>
                <w:bCs/>
                <w:sz w:val="22"/>
                <w:szCs w:val="22"/>
              </w:rPr>
            </w:pPr>
          </w:p>
          <w:p w14:paraId="59F38226">
            <w:pPr>
              <w:ind w:firstLine="440" w:firstLineChars="200"/>
              <w:jc w:val="both"/>
              <w:rPr>
                <w:sz w:val="22"/>
                <w:szCs w:val="22"/>
              </w:rPr>
            </w:pPr>
            <w:r>
              <w:rPr>
                <w:sz w:val="22"/>
                <w:szCs w:val="22"/>
              </w:rPr>
              <w:t>This study investigates how young Chinese painters within ten years of graduation experience inspiration, imagination, and expressive change under heavy metal intervention. Participants will meet the following criteria: (1) graduation from an art academy or related programme in China within ten years; (2) training in painting; (3) early career stage with creative pressures and limits on expression; and (4) not regular heavy metal listeners. A sample of 10–15 will ensure depth and diversity. In several sessions, participants will paint while listening to curated tracks and record reflective journals. Semi-structured interviews will add interpretive context and trace how their understanding evolves over time.</w:t>
            </w:r>
          </w:p>
          <w:p w14:paraId="161D321F">
            <w:pPr>
              <w:jc w:val="both"/>
              <w:rPr>
                <w:sz w:val="22"/>
                <w:szCs w:val="22"/>
              </w:rPr>
            </w:pPr>
          </w:p>
          <w:p w14:paraId="27E49B59">
            <w:pPr>
              <w:jc w:val="both"/>
              <w:rPr>
                <w:sz w:val="22"/>
                <w:szCs w:val="22"/>
              </w:rPr>
            </w:pPr>
          </w:p>
          <w:p w14:paraId="39477C4F">
            <w:pPr>
              <w:jc w:val="both"/>
              <w:rPr>
                <w:b/>
                <w:bCs/>
                <w:sz w:val="22"/>
                <w:szCs w:val="22"/>
              </w:rPr>
            </w:pPr>
            <w:r>
              <w:rPr>
                <w:b/>
                <w:bCs/>
                <w:sz w:val="22"/>
                <w:szCs w:val="22"/>
              </w:rPr>
              <w:t>Data Collection Methods</w:t>
            </w:r>
          </w:p>
          <w:p w14:paraId="1ABA57DD">
            <w:pPr>
              <w:jc w:val="both"/>
              <w:rPr>
                <w:b/>
                <w:bCs/>
                <w:sz w:val="22"/>
                <w:szCs w:val="22"/>
              </w:rPr>
            </w:pPr>
          </w:p>
          <w:p w14:paraId="6893864F">
            <w:pPr>
              <w:jc w:val="both"/>
              <w:rPr>
                <w:sz w:val="22"/>
                <w:szCs w:val="22"/>
              </w:rPr>
            </w:pPr>
            <w:r>
              <w:rPr>
                <w:sz w:val="22"/>
                <w:szCs w:val="22"/>
              </w:rPr>
              <w:t>The study will collect data through complementary approaches:</w:t>
            </w:r>
          </w:p>
          <w:p w14:paraId="712700A9">
            <w:pPr>
              <w:numPr>
                <w:ilvl w:val="0"/>
                <w:numId w:val="6"/>
              </w:numPr>
              <w:jc w:val="both"/>
              <w:rPr>
                <w:sz w:val="22"/>
                <w:szCs w:val="22"/>
              </w:rPr>
            </w:pPr>
            <w:r>
              <w:rPr>
                <w:sz w:val="22"/>
                <w:szCs w:val="22"/>
              </w:rPr>
              <w:t>Reflective journals: Participants will keep journals during the painting process, documenting sensory experiences, sources of inspiration, emotional responses, and reflections. Journals provide longitudinal data, capturing evolving experiences and reducing recall bias (Bolger et al., 2003).</w:t>
            </w:r>
          </w:p>
          <w:p w14:paraId="616281D5">
            <w:pPr>
              <w:numPr>
                <w:ilvl w:val="0"/>
                <w:numId w:val="6"/>
              </w:numPr>
              <w:ind w:left="0" w:leftChars="0" w:firstLine="0" w:firstLineChars="0"/>
              <w:jc w:val="both"/>
              <w:rPr>
                <w:sz w:val="22"/>
                <w:szCs w:val="22"/>
              </w:rPr>
            </w:pPr>
            <w:r>
              <w:rPr>
                <w:sz w:val="22"/>
                <w:szCs w:val="22"/>
              </w:rPr>
              <w:t>Semi-structured interviews: Conducted at different stages to explore how participants make sense of their experiences and how these understandings shift over time.</w:t>
            </w:r>
          </w:p>
          <w:p w14:paraId="6839D612">
            <w:pPr>
              <w:numPr>
                <w:ilvl w:val="0"/>
                <w:numId w:val="6"/>
              </w:numPr>
              <w:ind w:left="0" w:leftChars="0" w:firstLine="0" w:firstLineChars="0"/>
              <w:jc w:val="both"/>
              <w:rPr>
                <w:sz w:val="22"/>
                <w:szCs w:val="22"/>
              </w:rPr>
            </w:pPr>
            <w:r>
              <w:rPr>
                <w:sz w:val="22"/>
                <w:szCs w:val="22"/>
              </w:rPr>
              <w:t>Artworks: Participants’ paintings will be collected as core data. These works, interpreted alongside journals and interviews, also form an integral part of the research outcomes.</w:t>
            </w:r>
          </w:p>
          <w:p w14:paraId="5300F2B1">
            <w:pPr>
              <w:numPr>
                <w:ilvl w:val="0"/>
                <w:numId w:val="6"/>
              </w:numPr>
              <w:ind w:left="0" w:leftChars="0" w:firstLine="0" w:firstLineChars="0"/>
              <w:jc w:val="both"/>
              <w:rPr>
                <w:sz w:val="22"/>
                <w:szCs w:val="22"/>
              </w:rPr>
            </w:pPr>
            <w:r>
              <w:rPr>
                <w:sz w:val="22"/>
                <w:szCs w:val="22"/>
              </w:rPr>
              <w:t>Researcher’s practice: The researcher will undertake painting under the same auditory conditions. This practice, conducted after participant data collection and initial analysis, is not only a response to participants’ experiences but also a core element of knowledge generation.</w:t>
            </w:r>
          </w:p>
          <w:p w14:paraId="03F34D90">
            <w:pPr>
              <w:jc w:val="both"/>
              <w:rPr>
                <w:b/>
                <w:bCs/>
                <w:sz w:val="22"/>
                <w:szCs w:val="22"/>
              </w:rPr>
            </w:pPr>
          </w:p>
          <w:p w14:paraId="16B3585F">
            <w:pPr>
              <w:jc w:val="both"/>
              <w:rPr>
                <w:b/>
                <w:bCs/>
                <w:sz w:val="22"/>
                <w:szCs w:val="22"/>
              </w:rPr>
            </w:pPr>
            <w:r>
              <w:rPr>
                <w:b/>
                <w:bCs/>
                <w:sz w:val="22"/>
                <w:szCs w:val="22"/>
              </w:rPr>
              <w:t>Data Analysis Strategies</w:t>
            </w:r>
          </w:p>
          <w:p w14:paraId="5E2A9FF6">
            <w:pPr>
              <w:jc w:val="both"/>
              <w:rPr>
                <w:sz w:val="22"/>
                <w:szCs w:val="22"/>
              </w:rPr>
            </w:pPr>
            <w:r>
              <w:rPr>
                <w:sz w:val="22"/>
                <w:szCs w:val="22"/>
              </w:rPr>
              <w:t>Analysis will follow a qualitative, interpretive framework combining:</w:t>
            </w:r>
          </w:p>
          <w:p w14:paraId="52E11BC3">
            <w:pPr>
              <w:numPr>
                <w:ilvl w:val="0"/>
                <w:numId w:val="7"/>
              </w:numPr>
              <w:jc w:val="both"/>
              <w:rPr>
                <w:sz w:val="22"/>
                <w:szCs w:val="22"/>
              </w:rPr>
            </w:pPr>
            <w:r>
              <w:rPr>
                <w:sz w:val="22"/>
                <w:szCs w:val="22"/>
              </w:rPr>
              <w:t>Interpretative Phenomenological Analysis (IPA): The core method, identifying key themes in journals and interviews (Smith et al., 2010).</w:t>
            </w:r>
          </w:p>
          <w:p w14:paraId="0EBAE3F3">
            <w:pPr>
              <w:jc w:val="both"/>
              <w:rPr>
                <w:sz w:val="22"/>
                <w:szCs w:val="22"/>
              </w:rPr>
            </w:pPr>
            <w:r>
              <w:rPr>
                <w:sz w:val="22"/>
                <w:szCs w:val="22"/>
              </w:rPr>
              <w:t>Narrative analysis: Examining how participants construct their processes and responses through narrative.</w:t>
            </w:r>
          </w:p>
          <w:p w14:paraId="5BBA5543">
            <w:pPr>
              <w:numPr>
                <w:ilvl w:val="0"/>
                <w:numId w:val="7"/>
              </w:numPr>
              <w:ind w:left="0" w:leftChars="0" w:firstLine="0" w:firstLineChars="0"/>
              <w:jc w:val="both"/>
              <w:rPr>
                <w:sz w:val="22"/>
                <w:szCs w:val="22"/>
              </w:rPr>
            </w:pPr>
            <w:r>
              <w:rPr>
                <w:sz w:val="22"/>
                <w:szCs w:val="22"/>
              </w:rPr>
              <w:t>Discourse analysis: Attending to language, metaphors, and cultural references to reveal meaning-making.</w:t>
            </w:r>
          </w:p>
          <w:p w14:paraId="286D2080">
            <w:pPr>
              <w:numPr>
                <w:ilvl w:val="0"/>
                <w:numId w:val="7"/>
              </w:numPr>
              <w:ind w:left="0" w:leftChars="0" w:firstLine="0" w:firstLineChars="0"/>
              <w:jc w:val="both"/>
              <w:rPr>
                <w:sz w:val="22"/>
                <w:szCs w:val="22"/>
              </w:rPr>
            </w:pPr>
            <w:r>
              <w:rPr>
                <w:sz w:val="22"/>
                <w:szCs w:val="22"/>
              </w:rPr>
              <w:t>Thematic analysis: A supplementary method to synthesise commonalities and differences across cases (Vaismoradi &amp; Snelgrove, 2019).</w:t>
            </w:r>
          </w:p>
          <w:p w14:paraId="6C9CBD2F">
            <w:pPr>
              <w:numPr>
                <w:ilvl w:val="0"/>
                <w:numId w:val="7"/>
              </w:numPr>
              <w:ind w:left="0" w:leftChars="0" w:firstLine="0" w:firstLineChars="0"/>
              <w:jc w:val="both"/>
              <w:rPr>
                <w:sz w:val="22"/>
                <w:szCs w:val="22"/>
              </w:rPr>
            </w:pPr>
            <w:r>
              <w:rPr>
                <w:sz w:val="22"/>
                <w:szCs w:val="22"/>
              </w:rPr>
              <w:t>Researcher’s practice: Analysed reflexively as both a response to participant experiences and a contribution to knowledge, ensuring that artworks and text jointly constitute the research outcome.</w:t>
            </w:r>
          </w:p>
          <w:p w14:paraId="03F31EA5">
            <w:pPr>
              <w:jc w:val="both"/>
              <w:rPr>
                <w:sz w:val="22"/>
                <w:szCs w:val="22"/>
              </w:rPr>
            </w:pPr>
          </w:p>
          <w:p w14:paraId="5C0B1B08">
            <w:pPr>
              <w:jc w:val="both"/>
              <w:rPr>
                <w:sz w:val="22"/>
                <w:szCs w:val="22"/>
              </w:rPr>
            </w:pPr>
            <w:r>
              <w:rPr>
                <w:sz w:val="22"/>
                <w:szCs w:val="22"/>
              </w:rPr>
              <w:t>Through these combined methods, the study aims to develop a layered understanding rooted in participants’ cultural and educational contexts, demonstrating how heavy metal as auditory intervention influences painters’ inspiration, imagination, and expressive transformation.</w:t>
            </w:r>
          </w:p>
          <w:p w14:paraId="3156F40D"/>
          <w:p w14:paraId="72E5496C">
            <w:pPr>
              <w:rPr>
                <w:rFonts w:cs="Arial"/>
                <w:sz w:val="22"/>
                <w:szCs w:val="22"/>
              </w:rPr>
            </w:pPr>
          </w:p>
        </w:tc>
      </w:tr>
      <w:tr w14:paraId="2B3438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458C1CA8">
            <w:pPr>
              <w:rPr>
                <w:rFonts w:cs="Arial"/>
                <w:sz w:val="22"/>
                <w:szCs w:val="22"/>
              </w:rPr>
            </w:pPr>
            <w:r>
              <w:rPr>
                <w:rFonts w:cs="Arial"/>
                <w:sz w:val="22"/>
                <w:szCs w:val="22"/>
              </w:rPr>
              <w:t>Introductory bibliography:</w:t>
            </w:r>
          </w:p>
        </w:tc>
      </w:tr>
      <w:tr w14:paraId="0CF23B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0D5F5D60">
            <w:pPr>
              <w:rPr>
                <w:rFonts w:cs="Arial"/>
                <w:sz w:val="22"/>
                <w:szCs w:val="22"/>
              </w:rPr>
            </w:pPr>
            <w:r>
              <w:rPr>
                <w:rFonts w:cs="Arial"/>
                <w:sz w:val="22"/>
                <w:szCs w:val="22"/>
              </w:rPr>
              <w:t xml:space="preserve">In this section you should list a minimum of 30 titles that are relevant to your research. </w:t>
            </w:r>
          </w:p>
          <w:p w14:paraId="1E8DE918">
            <w:pPr>
              <w:rPr>
                <w:rFonts w:cs="Arial"/>
                <w:sz w:val="22"/>
                <w:szCs w:val="22"/>
              </w:rPr>
            </w:pPr>
            <w:r>
              <w:rPr>
                <w:rFonts w:cs="Arial"/>
                <w:sz w:val="22"/>
                <w:szCs w:val="22"/>
              </w:rPr>
              <w:t xml:space="preserve">You should include all works cited in this form. </w:t>
            </w:r>
          </w:p>
          <w:p w14:paraId="5915C49E">
            <w:pPr>
              <w:rPr>
                <w:rFonts w:cs="Arial"/>
                <w:sz w:val="22"/>
                <w:szCs w:val="22"/>
              </w:rPr>
            </w:pPr>
            <w:r>
              <w:rPr>
                <w:rFonts w:cs="Arial"/>
                <w:sz w:val="22"/>
                <w:szCs w:val="22"/>
              </w:rPr>
              <w:t>The list should be alphabetical using the referencing system appropriate to your discipline.</w:t>
            </w:r>
          </w:p>
          <w:p w14:paraId="720BF0BA">
            <w:pPr>
              <w:rPr>
                <w:rFonts w:cs="Arial"/>
                <w:sz w:val="22"/>
                <w:szCs w:val="22"/>
              </w:rPr>
            </w:pPr>
          </w:p>
          <w:p w14:paraId="760F33E8">
            <w:pPr>
              <w:rPr>
                <w:rFonts w:hint="default" w:ascii="Arial" w:hAnsi="Arial" w:cs="Arial"/>
                <w:b/>
                <w:bCs/>
                <w:sz w:val="22"/>
                <w:szCs w:val="22"/>
                <w:lang w:val="en-US" w:eastAsia="zh-CN"/>
              </w:rPr>
            </w:pPr>
            <w:r>
              <w:rPr>
                <w:rFonts w:cs="Arial"/>
                <w:sz w:val="22"/>
                <w:szCs w:val="22"/>
              </w:rPr>
              <w:br w:type="textWrapping"/>
            </w:r>
            <w:r>
              <w:rPr>
                <w:rFonts w:hint="default" w:ascii="Arial" w:hAnsi="Arial" w:cs="Arial"/>
                <w:b/>
                <w:bCs/>
                <w:sz w:val="22"/>
                <w:szCs w:val="22"/>
                <w:lang w:val="en-US" w:eastAsia="zh-CN"/>
              </w:rPr>
              <w:t>Reference</w:t>
            </w:r>
          </w:p>
          <w:p w14:paraId="4A2AFEDF">
            <w:pPr>
              <w:rPr>
                <w:rFonts w:hint="default" w:ascii="Arial" w:hAnsi="Arial" w:cs="Arial"/>
                <w:sz w:val="22"/>
                <w:szCs w:val="22"/>
              </w:rPr>
            </w:pPr>
            <w:r>
              <w:br w:type="textWrapping"/>
            </w:r>
            <w:r>
              <w:rPr>
                <w:rFonts w:hint="default" w:ascii="Arial" w:hAnsi="Arial" w:cs="Arial"/>
                <w:sz w:val="22"/>
                <w:szCs w:val="22"/>
              </w:rPr>
              <w:t xml:space="preserve">Alase, A. (2017). The Interpretative Phenomenological Analysis (IPA): A Guide to a Good Qualitative Research Approach. </w:t>
            </w:r>
            <w:r>
              <w:rPr>
                <w:rStyle w:val="18"/>
                <w:rFonts w:hint="default" w:ascii="Arial" w:hAnsi="Arial" w:cs="Arial"/>
                <w:sz w:val="22"/>
                <w:szCs w:val="22"/>
              </w:rPr>
              <w:t>International Journal of Education and Literacy Studies</w:t>
            </w:r>
            <w:r>
              <w:rPr>
                <w:rFonts w:hint="default" w:ascii="Arial" w:hAnsi="Arial" w:cs="Arial"/>
                <w:sz w:val="22"/>
                <w:szCs w:val="22"/>
              </w:rPr>
              <w:t>, 5(2), 9–19.</w:t>
            </w:r>
          </w:p>
          <w:p w14:paraId="50DB2563">
            <w:pPr>
              <w:pStyle w:val="11"/>
              <w:keepNext w:val="0"/>
              <w:keepLines w:val="0"/>
              <w:widowControl/>
              <w:suppressLineNumbers w:val="0"/>
              <w:rPr>
                <w:rFonts w:hint="default" w:ascii="Arial" w:hAnsi="Arial" w:cs="Arial"/>
                <w:color w:val="auto"/>
                <w:sz w:val="22"/>
                <w:szCs w:val="22"/>
                <w:u w:val="none"/>
              </w:rPr>
            </w:pPr>
            <w:r>
              <w:rPr>
                <w:rFonts w:hint="default" w:ascii="Arial" w:hAnsi="Arial" w:cs="Arial"/>
                <w:sz w:val="22"/>
                <w:szCs w:val="22"/>
              </w:rPr>
              <w:t xml:space="preserve">Angeler, D. G., Allen, C. R., Garmestani, A., &amp; Gunderson, L. (2016). Deathcore, creativity, and scientific thinking. </w:t>
            </w:r>
            <w:r>
              <w:rPr>
                <w:rStyle w:val="18"/>
                <w:rFonts w:hint="default" w:ascii="Arial" w:hAnsi="Arial" w:cs="Arial"/>
                <w:sz w:val="22"/>
                <w:szCs w:val="22"/>
              </w:rPr>
              <w:t>Research Ideas and Outcomes</w:t>
            </w:r>
            <w:r>
              <w:rPr>
                <w:rFonts w:hint="default" w:ascii="Arial" w:hAnsi="Arial" w:cs="Arial"/>
                <w:sz w:val="22"/>
                <w:szCs w:val="22"/>
              </w:rPr>
              <w:t xml:space="preserve">, 2, e8867. </w:t>
            </w:r>
            <w:r>
              <w:rPr>
                <w:rFonts w:hint="default" w:ascii="Arial" w:hAnsi="Arial" w:cs="Arial"/>
                <w:color w:val="auto"/>
                <w:sz w:val="22"/>
                <w:szCs w:val="22"/>
                <w:u w:val="none"/>
              </w:rPr>
              <w:fldChar w:fldCharType="begin"/>
            </w:r>
            <w:r>
              <w:rPr>
                <w:rFonts w:hint="default" w:ascii="Arial" w:hAnsi="Arial" w:cs="Arial"/>
                <w:color w:val="auto"/>
                <w:sz w:val="22"/>
                <w:szCs w:val="22"/>
                <w:u w:val="none"/>
              </w:rPr>
              <w:instrText xml:space="preserve"> HYPERLINK "https://doi.org/10.3897/rio.2.e8867?utm_source=chatgpt.com" \t "_new" </w:instrText>
            </w:r>
            <w:r>
              <w:rPr>
                <w:rFonts w:hint="default" w:ascii="Arial" w:hAnsi="Arial" w:cs="Arial"/>
                <w:color w:val="auto"/>
                <w:sz w:val="22"/>
                <w:szCs w:val="22"/>
                <w:u w:val="none"/>
              </w:rPr>
              <w:fldChar w:fldCharType="separate"/>
            </w:r>
            <w:r>
              <w:rPr>
                <w:rStyle w:val="19"/>
                <w:rFonts w:hint="default" w:ascii="Arial" w:hAnsi="Arial" w:cs="Arial"/>
                <w:color w:val="auto"/>
                <w:sz w:val="22"/>
                <w:szCs w:val="22"/>
                <w:u w:val="none"/>
              </w:rPr>
              <w:t>https://doi.org/10.3897/rio.2.e8867</w:t>
            </w:r>
            <w:r>
              <w:rPr>
                <w:rFonts w:hint="default" w:ascii="Arial" w:hAnsi="Arial" w:cs="Arial"/>
                <w:color w:val="auto"/>
                <w:sz w:val="22"/>
                <w:szCs w:val="22"/>
                <w:u w:val="none"/>
              </w:rPr>
              <w:fldChar w:fldCharType="end"/>
            </w:r>
          </w:p>
          <w:p w14:paraId="7D65F8F9">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Bolger, N., Davis, A., &amp; Rafaeli, E. (2003). Diary methods: Capturing life as it is lived. </w:t>
            </w:r>
            <w:r>
              <w:rPr>
                <w:rStyle w:val="18"/>
                <w:rFonts w:hint="default" w:ascii="Arial" w:hAnsi="Arial" w:cs="Arial"/>
                <w:sz w:val="22"/>
                <w:szCs w:val="22"/>
              </w:rPr>
              <w:t>Annual Review of Psychology</w:t>
            </w:r>
            <w:r>
              <w:rPr>
                <w:rFonts w:hint="default" w:ascii="Arial" w:hAnsi="Arial" w:cs="Arial"/>
                <w:sz w:val="22"/>
                <w:szCs w:val="22"/>
              </w:rPr>
              <w:t>, 54, 579–616.</w:t>
            </w:r>
          </w:p>
          <w:p w14:paraId="2B5BE781">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Bowman, W. (2004). Cognition and the body: Perspectives from music education. In L. Bresler (Ed.), </w:t>
            </w:r>
            <w:r>
              <w:rPr>
                <w:rStyle w:val="18"/>
                <w:rFonts w:hint="default" w:ascii="Arial" w:hAnsi="Arial" w:cs="Arial"/>
                <w:sz w:val="22"/>
                <w:szCs w:val="22"/>
              </w:rPr>
              <w:t>Knowing bodies, moving minds: Towards embodied teaching and learning</w:t>
            </w:r>
            <w:r>
              <w:rPr>
                <w:rFonts w:hint="default" w:ascii="Arial" w:hAnsi="Arial" w:cs="Arial"/>
                <w:sz w:val="22"/>
                <w:szCs w:val="22"/>
              </w:rPr>
              <w:t xml:space="preserve"> (pp. 29–50). Springer.</w:t>
            </w:r>
          </w:p>
          <w:p w14:paraId="4EB5E11B">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Daly, I., Nicolaou, N., Williams, D., Hwang, F., Kirke, A., Miranda, E., &amp; Nasuto, S. J. (2020). Neural and physiological data from participants listening to affective music. </w:t>
            </w:r>
            <w:r>
              <w:rPr>
                <w:rStyle w:val="18"/>
                <w:rFonts w:hint="default" w:ascii="Arial" w:hAnsi="Arial" w:cs="Arial"/>
                <w:sz w:val="22"/>
                <w:szCs w:val="22"/>
              </w:rPr>
              <w:t>Scientific Data</w:t>
            </w:r>
            <w:r>
              <w:rPr>
                <w:rFonts w:hint="default" w:ascii="Arial" w:hAnsi="Arial" w:cs="Arial"/>
                <w:sz w:val="22"/>
                <w:szCs w:val="22"/>
              </w:rPr>
              <w:t xml:space="preserve">, 7, 177. </w:t>
            </w:r>
            <w:r>
              <w:rPr>
                <w:rFonts w:hint="default" w:ascii="Arial" w:hAnsi="Arial" w:cs="Arial"/>
                <w:color w:val="auto"/>
                <w:sz w:val="22"/>
                <w:szCs w:val="22"/>
                <w:u w:val="none"/>
              </w:rPr>
              <w:fldChar w:fldCharType="begin"/>
            </w:r>
            <w:r>
              <w:rPr>
                <w:rFonts w:hint="default" w:ascii="Arial" w:hAnsi="Arial" w:cs="Arial"/>
                <w:color w:val="auto"/>
                <w:sz w:val="22"/>
                <w:szCs w:val="22"/>
                <w:u w:val="none"/>
              </w:rPr>
              <w:instrText xml:space="preserve"> HYPERLINK "https://doi.org/10.1038/s41597-020-0507-6?utm_source=chatgpt.com" \t "_new" </w:instrText>
            </w:r>
            <w:r>
              <w:rPr>
                <w:rFonts w:hint="default" w:ascii="Arial" w:hAnsi="Arial" w:cs="Arial"/>
                <w:color w:val="auto"/>
                <w:sz w:val="22"/>
                <w:szCs w:val="22"/>
                <w:u w:val="none"/>
              </w:rPr>
              <w:fldChar w:fldCharType="separate"/>
            </w:r>
            <w:r>
              <w:rPr>
                <w:rStyle w:val="19"/>
                <w:rFonts w:hint="default" w:ascii="Arial" w:hAnsi="Arial" w:cs="Arial"/>
                <w:color w:val="auto"/>
                <w:sz w:val="22"/>
                <w:szCs w:val="22"/>
                <w:u w:val="none"/>
              </w:rPr>
              <w:t>https://doi.org/10.1038/s41597-020-0507-6</w:t>
            </w:r>
            <w:r>
              <w:rPr>
                <w:rFonts w:hint="default" w:ascii="Arial" w:hAnsi="Arial" w:cs="Arial"/>
                <w:color w:val="auto"/>
                <w:sz w:val="22"/>
                <w:szCs w:val="22"/>
                <w:u w:val="none"/>
              </w:rPr>
              <w:fldChar w:fldCharType="end"/>
            </w:r>
          </w:p>
          <w:p w14:paraId="0C197173">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Deleuze, G. (1994). </w:t>
            </w:r>
            <w:r>
              <w:rPr>
                <w:rStyle w:val="18"/>
                <w:rFonts w:hint="default" w:ascii="Arial" w:hAnsi="Arial" w:cs="Arial"/>
                <w:sz w:val="22"/>
                <w:szCs w:val="22"/>
              </w:rPr>
              <w:t>Difference and Repetition</w:t>
            </w:r>
            <w:r>
              <w:rPr>
                <w:rFonts w:hint="default" w:ascii="Arial" w:hAnsi="Arial" w:cs="Arial"/>
                <w:sz w:val="22"/>
                <w:szCs w:val="22"/>
              </w:rPr>
              <w:t xml:space="preserve"> (P. Patton, Trans.). New York: Columbia University Press. (Original work published 1968).</w:t>
            </w:r>
          </w:p>
          <w:p w14:paraId="24561F93">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Denscombe, M. (2014). </w:t>
            </w:r>
            <w:r>
              <w:rPr>
                <w:rStyle w:val="18"/>
                <w:rFonts w:hint="default" w:ascii="Arial" w:hAnsi="Arial" w:cs="Arial"/>
                <w:sz w:val="22"/>
                <w:szCs w:val="22"/>
              </w:rPr>
              <w:t>The Good Research Guide: For Small-Scale Social Research Projects</w:t>
            </w:r>
            <w:r>
              <w:rPr>
                <w:rFonts w:hint="default" w:ascii="Arial" w:hAnsi="Arial" w:cs="Arial"/>
                <w:sz w:val="22"/>
                <w:szCs w:val="22"/>
              </w:rPr>
              <w:t>. 5th edn. Open University Press.</w:t>
            </w:r>
          </w:p>
          <w:p w14:paraId="003B2B15">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Dewey, J. (1934). </w:t>
            </w:r>
            <w:r>
              <w:rPr>
                <w:rStyle w:val="18"/>
                <w:rFonts w:hint="default" w:ascii="Arial" w:hAnsi="Arial" w:cs="Arial"/>
                <w:sz w:val="22"/>
                <w:szCs w:val="22"/>
              </w:rPr>
              <w:t>Art as Experience</w:t>
            </w:r>
            <w:r>
              <w:rPr>
                <w:rFonts w:hint="default" w:ascii="Arial" w:hAnsi="Arial" w:cs="Arial"/>
                <w:sz w:val="22"/>
                <w:szCs w:val="22"/>
              </w:rPr>
              <w:t>. New York: Minton, Balch &amp; Company.</w:t>
            </w:r>
          </w:p>
          <w:p w14:paraId="6A6F3388">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Finlay, L. (2002). “Outing” the researcher: The provenance, process, and practice of reflexivity. </w:t>
            </w:r>
            <w:r>
              <w:rPr>
                <w:rStyle w:val="18"/>
                <w:rFonts w:hint="default" w:ascii="Arial" w:hAnsi="Arial" w:cs="Arial"/>
                <w:sz w:val="22"/>
                <w:szCs w:val="22"/>
              </w:rPr>
              <w:t>Qualitative Health Research</w:t>
            </w:r>
            <w:r>
              <w:rPr>
                <w:rFonts w:hint="default" w:ascii="Arial" w:hAnsi="Arial" w:cs="Arial"/>
                <w:sz w:val="22"/>
                <w:szCs w:val="22"/>
              </w:rPr>
              <w:t>, 12(4), 531–545.</w:t>
            </w:r>
          </w:p>
          <w:p w14:paraId="6A722C7A">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Gayen, A., Bhatara, A., &amp; Bharucha, J. (2021). Exploring uncertainty in music: Effects on divergent thinking and creativity. </w:t>
            </w:r>
            <w:r>
              <w:rPr>
                <w:rStyle w:val="18"/>
                <w:rFonts w:hint="default" w:ascii="Arial" w:hAnsi="Arial" w:cs="Arial"/>
                <w:sz w:val="22"/>
                <w:szCs w:val="22"/>
              </w:rPr>
              <w:t>Psychology of Aesthetics, Creativity, and the Arts</w:t>
            </w:r>
            <w:r>
              <w:rPr>
                <w:rFonts w:hint="default" w:ascii="Arial" w:hAnsi="Arial" w:cs="Arial"/>
                <w:sz w:val="22"/>
                <w:szCs w:val="22"/>
              </w:rPr>
              <w:t>, 15(4), 560–571. https://doi.org/10.1037/aca0000322</w:t>
            </w:r>
          </w:p>
          <w:p w14:paraId="75D236F7">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Herff, S. A., Goupil, L., Vuust, P., &amp; Kringelbach, M. L. (2025). From sound to vision: Cross-modal influences of music on visual imagery. </w:t>
            </w:r>
            <w:r>
              <w:rPr>
                <w:rStyle w:val="18"/>
                <w:rFonts w:hint="default" w:ascii="Arial" w:hAnsi="Arial" w:cs="Arial"/>
                <w:sz w:val="22"/>
                <w:szCs w:val="22"/>
              </w:rPr>
              <w:t>Psychology of Aesthetics, Creativity, and the Arts</w:t>
            </w:r>
            <w:r>
              <w:rPr>
                <w:rFonts w:hint="default" w:ascii="Arial" w:hAnsi="Arial" w:cs="Arial"/>
                <w:sz w:val="22"/>
                <w:szCs w:val="22"/>
              </w:rPr>
              <w:t>. Advance online publication. https://doi.org/10.1037/aca0000682</w:t>
            </w:r>
          </w:p>
          <w:p w14:paraId="56BF8142">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Houghton, N. (2016). Six into One: The Contradictory Art School Curriculum and How it Came About. </w:t>
            </w:r>
            <w:r>
              <w:rPr>
                <w:rStyle w:val="18"/>
                <w:rFonts w:hint="default" w:ascii="Arial" w:hAnsi="Arial" w:cs="Arial"/>
                <w:sz w:val="22"/>
                <w:szCs w:val="22"/>
              </w:rPr>
              <w:t>International Journal of Art &amp; Design Education</w:t>
            </w:r>
            <w:r>
              <w:rPr>
                <w:rFonts w:hint="default" w:ascii="Arial" w:hAnsi="Arial" w:cs="Arial"/>
                <w:sz w:val="22"/>
                <w:szCs w:val="22"/>
              </w:rPr>
              <w:t>, 35(1), 96–107.</w:t>
            </w:r>
          </w:p>
          <w:p w14:paraId="0DF19DB9">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Li, J. (2012). </w:t>
            </w:r>
            <w:r>
              <w:rPr>
                <w:rStyle w:val="18"/>
                <w:rFonts w:hint="default" w:ascii="Arial" w:hAnsi="Arial" w:cs="Arial"/>
                <w:sz w:val="22"/>
                <w:szCs w:val="22"/>
              </w:rPr>
              <w:t>Cultural Foundations of Learning: East and West</w:t>
            </w:r>
            <w:r>
              <w:rPr>
                <w:rFonts w:hint="default" w:ascii="Arial" w:hAnsi="Arial" w:cs="Arial"/>
                <w:sz w:val="22"/>
                <w:szCs w:val="22"/>
              </w:rPr>
              <w:t>. Cambridge University Press.</w:t>
            </w:r>
          </w:p>
          <w:p w14:paraId="62850162">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Luo, N. (2025). [Review article]. </w:t>
            </w:r>
            <w:r>
              <w:rPr>
                <w:rStyle w:val="18"/>
                <w:rFonts w:hint="default" w:ascii="Arial" w:hAnsi="Arial" w:cs="Arial"/>
                <w:sz w:val="22"/>
                <w:szCs w:val="22"/>
              </w:rPr>
              <w:t>International Journal of Art &amp; Design Education</w:t>
            </w:r>
            <w:r>
              <w:rPr>
                <w:rFonts w:hint="default" w:ascii="Arial" w:hAnsi="Arial" w:cs="Arial"/>
                <w:sz w:val="22"/>
                <w:szCs w:val="22"/>
              </w:rPr>
              <w:t>. https://doi.org/10.1111/jade.12603</w:t>
            </w:r>
          </w:p>
          <w:p w14:paraId="109D66CA">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Merleau-Ponty, M. (2012). </w:t>
            </w:r>
            <w:r>
              <w:rPr>
                <w:rStyle w:val="18"/>
                <w:rFonts w:hint="default" w:ascii="Arial" w:hAnsi="Arial" w:cs="Arial"/>
                <w:sz w:val="22"/>
                <w:szCs w:val="22"/>
              </w:rPr>
              <w:t>Phenomenology of Perception</w:t>
            </w:r>
            <w:r>
              <w:rPr>
                <w:rFonts w:hint="default" w:ascii="Arial" w:hAnsi="Arial" w:cs="Arial"/>
                <w:sz w:val="22"/>
                <w:szCs w:val="22"/>
              </w:rPr>
              <w:t xml:space="preserve"> (D. A. Landes, Trans.). London: Routledge. (Original work published 1945).</w:t>
            </w:r>
          </w:p>
          <w:p w14:paraId="30888EDA">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Riessman, C. K. (2008). </w:t>
            </w:r>
            <w:r>
              <w:rPr>
                <w:rStyle w:val="18"/>
                <w:rFonts w:hint="default" w:ascii="Arial" w:hAnsi="Arial" w:cs="Arial"/>
                <w:sz w:val="22"/>
                <w:szCs w:val="22"/>
              </w:rPr>
              <w:t>Narrative Methods for the Human Sciences</w:t>
            </w:r>
            <w:r>
              <w:rPr>
                <w:rFonts w:hint="default" w:ascii="Arial" w:hAnsi="Arial" w:cs="Arial"/>
                <w:sz w:val="22"/>
                <w:szCs w:val="22"/>
              </w:rPr>
              <w:t>. Sage.</w:t>
            </w:r>
          </w:p>
          <w:p w14:paraId="02669AB7">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Smith, J. A., Flowers, P., &amp; Larkin, M. (2010). </w:t>
            </w:r>
            <w:r>
              <w:rPr>
                <w:rStyle w:val="18"/>
                <w:rFonts w:hint="default" w:ascii="Arial" w:hAnsi="Arial" w:cs="Arial"/>
                <w:sz w:val="22"/>
                <w:szCs w:val="22"/>
              </w:rPr>
              <w:t>Interpretative Phenomenological Analysis: Theory, Method and Research</w:t>
            </w:r>
            <w:r>
              <w:rPr>
                <w:rFonts w:hint="default" w:ascii="Arial" w:hAnsi="Arial" w:cs="Arial"/>
                <w:sz w:val="22"/>
                <w:szCs w:val="22"/>
              </w:rPr>
              <w:t>. Sage.</w:t>
            </w:r>
          </w:p>
          <w:p w14:paraId="2E08B192">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Taruffi, L., Pehrs, C., Lehne, M., &amp; Koelsch, S. (2023). Music evokes visual imagery: Content, characteristics and neural mechanisms. </w:t>
            </w:r>
            <w:r>
              <w:rPr>
                <w:rStyle w:val="18"/>
                <w:rFonts w:hint="default" w:ascii="Arial" w:hAnsi="Arial" w:cs="Arial"/>
                <w:sz w:val="22"/>
                <w:szCs w:val="22"/>
              </w:rPr>
              <w:t>Cognition and Emotion</w:t>
            </w:r>
            <w:r>
              <w:rPr>
                <w:rFonts w:hint="default" w:ascii="Arial" w:hAnsi="Arial" w:cs="Arial"/>
                <w:sz w:val="22"/>
                <w:szCs w:val="22"/>
              </w:rPr>
              <w:t>, 37(2), 215–231. https://doi.org/10.1080/02699931.2022.2107865</w:t>
            </w:r>
          </w:p>
          <w:p w14:paraId="07F11DD7">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Vaismoradi, M., &amp; Snelgrove, S. (2019). Theme in Qualitative Content Analysis and Thematic Analysis. </w:t>
            </w:r>
            <w:r>
              <w:rPr>
                <w:rStyle w:val="18"/>
                <w:rFonts w:hint="default" w:ascii="Arial" w:hAnsi="Arial" w:cs="Arial"/>
                <w:sz w:val="22"/>
                <w:szCs w:val="22"/>
              </w:rPr>
              <w:t>Forum: Qualitative Social Research</w:t>
            </w:r>
            <w:r>
              <w:rPr>
                <w:rFonts w:hint="default" w:ascii="Arial" w:hAnsi="Arial" w:cs="Arial"/>
                <w:sz w:val="22"/>
                <w:szCs w:val="22"/>
              </w:rPr>
              <w:t>, 20(3).</w:t>
            </w:r>
          </w:p>
          <w:p w14:paraId="2798F26D">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Vuust, P., Heggli, O. A., Friston, K. J., &amp; Kringelbach, M. L. (2022). Music in the brain. </w:t>
            </w:r>
            <w:r>
              <w:rPr>
                <w:rStyle w:val="18"/>
                <w:rFonts w:hint="default" w:ascii="Arial" w:hAnsi="Arial" w:cs="Arial"/>
                <w:sz w:val="22"/>
                <w:szCs w:val="22"/>
              </w:rPr>
              <w:t>Nature Reviews Neuroscience</w:t>
            </w:r>
            <w:r>
              <w:rPr>
                <w:rFonts w:hint="default" w:ascii="Arial" w:hAnsi="Arial" w:cs="Arial"/>
                <w:sz w:val="22"/>
                <w:szCs w:val="22"/>
              </w:rPr>
              <w:t>, 23(5), 287–305.</w:t>
            </w:r>
            <w:r>
              <w:rPr>
                <w:rFonts w:hint="eastAsia" w:ascii="Arial" w:hAnsi="Arial" w:cs="Arial"/>
                <w:sz w:val="22"/>
                <w:szCs w:val="22"/>
                <w:lang w:val="en-US" w:eastAsia="zh-CN"/>
              </w:rPr>
              <w:t xml:space="preserve"> </w:t>
            </w:r>
            <w:r>
              <w:rPr>
                <w:rFonts w:hint="default" w:ascii="Arial" w:hAnsi="Arial" w:cs="Arial"/>
                <w:color w:val="auto"/>
                <w:sz w:val="22"/>
                <w:szCs w:val="22"/>
                <w:u w:val="none"/>
              </w:rPr>
              <w:fldChar w:fldCharType="begin"/>
            </w:r>
            <w:r>
              <w:rPr>
                <w:rFonts w:hint="default" w:ascii="Arial" w:hAnsi="Arial" w:cs="Arial"/>
                <w:color w:val="auto"/>
                <w:sz w:val="22"/>
                <w:szCs w:val="22"/>
                <w:u w:val="none"/>
              </w:rPr>
              <w:instrText xml:space="preserve"> HYPERLINK "https://doi.org/10.1038/s41583-022-00578-5?utm_source=chatgpt.com" \t "_new" </w:instrText>
            </w:r>
            <w:r>
              <w:rPr>
                <w:rFonts w:hint="default" w:ascii="Arial" w:hAnsi="Arial" w:cs="Arial"/>
                <w:color w:val="auto"/>
                <w:sz w:val="22"/>
                <w:szCs w:val="22"/>
                <w:u w:val="none"/>
              </w:rPr>
              <w:fldChar w:fldCharType="separate"/>
            </w:r>
            <w:r>
              <w:rPr>
                <w:rStyle w:val="19"/>
                <w:rFonts w:hint="default" w:ascii="Arial" w:hAnsi="Arial" w:cs="Arial"/>
                <w:color w:val="auto"/>
                <w:sz w:val="22"/>
                <w:szCs w:val="22"/>
                <w:u w:val="none"/>
              </w:rPr>
              <w:t>https://doi.org/10.1038/s41583-022-00578-5</w:t>
            </w:r>
            <w:r>
              <w:rPr>
                <w:rFonts w:hint="default" w:ascii="Arial" w:hAnsi="Arial" w:cs="Arial"/>
                <w:color w:val="auto"/>
                <w:sz w:val="22"/>
                <w:szCs w:val="22"/>
                <w:u w:val="none"/>
              </w:rPr>
              <w:fldChar w:fldCharType="end"/>
            </w:r>
          </w:p>
          <w:p w14:paraId="59025DF3">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Walser, R. (1993). </w:t>
            </w:r>
            <w:r>
              <w:rPr>
                <w:rStyle w:val="18"/>
                <w:rFonts w:hint="default" w:ascii="Arial" w:hAnsi="Arial" w:cs="Arial"/>
                <w:sz w:val="22"/>
                <w:szCs w:val="22"/>
              </w:rPr>
              <w:t>Running with the Devil: Power, Gender, and Madness in Heavy Metal Music</w:t>
            </w:r>
            <w:r>
              <w:rPr>
                <w:rFonts w:hint="default" w:ascii="Arial" w:hAnsi="Arial" w:cs="Arial"/>
                <w:sz w:val="22"/>
                <w:szCs w:val="22"/>
              </w:rPr>
              <w:t>. Hanover, NH: University Press of New England.</w:t>
            </w:r>
          </w:p>
          <w:p w14:paraId="746B31F2">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Weinstein, D. (2000). </w:t>
            </w:r>
            <w:r>
              <w:rPr>
                <w:rStyle w:val="18"/>
                <w:rFonts w:hint="default" w:ascii="Arial" w:hAnsi="Arial" w:cs="Arial"/>
                <w:sz w:val="22"/>
                <w:szCs w:val="22"/>
              </w:rPr>
              <w:t>Heavy Metal: The Music and its Culture</w:t>
            </w:r>
            <w:r>
              <w:rPr>
                <w:rFonts w:hint="default" w:ascii="Arial" w:hAnsi="Arial" w:cs="Arial"/>
                <w:sz w:val="22"/>
                <w:szCs w:val="22"/>
              </w:rPr>
              <w:t xml:space="preserve"> (Revised ed.). Cambridge, MA: Da Capo Press.</w:t>
            </w:r>
          </w:p>
          <w:p w14:paraId="39D20EEB">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 xml:space="preserve">Zhao, Y. (2009). </w:t>
            </w:r>
            <w:r>
              <w:rPr>
                <w:rStyle w:val="18"/>
                <w:rFonts w:hint="default" w:ascii="Arial" w:hAnsi="Arial" w:cs="Arial"/>
                <w:sz w:val="22"/>
                <w:szCs w:val="22"/>
              </w:rPr>
              <w:t>Catching Up or Leading the Way: American Education in the Age of Globalization</w:t>
            </w:r>
            <w:r>
              <w:rPr>
                <w:rFonts w:hint="default" w:ascii="Arial" w:hAnsi="Arial" w:cs="Arial"/>
                <w:sz w:val="22"/>
                <w:szCs w:val="22"/>
              </w:rPr>
              <w:t>. Alexandria, VA: ASCD.</w:t>
            </w:r>
          </w:p>
          <w:p w14:paraId="6137AF0C">
            <w:pPr>
              <w:keepNext w:val="0"/>
              <w:keepLines w:val="0"/>
              <w:widowControl/>
              <w:suppressLineNumbers w:val="0"/>
              <w:jc w:val="left"/>
              <w:rPr>
                <w:rFonts w:hint="default" w:ascii="Arial" w:hAnsi="Arial" w:eastAsia="宋体" w:cs="Arial"/>
                <w:color w:val="943734"/>
                <w:kern w:val="0"/>
                <w:sz w:val="22"/>
                <w:szCs w:val="22"/>
                <w:lang w:val="en-US" w:eastAsia="zh-CN" w:bidi="ar"/>
              </w:rPr>
            </w:pPr>
            <w:r>
              <w:rPr>
                <w:rFonts w:hint="default" w:ascii="Arial" w:hAnsi="Arial" w:cs="Arial"/>
                <w:sz w:val="22"/>
                <w:szCs w:val="22"/>
              </w:rPr>
              <w:t xml:space="preserve">Zhao, Y. (2023). Metal like a hermit: Situating the “subcultural” of Chinese metal music within the discursive production of global metal. </w:t>
            </w:r>
            <w:r>
              <w:rPr>
                <w:rStyle w:val="18"/>
                <w:rFonts w:hint="default" w:ascii="Arial" w:hAnsi="Arial" w:cs="Arial"/>
                <w:sz w:val="22"/>
                <w:szCs w:val="22"/>
              </w:rPr>
              <w:t>Metal Music Studies</w:t>
            </w:r>
            <w:r>
              <w:rPr>
                <w:rFonts w:hint="default" w:ascii="Arial" w:hAnsi="Arial" w:cs="Arial"/>
                <w:sz w:val="22"/>
                <w:szCs w:val="22"/>
              </w:rPr>
              <w:t>, 9(1), 49–65. https://doi.org/10.1386/mms_00095_1</w:t>
            </w:r>
            <w:r>
              <w:rPr>
                <w:rFonts w:hint="default" w:ascii="Arial" w:hAnsi="Arial" w:eastAsia="宋体" w:cs="Arial"/>
                <w:sz w:val="22"/>
                <w:szCs w:val="22"/>
              </w:rPr>
              <w:t xml:space="preserve"> </w:t>
            </w:r>
            <w:r>
              <w:rPr>
                <w:rFonts w:hint="eastAsia" w:ascii="宋体" w:hAnsi="宋体" w:eastAsia="宋体" w:cs="宋体"/>
                <w:sz w:val="24"/>
              </w:rPr>
              <w:br w:type="textWrapping"/>
            </w:r>
            <w:r>
              <w:rPr>
                <w:rFonts w:hint="eastAsia" w:ascii="宋体" w:hAnsi="宋体" w:eastAsia="宋体" w:cs="宋体"/>
                <w:sz w:val="24"/>
              </w:rPr>
              <w:br w:type="textWrapping"/>
            </w:r>
            <w:r>
              <w:rPr>
                <w:rFonts w:hint="default" w:ascii="Arial" w:hAnsi="Arial" w:eastAsia="宋体" w:cs="Arial"/>
                <w:b/>
                <w:bCs/>
                <w:sz w:val="22"/>
                <w:szCs w:val="22"/>
                <w:lang w:val="en-US" w:eastAsia="zh-CN"/>
              </w:rPr>
              <w:t>B</w:t>
            </w:r>
            <w:r>
              <w:rPr>
                <w:rFonts w:hint="default" w:ascii="Arial" w:hAnsi="Arial" w:cs="Arial"/>
                <w:b/>
                <w:bCs/>
                <w:sz w:val="22"/>
                <w:szCs w:val="22"/>
              </w:rPr>
              <w:t>ibliography</w:t>
            </w:r>
            <w:r>
              <w:rPr>
                <w:rFonts w:hint="eastAsia"/>
                <w:b/>
                <w:bCs/>
              </w:rPr>
              <w:br w:type="textWrapping"/>
            </w:r>
          </w:p>
          <w:p w14:paraId="21F8C6A0">
            <w:pPr>
              <w:keepNext w:val="0"/>
              <w:keepLines w:val="0"/>
              <w:widowControl/>
              <w:suppressLineNumbers w:val="0"/>
              <w:jc w:val="left"/>
              <w:rPr>
                <w:rFonts w:hint="default" w:ascii="Arial" w:hAnsi="Arial" w:eastAsia="宋体" w:cs="Arial"/>
                <w:color w:val="auto"/>
                <w:kern w:val="0"/>
                <w:sz w:val="22"/>
                <w:szCs w:val="22"/>
                <w:lang w:val="en-US" w:eastAsia="zh-CN" w:bidi="ar"/>
              </w:rPr>
            </w:pPr>
            <w:r>
              <w:rPr>
                <w:rFonts w:hint="default" w:ascii="Arial" w:hAnsi="Arial" w:eastAsia="宋体" w:cs="Arial"/>
                <w:color w:val="auto"/>
                <w:kern w:val="0"/>
                <w:sz w:val="22"/>
                <w:szCs w:val="22"/>
                <w:lang w:val="en-US" w:eastAsia="zh-CN" w:bidi="ar"/>
              </w:rPr>
              <w:t>Braun,V.and</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Clarke,V.</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(2006).Using</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the</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maticanalysis</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in</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psychology.</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Qualitative</w:t>
            </w:r>
            <w:r>
              <w:rPr>
                <w:rFonts w:hint="eastAsia" w:ascii="Arial" w:hAnsi="Arial" w:eastAsia="宋体" w:cs="Arial"/>
                <w:i/>
                <w:iCs/>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Research</w:t>
            </w:r>
            <w:r>
              <w:rPr>
                <w:rFonts w:hint="eastAsia" w:ascii="Arial" w:hAnsi="Arial" w:eastAsia="宋体" w:cs="Arial"/>
                <w:i/>
                <w:iCs/>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in</w:t>
            </w:r>
            <w:r>
              <w:rPr>
                <w:rFonts w:hint="eastAsia" w:ascii="Arial" w:hAnsi="Arial" w:eastAsia="宋体" w:cs="Arial"/>
                <w:i/>
                <w:iCs/>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Psychology,</w:t>
            </w:r>
            <w:r>
              <w:rPr>
                <w:rFonts w:hint="eastAsia" w:ascii="Arial" w:hAnsi="Arial" w:eastAsia="宋体" w:cs="Arial"/>
                <w:i/>
                <w:iCs/>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3(2),</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pp.</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77-101.DOI:10.1191/1478088706qp063oa</w:t>
            </w:r>
          </w:p>
          <w:p w14:paraId="25433B57">
            <w:pPr>
              <w:keepNext w:val="0"/>
              <w:keepLines w:val="0"/>
              <w:widowControl/>
              <w:suppressLineNumbers w:val="0"/>
              <w:jc w:val="left"/>
              <w:rPr>
                <w:rFonts w:hint="default" w:ascii="Arial" w:hAnsi="Arial" w:eastAsia="宋体" w:cs="Arial"/>
                <w:color w:val="auto"/>
                <w:kern w:val="0"/>
                <w:sz w:val="22"/>
                <w:szCs w:val="22"/>
                <w:lang w:val="en-US" w:eastAsia="zh-CN" w:bidi="ar"/>
              </w:rPr>
            </w:pPr>
          </w:p>
          <w:p w14:paraId="605FBD11">
            <w:pPr>
              <w:keepNext w:val="0"/>
              <w:keepLines w:val="0"/>
              <w:widowControl/>
              <w:suppressLineNumbers w:val="0"/>
              <w:jc w:val="left"/>
              <w:rPr>
                <w:rFonts w:hint="default" w:ascii="Arial" w:hAnsi="Arial" w:eastAsia="宋体" w:cs="Arial"/>
                <w:color w:val="auto"/>
                <w:kern w:val="0"/>
                <w:sz w:val="22"/>
                <w:szCs w:val="22"/>
                <w:lang w:val="en-US" w:eastAsia="zh-CN" w:bidi="ar"/>
              </w:rPr>
            </w:pPr>
            <w:r>
              <w:rPr>
                <w:rFonts w:hint="default" w:ascii="Arial" w:hAnsi="Arial" w:eastAsia="宋体" w:cs="Arial"/>
                <w:color w:val="auto"/>
                <w:kern w:val="0"/>
                <w:sz w:val="22"/>
                <w:szCs w:val="22"/>
                <w:lang w:val="en-US" w:eastAsia="zh-CN" w:bidi="ar"/>
              </w:rPr>
              <w:t>Deleuze,</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G and Guattari, F</w:t>
            </w:r>
            <w:r>
              <w:rPr>
                <w:rFonts w:hint="eastAsia" w:ascii="Arial" w:hAnsi="Arial" w:eastAsia="宋体" w:cs="Arial"/>
                <w:color w:val="auto"/>
                <w:kern w:val="0"/>
                <w:sz w:val="22"/>
                <w:szCs w:val="22"/>
                <w:lang w:val="en-US" w:eastAsia="zh-CN" w:bidi="ar"/>
              </w:rPr>
              <w:t>.</w:t>
            </w:r>
            <w:r>
              <w:rPr>
                <w:rFonts w:hint="default" w:ascii="Arial" w:hAnsi="Arial" w:eastAsia="宋体" w:cs="Arial"/>
                <w:color w:val="auto"/>
                <w:kern w:val="0"/>
                <w:sz w:val="22"/>
                <w:szCs w:val="22"/>
                <w:lang w:val="en-US" w:eastAsia="zh-CN" w:bidi="ar"/>
              </w:rPr>
              <w:t xml:space="preserve"> (2000)</w:t>
            </w:r>
            <w:r>
              <w:rPr>
                <w:rFonts w:hint="default" w:ascii="Arial" w:hAnsi="Arial" w:eastAsia="宋体" w:cs="Arial"/>
                <w:i/>
                <w:iCs/>
                <w:color w:val="auto"/>
                <w:kern w:val="0"/>
                <w:sz w:val="22"/>
                <w:szCs w:val="22"/>
                <w:lang w:val="en-US" w:eastAsia="zh-CN" w:bidi="ar"/>
              </w:rPr>
              <w:t>Anti-Oedipus: Capitalism and Schizophrenia. e</w:t>
            </w:r>
            <w:r>
              <w:rPr>
                <w:rFonts w:hint="default" w:ascii="Arial" w:hAnsi="Arial" w:eastAsia="宋体" w:cs="Arial"/>
                <w:color w:val="auto"/>
                <w:kern w:val="0"/>
                <w:sz w:val="22"/>
                <w:szCs w:val="22"/>
                <w:lang w:val="en-US" w:eastAsia="zh-CN" w:bidi="ar"/>
              </w:rPr>
              <w:t>dn:2. Minneapolis: University of Minnesota Press. Available at: https://en.zlibrary.sk/book/16847650/8fe2c1/antioedipus-capitalism-and-schizophrenia.html</w:t>
            </w:r>
          </w:p>
          <w:p w14:paraId="6A701F35">
            <w:pPr>
              <w:keepNext w:val="0"/>
              <w:keepLines w:val="0"/>
              <w:widowControl/>
              <w:suppressLineNumbers w:val="0"/>
              <w:jc w:val="left"/>
              <w:rPr>
                <w:rFonts w:hint="default" w:ascii="Arial" w:hAnsi="Arial" w:eastAsia="宋体" w:cs="Arial"/>
                <w:color w:val="943734"/>
                <w:kern w:val="0"/>
                <w:sz w:val="22"/>
                <w:szCs w:val="22"/>
                <w:lang w:val="en-US" w:eastAsia="zh-CN" w:bidi="ar"/>
              </w:rPr>
            </w:pPr>
          </w:p>
          <w:p w14:paraId="268CF403">
            <w:pPr>
              <w:keepNext w:val="0"/>
              <w:keepLines w:val="0"/>
              <w:widowControl/>
              <w:suppressLineNumbers w:val="0"/>
              <w:jc w:val="left"/>
              <w:rPr>
                <w:rFonts w:hint="default" w:ascii="Arial" w:hAnsi="Arial" w:eastAsia="宋体" w:cs="Arial"/>
                <w:color w:val="auto"/>
                <w:kern w:val="0"/>
                <w:sz w:val="22"/>
                <w:szCs w:val="22"/>
                <w:lang w:val="en-US" w:eastAsia="zh-CN" w:bidi="ar"/>
              </w:rPr>
            </w:pPr>
            <w:r>
              <w:rPr>
                <w:rFonts w:hint="default" w:ascii="Arial" w:hAnsi="Arial" w:eastAsia="宋体" w:cs="Arial"/>
                <w:color w:val="auto"/>
                <w:kern w:val="0"/>
                <w:sz w:val="22"/>
                <w:szCs w:val="22"/>
                <w:lang w:val="en-US" w:eastAsia="zh-CN" w:bidi="ar"/>
              </w:rPr>
              <w:t xml:space="preserve">Gao, Y. (2019) ‘Between Matter and Hand: On Gaston Bachelard’s Theory of Material Imagination’, </w:t>
            </w:r>
            <w:r>
              <w:rPr>
                <w:rFonts w:hint="default" w:ascii="Arial" w:hAnsi="Arial" w:eastAsia="宋体" w:cs="Arial"/>
                <w:i/>
                <w:iCs/>
                <w:color w:val="auto"/>
                <w:kern w:val="0"/>
                <w:sz w:val="22"/>
                <w:szCs w:val="22"/>
                <w:lang w:val="en-US" w:eastAsia="zh-CN" w:bidi="ar"/>
              </w:rPr>
              <w:t>Journal of comparative literature &amp; aesthetics</w:t>
            </w:r>
            <w:r>
              <w:rPr>
                <w:rFonts w:hint="default" w:ascii="Arial" w:hAnsi="Arial" w:eastAsia="宋体" w:cs="Arial"/>
                <w:color w:val="auto"/>
                <w:kern w:val="0"/>
                <w:sz w:val="22"/>
                <w:szCs w:val="22"/>
                <w:lang w:val="en-US" w:eastAsia="zh-CN" w:bidi="ar"/>
              </w:rPr>
              <w:t>, 42(1), pp. 73–81.</w:t>
            </w:r>
          </w:p>
          <w:p w14:paraId="0249A898">
            <w:pPr>
              <w:keepNext w:val="0"/>
              <w:keepLines w:val="0"/>
              <w:widowControl/>
              <w:suppressLineNumbers w:val="0"/>
              <w:jc w:val="left"/>
              <w:rPr>
                <w:rFonts w:hint="default" w:ascii="Arial" w:hAnsi="Arial" w:eastAsia="宋体" w:cs="Arial"/>
                <w:color w:val="auto"/>
                <w:kern w:val="0"/>
                <w:sz w:val="22"/>
                <w:szCs w:val="22"/>
                <w:lang w:val="en-US" w:eastAsia="zh-CN" w:bidi="ar"/>
              </w:rPr>
            </w:pPr>
          </w:p>
          <w:p w14:paraId="6FFFA761">
            <w:pPr>
              <w:keepNext w:val="0"/>
              <w:keepLines w:val="0"/>
              <w:widowControl/>
              <w:suppressLineNumbers w:val="0"/>
              <w:jc w:val="left"/>
              <w:rPr>
                <w:rFonts w:hint="default" w:ascii="Arial" w:hAnsi="Arial" w:eastAsia="宋体" w:cs="Arial"/>
                <w:color w:val="auto"/>
                <w:kern w:val="0"/>
                <w:sz w:val="22"/>
                <w:szCs w:val="22"/>
                <w:lang w:val="en-US" w:eastAsia="zh-CN" w:bidi="ar"/>
              </w:rPr>
            </w:pPr>
            <w:r>
              <w:rPr>
                <w:rFonts w:hint="default" w:ascii="Arial" w:hAnsi="Arial" w:eastAsia="宋体" w:cs="Arial"/>
                <w:color w:val="auto"/>
                <w:kern w:val="0"/>
                <w:sz w:val="22"/>
                <w:szCs w:val="22"/>
                <w:lang w:val="en-US" w:eastAsia="zh-CN" w:bidi="ar"/>
              </w:rPr>
              <w:t xml:space="preserve">Humble, P. (2015). </w:t>
            </w:r>
            <w:r>
              <w:rPr>
                <w:rFonts w:hint="default" w:ascii="Arial" w:hAnsi="Arial" w:eastAsia="宋体" w:cs="Arial"/>
                <w:i/>
                <w:iCs/>
                <w:color w:val="auto"/>
                <w:kern w:val="0"/>
                <w:sz w:val="22"/>
                <w:szCs w:val="22"/>
                <w:lang w:val="en-US" w:eastAsia="zh-CN" w:bidi="ar"/>
              </w:rPr>
              <w:t>Expanded Music : Creating Moving Image Works Via Musical Intuition and Process</w:t>
            </w:r>
            <w:r>
              <w:rPr>
                <w:rFonts w:hint="default" w:ascii="Arial" w:hAnsi="Arial" w:eastAsia="宋体" w:cs="Arial"/>
                <w:color w:val="auto"/>
                <w:kern w:val="0"/>
                <w:sz w:val="22"/>
                <w:szCs w:val="22"/>
                <w:lang w:val="en-US" w:eastAsia="zh-CN" w:bidi="ar"/>
              </w:rPr>
              <w:t>. Master thesis. University of Technology Sydney (Australia). (Accessed: 20 April 2025).</w:t>
            </w:r>
          </w:p>
          <w:p w14:paraId="2A95E96A">
            <w:pPr>
              <w:keepNext w:val="0"/>
              <w:keepLines w:val="0"/>
              <w:widowControl/>
              <w:suppressLineNumbers w:val="0"/>
              <w:jc w:val="left"/>
              <w:rPr>
                <w:rFonts w:hint="default" w:ascii="Arial" w:hAnsi="Arial" w:eastAsia="宋体" w:cs="Arial"/>
                <w:color w:val="auto"/>
                <w:kern w:val="0"/>
                <w:sz w:val="22"/>
                <w:szCs w:val="22"/>
                <w:lang w:val="en-US" w:eastAsia="zh-CN" w:bidi="ar"/>
              </w:rPr>
            </w:pPr>
          </w:p>
          <w:p w14:paraId="1FEE4955">
            <w:pPr>
              <w:keepNext w:val="0"/>
              <w:keepLines w:val="0"/>
              <w:widowControl/>
              <w:suppressLineNumbers w:val="0"/>
              <w:jc w:val="left"/>
              <w:rPr>
                <w:rFonts w:hint="default" w:ascii="Calibri" w:hAnsi="Calibri" w:eastAsia="宋体" w:cs="Calibri"/>
                <w:color w:val="auto"/>
                <w:kern w:val="0"/>
                <w:sz w:val="20"/>
                <w:szCs w:val="20"/>
                <w:lang w:val="en-US" w:eastAsia="zh-CN" w:bidi="ar"/>
              </w:rPr>
            </w:pPr>
            <w:r>
              <w:rPr>
                <w:rFonts w:hint="default" w:ascii="Arial" w:hAnsi="Arial" w:eastAsia="宋体" w:cs="Arial"/>
                <w:color w:val="auto"/>
                <w:kern w:val="0"/>
                <w:sz w:val="22"/>
                <w:szCs w:val="22"/>
                <w:lang w:val="en-US" w:eastAsia="zh-CN" w:bidi="ar"/>
              </w:rPr>
              <w:t xml:space="preserve">Kant, I and Paul, G. </w:t>
            </w:r>
            <w:r>
              <w:rPr>
                <w:rFonts w:hint="default" w:ascii="Arial" w:hAnsi="Arial" w:eastAsia="宋体" w:cs="Arial"/>
                <w:i/>
                <w:iCs/>
                <w:color w:val="auto"/>
                <w:kern w:val="0"/>
                <w:sz w:val="22"/>
                <w:szCs w:val="22"/>
                <w:lang w:val="en-US" w:eastAsia="zh-CN" w:bidi="ar"/>
              </w:rPr>
              <w:t>et al</w:t>
            </w:r>
            <w:r>
              <w:rPr>
                <w:rFonts w:hint="default" w:ascii="Arial" w:hAnsi="Arial" w:eastAsia="宋体" w:cs="Arial"/>
                <w:color w:val="auto"/>
                <w:kern w:val="0"/>
                <w:sz w:val="22"/>
                <w:szCs w:val="22"/>
                <w:lang w:val="en-US" w:eastAsia="zh-CN" w:bidi="ar"/>
              </w:rPr>
              <w:t xml:space="preserve">. (2008) </w:t>
            </w:r>
            <w:r>
              <w:rPr>
                <w:rFonts w:hint="default" w:ascii="Arial" w:hAnsi="Arial" w:eastAsia="宋体" w:cs="Arial"/>
                <w:i/>
                <w:iCs/>
                <w:color w:val="auto"/>
                <w:kern w:val="0"/>
                <w:sz w:val="22"/>
                <w:szCs w:val="22"/>
                <w:lang w:val="en-US" w:eastAsia="zh-CN" w:bidi="ar"/>
              </w:rPr>
              <w:t xml:space="preserve">Critique of the Power of Judgment. </w:t>
            </w:r>
            <w:r>
              <w:rPr>
                <w:rFonts w:hint="default" w:ascii="Arial" w:hAnsi="Arial" w:eastAsia="宋体" w:cs="Arial"/>
                <w:color w:val="auto"/>
                <w:kern w:val="0"/>
                <w:sz w:val="22"/>
                <w:szCs w:val="22"/>
                <w:lang w:val="en-US" w:eastAsia="zh-CN" w:bidi="ar"/>
              </w:rPr>
              <w:t>P. 208. New york: Cambridge University Press</w:t>
            </w:r>
          </w:p>
          <w:p w14:paraId="69E5F8E7">
            <w:pPr>
              <w:keepNext w:val="0"/>
              <w:keepLines w:val="0"/>
              <w:widowControl/>
              <w:suppressLineNumbers w:val="0"/>
              <w:jc w:val="left"/>
              <w:rPr>
                <w:rFonts w:hint="default" w:ascii="Arial" w:hAnsi="Arial" w:eastAsia="宋体" w:cs="Arial"/>
                <w:color w:val="auto"/>
                <w:kern w:val="0"/>
                <w:sz w:val="22"/>
                <w:szCs w:val="22"/>
                <w:lang w:val="en-US" w:eastAsia="zh-CN" w:bidi="ar"/>
              </w:rPr>
            </w:pPr>
          </w:p>
          <w:p w14:paraId="1BDC4E2E">
            <w:pPr>
              <w:keepNext w:val="0"/>
              <w:keepLines w:val="0"/>
              <w:widowControl/>
              <w:suppressLineNumbers w:val="0"/>
              <w:jc w:val="left"/>
              <w:rPr>
                <w:rFonts w:hint="default" w:ascii="Arial" w:hAnsi="Arial" w:cs="Arial"/>
                <w:color w:val="auto"/>
                <w:sz w:val="22"/>
                <w:szCs w:val="22"/>
              </w:rPr>
            </w:pPr>
            <w:r>
              <w:rPr>
                <w:rFonts w:hint="default" w:ascii="Arial" w:hAnsi="Arial" w:eastAsia="宋体" w:cs="Arial"/>
                <w:color w:val="auto"/>
                <w:kern w:val="0"/>
                <w:sz w:val="22"/>
                <w:szCs w:val="22"/>
                <w:lang w:val="en-US" w:eastAsia="zh-CN" w:bidi="ar"/>
              </w:rPr>
              <w:t>Robertson,L.</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CandSagiv,N.</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(2005)</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Synaesthesia:</w:t>
            </w:r>
            <w:r>
              <w:rPr>
                <w:rFonts w:hint="eastAsia" w:ascii="Arial" w:hAnsi="Arial" w:eastAsia="宋体" w:cs="Arial"/>
                <w:i/>
                <w:iCs/>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Perspectives</w:t>
            </w:r>
            <w:r>
              <w:rPr>
                <w:rFonts w:hint="eastAsia" w:ascii="Arial" w:hAnsi="Arial" w:eastAsia="宋体" w:cs="Arial"/>
                <w:i/>
                <w:iCs/>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from</w:t>
            </w:r>
            <w:r>
              <w:rPr>
                <w:rFonts w:hint="eastAsia" w:ascii="Arial" w:hAnsi="Arial" w:eastAsia="宋体" w:cs="Arial"/>
                <w:i/>
                <w:iCs/>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Cognitive</w:t>
            </w:r>
            <w:r>
              <w:rPr>
                <w:rFonts w:hint="eastAsia" w:ascii="Arial" w:hAnsi="Arial" w:eastAsia="宋体" w:cs="Arial"/>
                <w:i/>
                <w:iCs/>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Neuro</w:t>
            </w:r>
            <w:r>
              <w:rPr>
                <w:rFonts w:hint="eastAsia" w:ascii="Arial" w:hAnsi="Arial" w:eastAsia="宋体" w:cs="Arial"/>
                <w:i/>
                <w:iCs/>
                <w:color w:val="auto"/>
                <w:kern w:val="0"/>
                <w:sz w:val="22"/>
                <w:szCs w:val="22"/>
                <w:lang w:val="en-US" w:eastAsia="zh-CN" w:bidi="ar"/>
              </w:rPr>
              <w:t xml:space="preserve"> </w:t>
            </w:r>
            <w:r>
              <w:rPr>
                <w:rFonts w:hint="default" w:ascii="Arial" w:hAnsi="Arial" w:eastAsia="宋体" w:cs="Arial"/>
                <w:i/>
                <w:iCs/>
                <w:color w:val="auto"/>
                <w:kern w:val="0"/>
                <w:sz w:val="22"/>
                <w:szCs w:val="22"/>
                <w:lang w:val="en-US" w:eastAsia="zh-CN" w:bidi="ar"/>
              </w:rPr>
              <w:t>science.</w:t>
            </w:r>
            <w:r>
              <w:rPr>
                <w:rFonts w:hint="default" w:ascii="Arial" w:hAnsi="Arial" w:eastAsia="宋体" w:cs="Arial"/>
                <w:color w:val="auto"/>
                <w:kern w:val="0"/>
                <w:sz w:val="22"/>
                <w:szCs w:val="22"/>
                <w:lang w:val="en-US" w:eastAsia="zh-CN" w:bidi="ar"/>
              </w:rPr>
              <w:t>1</w:t>
            </w:r>
            <w:r>
              <w:rPr>
                <w:rFonts w:hint="default" w:ascii="Arial" w:hAnsi="Arial" w:eastAsia="宋体" w:cs="Arial"/>
                <w:color w:val="auto"/>
                <w:kern w:val="0"/>
                <w:sz w:val="22"/>
                <w:szCs w:val="22"/>
                <w:vertAlign w:val="superscript"/>
                <w:lang w:val="en-US" w:eastAsia="zh-CN" w:bidi="ar"/>
              </w:rPr>
              <w:t xml:space="preserve">st </w:t>
            </w:r>
            <w:r>
              <w:rPr>
                <w:rFonts w:hint="default" w:ascii="Arial" w:hAnsi="Arial" w:eastAsia="宋体" w:cs="Arial"/>
                <w:color w:val="auto"/>
                <w:kern w:val="0"/>
                <w:sz w:val="22"/>
                <w:szCs w:val="22"/>
                <w:lang w:val="en-US" w:eastAsia="zh-CN" w:bidi="ar"/>
              </w:rPr>
              <w:t>ed.p.3–10.</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NewYork:Oxford</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University</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Press.</w:t>
            </w:r>
          </w:p>
          <w:p w14:paraId="6D803EDE">
            <w:pPr>
              <w:keepNext w:val="0"/>
              <w:keepLines w:val="0"/>
              <w:widowControl/>
              <w:suppressLineNumbers w:val="0"/>
              <w:jc w:val="left"/>
              <w:rPr>
                <w:rFonts w:hint="default" w:ascii="Arial" w:hAnsi="Arial" w:eastAsia="宋体" w:cs="Arial"/>
                <w:color w:val="auto"/>
                <w:kern w:val="0"/>
                <w:sz w:val="22"/>
                <w:szCs w:val="22"/>
                <w:lang w:val="en-US" w:eastAsia="zh-CN" w:bidi="ar"/>
              </w:rPr>
            </w:pPr>
          </w:p>
          <w:p w14:paraId="4168C7E6">
            <w:pPr>
              <w:keepNext w:val="0"/>
              <w:keepLines w:val="0"/>
              <w:widowControl/>
              <w:suppressLineNumbers w:val="0"/>
              <w:jc w:val="left"/>
              <w:rPr>
                <w:rFonts w:hint="default" w:ascii="Arial" w:hAnsi="Arial" w:cs="Arial"/>
                <w:color w:val="auto"/>
                <w:sz w:val="22"/>
                <w:szCs w:val="22"/>
              </w:rPr>
            </w:pPr>
            <w:r>
              <w:rPr>
                <w:rFonts w:hint="default" w:ascii="Arial" w:hAnsi="Arial" w:eastAsia="宋体" w:cs="Arial"/>
                <w:color w:val="auto"/>
                <w:kern w:val="0"/>
                <w:sz w:val="22"/>
                <w:szCs w:val="22"/>
                <w:lang w:val="en-US" w:eastAsia="zh-CN" w:bidi="ar"/>
              </w:rPr>
              <w:t xml:space="preserve">Wittgenstein，L. and Bazzocchi, L (2021) </w:t>
            </w:r>
            <w:r>
              <w:rPr>
                <w:rFonts w:hint="default" w:ascii="Arial" w:hAnsi="Arial" w:eastAsia="宋体" w:cs="Arial"/>
                <w:i/>
                <w:iCs/>
                <w:color w:val="auto"/>
                <w:kern w:val="0"/>
                <w:sz w:val="22"/>
                <w:szCs w:val="22"/>
                <w:lang w:val="en-US" w:eastAsia="zh-CN" w:bidi="ar"/>
              </w:rPr>
              <w:t xml:space="preserve">Tractatus Logico-Philosophicus. </w:t>
            </w:r>
            <w:r>
              <w:rPr>
                <w:rFonts w:hint="default" w:ascii="Arial" w:hAnsi="Arial" w:eastAsia="宋体" w:cs="Arial"/>
                <w:color w:val="auto"/>
                <w:kern w:val="0"/>
                <w:sz w:val="22"/>
                <w:szCs w:val="22"/>
                <w:lang w:val="en-US" w:eastAsia="zh-CN" w:bidi="ar"/>
              </w:rPr>
              <w:t>P.155. London: Anthem Press. Available at:</w:t>
            </w:r>
            <w:r>
              <w:rPr>
                <w:rFonts w:hint="eastAsia" w:ascii="Arial" w:hAnsi="Arial" w:eastAsia="宋体" w:cs="Arial"/>
                <w:color w:val="auto"/>
                <w:kern w:val="0"/>
                <w:sz w:val="22"/>
                <w:szCs w:val="22"/>
                <w:lang w:val="en-US" w:eastAsia="zh-CN" w:bidi="ar"/>
              </w:rPr>
              <w:t xml:space="preserve"> </w:t>
            </w:r>
            <w:r>
              <w:rPr>
                <w:rFonts w:hint="default" w:ascii="Arial" w:hAnsi="Arial" w:eastAsia="宋体" w:cs="Arial"/>
                <w:color w:val="auto"/>
                <w:kern w:val="0"/>
                <w:sz w:val="22"/>
                <w:szCs w:val="22"/>
                <w:lang w:val="en-US" w:eastAsia="zh-CN" w:bidi="ar"/>
              </w:rPr>
              <w:t>https://en.z-library.sk/book/18623250/2c912f/tractatus-logicophilosophicus.html</w:t>
            </w:r>
          </w:p>
          <w:p w14:paraId="25B3C18F">
            <w:pPr>
              <w:rPr>
                <w:rFonts w:cs="Arial"/>
                <w:sz w:val="22"/>
                <w:szCs w:val="22"/>
              </w:rPr>
            </w:pPr>
          </w:p>
          <w:p w14:paraId="415FA2B8">
            <w:pPr>
              <w:rPr>
                <w:rFonts w:cs="Arial"/>
                <w:sz w:val="22"/>
                <w:szCs w:val="22"/>
              </w:rPr>
            </w:pPr>
          </w:p>
        </w:tc>
      </w:tr>
      <w:tr w14:paraId="2F728C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43D3CD2A">
            <w:pPr>
              <w:rPr>
                <w:rFonts w:cs="Arial"/>
                <w:sz w:val="22"/>
                <w:szCs w:val="22"/>
              </w:rPr>
            </w:pPr>
            <w:r>
              <w:rPr>
                <w:rFonts w:cs="Arial"/>
                <w:sz w:val="22"/>
                <w:szCs w:val="22"/>
              </w:rPr>
              <w:t>Facilities and resources available for the investigation: please indicate if you expect to need any special resources</w:t>
            </w:r>
          </w:p>
        </w:tc>
      </w:tr>
      <w:tr w14:paraId="37B7AC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587615CA">
            <w:pPr>
              <w:rPr>
                <w:rFonts w:cs="Arial"/>
                <w:sz w:val="22"/>
                <w:szCs w:val="22"/>
              </w:rPr>
            </w:pPr>
            <w:r>
              <w:rPr>
                <w:rFonts w:cs="Arial"/>
                <w:sz w:val="22"/>
                <w:szCs w:val="22"/>
              </w:rPr>
              <w:t>In this section you should indicate:</w:t>
            </w:r>
          </w:p>
          <w:p w14:paraId="452EDDBE">
            <w:pPr>
              <w:rPr>
                <w:rFonts w:cs="Arial"/>
                <w:sz w:val="22"/>
                <w:szCs w:val="22"/>
              </w:rPr>
            </w:pPr>
          </w:p>
          <w:p w14:paraId="31FDA96D">
            <w:pPr>
              <w:pStyle w:val="27"/>
              <w:numPr>
                <w:ilvl w:val="0"/>
                <w:numId w:val="8"/>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14:paraId="6B59878C">
            <w:pPr>
              <w:pStyle w:val="27"/>
              <w:numPr>
                <w:ilvl w:val="0"/>
                <w:numId w:val="8"/>
              </w:numPr>
              <w:autoSpaceDE w:val="0"/>
              <w:autoSpaceDN w:val="0"/>
              <w:adjustRightInd w:val="0"/>
              <w:contextualSpacing/>
              <w:rPr>
                <w:rFonts w:cs="Arial"/>
                <w:sz w:val="22"/>
                <w:szCs w:val="22"/>
              </w:rPr>
            </w:pPr>
            <w:r>
              <w:rPr>
                <w:rFonts w:cs="Arial"/>
                <w:sz w:val="22"/>
                <w:szCs w:val="22"/>
              </w:rPr>
              <w:t>Whether you have permission to access the facilities and resources</w:t>
            </w:r>
          </w:p>
          <w:p w14:paraId="64B1F49A">
            <w:pPr>
              <w:pStyle w:val="27"/>
              <w:numPr>
                <w:ilvl w:val="0"/>
                <w:numId w:val="8"/>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14:paraId="1A01A39F">
            <w:pPr>
              <w:pStyle w:val="27"/>
              <w:numPr>
                <w:ilvl w:val="0"/>
                <w:numId w:val="8"/>
              </w:numPr>
              <w:autoSpaceDE w:val="0"/>
              <w:autoSpaceDN w:val="0"/>
              <w:adjustRightInd w:val="0"/>
              <w:contextualSpacing/>
              <w:rPr>
                <w:rFonts w:cs="Arial"/>
                <w:sz w:val="22"/>
                <w:szCs w:val="22"/>
              </w:rPr>
            </w:pPr>
            <w:r>
              <w:rPr>
                <w:rFonts w:cs="Arial"/>
                <w:sz w:val="22"/>
                <w:szCs w:val="22"/>
              </w:rPr>
              <w:t>Whether you will be carrying out fieldwork or interviews and whether you have followed the correct protocols, secured permission and ethical clearance.</w:t>
            </w:r>
          </w:p>
          <w:p w14:paraId="4BEEBEE9">
            <w:pPr>
              <w:rPr>
                <w:rFonts w:cs="Arial"/>
                <w:sz w:val="22"/>
                <w:szCs w:val="22"/>
              </w:rPr>
            </w:pPr>
          </w:p>
          <w:p w14:paraId="26844D27">
            <w:pPr>
              <w:rPr>
                <w:rFonts w:cs="Arial"/>
                <w:sz w:val="22"/>
                <w:szCs w:val="22"/>
              </w:rPr>
            </w:pPr>
          </w:p>
          <w:p w14:paraId="65C50ACF">
            <w:pPr>
              <w:jc w:val="both"/>
              <w:rPr>
                <w:sz w:val="22"/>
                <w:szCs w:val="22"/>
              </w:rPr>
            </w:pPr>
            <w:r>
              <w:rPr>
                <w:sz w:val="22"/>
                <w:szCs w:val="22"/>
              </w:rPr>
              <w:t>This research will make use of facilities and resources already available to the researcher as a doctoral student, requiring no unusual or high-cost provisions.</w:t>
            </w:r>
          </w:p>
          <w:p w14:paraId="0E733F41">
            <w:pPr>
              <w:jc w:val="both"/>
              <w:rPr>
                <w:sz w:val="22"/>
                <w:szCs w:val="22"/>
              </w:rPr>
            </w:pPr>
          </w:p>
          <w:p w14:paraId="520AE0AF">
            <w:pPr>
              <w:numPr>
                <w:ilvl w:val="0"/>
                <w:numId w:val="9"/>
              </w:numPr>
              <w:jc w:val="both"/>
              <w:rPr>
                <w:sz w:val="22"/>
                <w:szCs w:val="22"/>
              </w:rPr>
            </w:pPr>
            <w:r>
              <w:rPr>
                <w:sz w:val="22"/>
                <w:szCs w:val="22"/>
              </w:rPr>
              <w:t>Libraries and databases: The university’s physical and digital library resources will be used for literature review and theoretical framework building.</w:t>
            </w:r>
          </w:p>
          <w:p w14:paraId="410BADB6">
            <w:pPr>
              <w:numPr>
                <w:ilvl w:val="0"/>
                <w:numId w:val="9"/>
              </w:numPr>
              <w:ind w:left="0" w:leftChars="0" w:firstLine="0" w:firstLineChars="0"/>
              <w:jc w:val="both"/>
              <w:rPr>
                <w:sz w:val="22"/>
                <w:szCs w:val="22"/>
              </w:rPr>
            </w:pPr>
            <w:r>
              <w:rPr>
                <w:sz w:val="22"/>
                <w:szCs w:val="22"/>
              </w:rPr>
              <w:t>Creative facilities: Participants will use their own everyday spaces and materials. The researcher’s practice can be carried out in university studios or personal workspace, with limited material funding applied for if necessary.</w:t>
            </w:r>
          </w:p>
          <w:p w14:paraId="71B89DBB">
            <w:pPr>
              <w:numPr>
                <w:ilvl w:val="0"/>
                <w:numId w:val="9"/>
              </w:numPr>
              <w:ind w:left="0" w:leftChars="0" w:firstLine="0" w:firstLineChars="0"/>
              <w:jc w:val="both"/>
              <w:rPr>
                <w:sz w:val="22"/>
                <w:szCs w:val="22"/>
              </w:rPr>
            </w:pPr>
            <w:r>
              <w:rPr>
                <w:sz w:val="22"/>
                <w:szCs w:val="22"/>
              </w:rPr>
              <w:t>Fieldwork and travel: As participants are based in different regions across China, fieldwork will involve domestic travel. The total time required is estimated at around 3–4 months, with visits planned in a concentrated period to minimise cost and environmental impact. Additional follow-up trips will only be arranged if essential. All travel will be self-funded by the researcher. Semi-structured interviews will be conducted in person where possible, or online when more practical.</w:t>
            </w:r>
          </w:p>
          <w:p w14:paraId="1554A147">
            <w:pPr>
              <w:numPr>
                <w:ilvl w:val="0"/>
                <w:numId w:val="9"/>
              </w:numPr>
              <w:ind w:left="0" w:leftChars="0" w:firstLine="0" w:firstLineChars="0"/>
              <w:jc w:val="both"/>
              <w:rPr>
                <w:sz w:val="22"/>
                <w:szCs w:val="22"/>
              </w:rPr>
            </w:pPr>
            <w:r>
              <w:rPr>
                <w:sz w:val="22"/>
                <w:szCs w:val="22"/>
              </w:rPr>
              <w:t>Data storage and IT support: All digital data (transcripts, reflective journals, and artwork images) will be stored using secure platforms such as Microsoft OneDrive and Teams provided by the university. Google Docs and additional cloud storage will be used for collaboration and backup, ensuring redundancy and compliance with institutional policies.</w:t>
            </w:r>
          </w:p>
          <w:p w14:paraId="138E7604">
            <w:pPr>
              <w:numPr>
                <w:ilvl w:val="0"/>
                <w:numId w:val="9"/>
              </w:numPr>
              <w:ind w:left="0" w:leftChars="0" w:firstLine="0" w:firstLineChars="0"/>
              <w:jc w:val="both"/>
              <w:rPr>
                <w:sz w:val="22"/>
                <w:szCs w:val="22"/>
              </w:rPr>
            </w:pPr>
            <w:r>
              <w:rPr>
                <w:sz w:val="22"/>
                <w:szCs w:val="22"/>
              </w:rPr>
              <w:t>Ethical protocols: All fieldwork and interviews will follow the university’s ethical review process (PG2 application). Informed consent, confidentiality, and secure data management will be ensured, with research commencing only after ethical approval is granted.</w:t>
            </w:r>
          </w:p>
          <w:p w14:paraId="696C75B7">
            <w:pPr>
              <w:rPr>
                <w:rFonts w:cs="Arial"/>
                <w:sz w:val="22"/>
                <w:szCs w:val="22"/>
              </w:rPr>
            </w:pPr>
          </w:p>
          <w:p w14:paraId="3B5EDE1E">
            <w:pPr>
              <w:rPr>
                <w:rFonts w:cs="Arial"/>
                <w:sz w:val="22"/>
                <w:szCs w:val="22"/>
              </w:rPr>
            </w:pPr>
          </w:p>
          <w:p w14:paraId="59020DF5">
            <w:pPr>
              <w:rPr>
                <w:rFonts w:cs="Arial"/>
                <w:sz w:val="22"/>
                <w:szCs w:val="22"/>
              </w:rPr>
            </w:pPr>
          </w:p>
          <w:p w14:paraId="211EDAAC">
            <w:pPr>
              <w:rPr>
                <w:rFonts w:cs="Arial"/>
                <w:sz w:val="22"/>
                <w:szCs w:val="22"/>
              </w:rPr>
            </w:pPr>
          </w:p>
        </w:tc>
      </w:tr>
    </w:tbl>
    <w:p w14:paraId="1C6C6C9E">
      <w:pPr>
        <w:rPr>
          <w:rFonts w:cs="Arial"/>
          <w:sz w:val="22"/>
          <w:szCs w:val="22"/>
        </w:rPr>
      </w:pPr>
    </w:p>
    <w:p w14:paraId="068FBBD3">
      <w:pPr>
        <w:rPr>
          <w:rFonts w:cs="Arial"/>
          <w:sz w:val="22"/>
          <w:szCs w:val="22"/>
        </w:rPr>
      </w:pPr>
    </w:p>
    <w:p w14:paraId="532539A2">
      <w:pPr>
        <w:rPr>
          <w:rFonts w:cs="Arial"/>
          <w:sz w:val="22"/>
          <w:szCs w:val="22"/>
        </w:rPr>
      </w:pPr>
    </w:p>
    <w:p w14:paraId="5620ED97">
      <w:pPr>
        <w:rPr>
          <w:rFonts w:cs="Arial"/>
          <w:b/>
          <w:sz w:val="22"/>
          <w:szCs w:val="22"/>
        </w:rPr>
      </w:pPr>
      <w:r>
        <w:rPr>
          <w:rFonts w:cs="Arial"/>
          <w:b/>
          <w:sz w:val="22"/>
          <w:szCs w:val="22"/>
        </w:rPr>
        <w:t>Intellectual Property IP</w:t>
      </w:r>
    </w:p>
    <w:p w14:paraId="4847AFB8">
      <w:pPr>
        <w:rPr>
          <w:rFonts w:cs="Arial"/>
          <w:b/>
          <w:sz w:val="22"/>
          <w:szCs w:val="22"/>
        </w:rPr>
      </w:pPr>
      <w:r>
        <w:rPr>
          <w:sz w:val="22"/>
        </w:rPr>
        <w:t>It is anticipated that Intellectual Property (IP) will be produced as a result of this research.</w:t>
      </w: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946"/>
        <w:gridCol w:w="1418"/>
        <w:gridCol w:w="1417"/>
      </w:tblGrid>
      <w:tr w14:paraId="34BEA0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9781" w:type="dxa"/>
            <w:gridSpan w:val="3"/>
            <w:tcBorders>
              <w:top w:val="nil"/>
              <w:left w:val="nil"/>
              <w:bottom w:val="nil"/>
              <w:right w:val="nil"/>
            </w:tcBorders>
            <w:shd w:val="clear" w:color="auto" w:fill="auto"/>
          </w:tcPr>
          <w:p w14:paraId="012CF4F9">
            <w:pPr>
              <w:jc w:val="right"/>
              <w:rPr>
                <w:rFonts w:cs="Arial"/>
                <w:b/>
              </w:rPr>
            </w:pPr>
            <w:r>
              <w:rPr>
                <w:rFonts w:cs="Arial"/>
                <w:b/>
              </w:rPr>
              <w:t xml:space="preserve">Tick </w:t>
            </w:r>
            <w:r>
              <w:rPr>
                <w:rFonts w:ascii="Agency FB" w:hAnsi="Agency FB" w:cs="Arial"/>
                <w:b/>
              </w:rPr>
              <w:t>√</w:t>
            </w:r>
          </w:p>
        </w:tc>
      </w:tr>
      <w:tr w14:paraId="65D44C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102959EA">
            <w:pPr>
              <w:rPr>
                <w:rFonts w:cs="Arial"/>
                <w:sz w:val="22"/>
                <w:szCs w:val="22"/>
              </w:rPr>
            </w:pPr>
          </w:p>
        </w:tc>
        <w:tc>
          <w:tcPr>
            <w:tcW w:w="1418" w:type="dxa"/>
            <w:tcBorders>
              <w:top w:val="single" w:color="auto" w:sz="4" w:space="0"/>
              <w:left w:val="single" w:color="auto" w:sz="4" w:space="0"/>
            </w:tcBorders>
            <w:shd w:val="clear" w:color="auto" w:fill="F1F1F1" w:themeFill="background1" w:themeFillShade="F2"/>
          </w:tcPr>
          <w:p w14:paraId="1D6B3087">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343163F4">
            <w:pPr>
              <w:rPr>
                <w:rFonts w:cs="Arial"/>
                <w:sz w:val="22"/>
                <w:szCs w:val="22"/>
              </w:rPr>
            </w:pPr>
            <w:r>
              <w:rPr>
                <w:rFonts w:cs="Arial"/>
                <w:sz w:val="22"/>
                <w:szCs w:val="22"/>
              </w:rPr>
              <w:t>NO</w:t>
            </w:r>
          </w:p>
        </w:tc>
      </w:tr>
      <w:tr w14:paraId="2BF949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single" w:color="auto" w:sz="4" w:space="0"/>
            </w:tcBorders>
            <w:shd w:val="clear" w:color="auto" w:fill="F1F1F1" w:themeFill="background1" w:themeFillShade="F2"/>
          </w:tcPr>
          <w:p w14:paraId="1C8BF160">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EndPr>
            <w:rPr>
              <w:rFonts w:cs="Arial"/>
              <w:sz w:val="22"/>
              <w:szCs w:val="22"/>
            </w:rPr>
          </w:sdtEndPr>
          <w:sdtContent>
            <w:tc>
              <w:tcPr>
                <w:tcW w:w="1418" w:type="dxa"/>
                <w:tcBorders>
                  <w:top w:val="single" w:color="auto" w:sz="4" w:space="0"/>
                </w:tcBorders>
                <w:shd w:val="clear" w:color="auto" w:fill="auto"/>
              </w:tcPr>
              <w:p w14:paraId="3FB7B2F0">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rPr>
              <w:rFonts w:cs="Arial"/>
              <w:sz w:val="22"/>
              <w:szCs w:val="22"/>
            </w:rPr>
          </w:sdtEndPr>
          <w:sdtContent>
            <w:tc>
              <w:tcPr>
                <w:tcW w:w="1417" w:type="dxa"/>
                <w:tcBorders>
                  <w:top w:val="single" w:color="auto" w:sz="4" w:space="0"/>
                </w:tcBorders>
                <w:shd w:val="clear" w:color="auto" w:fill="auto"/>
              </w:tcPr>
              <w:p w14:paraId="05586A79">
                <w:pPr>
                  <w:jc w:val="center"/>
                  <w:rPr>
                    <w:rFonts w:cs="Arial"/>
                    <w:sz w:val="22"/>
                    <w:szCs w:val="22"/>
                  </w:rPr>
                </w:pPr>
                <w:r>
                  <w:rPr>
                    <w:rFonts w:ascii="MS Gothic" w:hAnsi="MS Gothic" w:eastAsia="MS Gothic" w:cs="Arial"/>
                    <w:sz w:val="22"/>
                    <w:szCs w:val="22"/>
                    <w:lang w:val="en-GB" w:eastAsia="en-GB" w:bidi="ar-SA"/>
                  </w:rPr>
                  <w:t>☒</w:t>
                </w:r>
              </w:p>
            </w:tc>
          </w:sdtContent>
        </w:sdt>
      </w:tr>
      <w:tr w14:paraId="08BAA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2" w:hRule="atLeast"/>
        </w:trPr>
        <w:tc>
          <w:tcPr>
            <w:tcW w:w="6946" w:type="dxa"/>
            <w:shd w:val="clear" w:color="auto" w:fill="F1F1F1" w:themeFill="background1" w:themeFillShade="F2"/>
          </w:tcPr>
          <w:p w14:paraId="1590E689">
            <w:pPr>
              <w:rPr>
                <w:sz w:val="22"/>
              </w:rPr>
            </w:pPr>
            <w:r>
              <w:rPr>
                <w:sz w:val="22"/>
              </w:rPr>
              <w:t xml:space="preserve">Is the research dependent upon background IP owned by: </w:t>
            </w:r>
          </w:p>
          <w:p w14:paraId="72E8DDEC">
            <w:pPr>
              <w:rPr>
                <w:rFonts w:cs="Arial"/>
                <w:sz w:val="22"/>
                <w:szCs w:val="22"/>
              </w:rPr>
            </w:pPr>
            <w:r>
              <w:rPr>
                <w:sz w:val="22"/>
              </w:rPr>
              <w:t>If so, please provide details below</w:t>
            </w:r>
          </w:p>
        </w:tc>
        <w:tc>
          <w:tcPr>
            <w:tcW w:w="1418" w:type="dxa"/>
            <w:shd w:val="clear" w:color="auto" w:fill="auto"/>
          </w:tcPr>
          <w:p w14:paraId="6A96A3DD">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rPr>
                <w:rFonts w:cs="Arial"/>
                <w:sz w:val="22"/>
                <w:szCs w:val="22"/>
              </w:rPr>
            </w:sdtEndPr>
            <w:sdtContent>
              <w:p w14:paraId="30193C2A">
                <w:pPr>
                  <w:jc w:val="center"/>
                  <w:rPr>
                    <w:rFonts w:cs="Arial"/>
                    <w:sz w:val="22"/>
                    <w:szCs w:val="22"/>
                  </w:rPr>
                </w:pPr>
                <w:r>
                  <w:rPr>
                    <w:rFonts w:ascii="MS Gothic" w:hAnsi="MS Gothic" w:eastAsia="MS Gothic" w:cs="Arial"/>
                    <w:sz w:val="22"/>
                    <w:szCs w:val="22"/>
                    <w:lang w:val="en-GB" w:eastAsia="en-GB" w:bidi="ar-SA"/>
                  </w:rPr>
                  <w:t>☒</w:t>
                </w:r>
              </w:p>
            </w:sdtContent>
          </w:sdt>
        </w:tc>
        <w:tc>
          <w:tcPr>
            <w:tcW w:w="1417" w:type="dxa"/>
            <w:shd w:val="clear" w:color="auto" w:fill="auto"/>
          </w:tcPr>
          <w:p w14:paraId="5325D9CB">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rPr>
                <w:rFonts w:cs="Arial"/>
                <w:sz w:val="22"/>
                <w:szCs w:val="22"/>
              </w:rPr>
            </w:sdtEndPr>
            <w:sdtContent>
              <w:p w14:paraId="6E2125F9">
                <w:pPr>
                  <w:jc w:val="center"/>
                  <w:rPr>
                    <w:rFonts w:cs="Arial"/>
                    <w:sz w:val="22"/>
                    <w:szCs w:val="22"/>
                  </w:rPr>
                </w:pPr>
                <w:r>
                  <w:rPr>
                    <w:rFonts w:ascii="MS Gothic" w:hAnsi="MS Gothic" w:eastAsia="MS Gothic" w:cs="Arial"/>
                    <w:sz w:val="22"/>
                    <w:szCs w:val="22"/>
                  </w:rPr>
                  <w:t>☐</w:t>
                </w:r>
              </w:p>
            </w:sdtContent>
          </w:sdt>
        </w:tc>
      </w:tr>
      <w:tr w14:paraId="3EE898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2" w:hRule="atLeast"/>
        </w:trPr>
        <w:tc>
          <w:tcPr>
            <w:tcW w:w="9781" w:type="dxa"/>
            <w:gridSpan w:val="3"/>
            <w:shd w:val="clear" w:color="auto" w:fill="auto"/>
          </w:tcPr>
          <w:p w14:paraId="7C2C0A06">
            <w:pPr>
              <w:rPr>
                <w:i/>
                <w:sz w:val="18"/>
                <w:szCs w:val="18"/>
              </w:rPr>
            </w:pPr>
            <w:r>
              <w:rPr>
                <w:i/>
                <w:sz w:val="18"/>
                <w:szCs w:val="18"/>
              </w:rPr>
              <w:t>Text box will expand</w:t>
            </w:r>
          </w:p>
          <w:p w14:paraId="40898F5A">
            <w:pPr>
              <w:rPr>
                <w:sz w:val="18"/>
                <w:szCs w:val="18"/>
              </w:rPr>
            </w:pPr>
          </w:p>
          <w:p w14:paraId="784D3D3E">
            <w:pPr>
              <w:rPr>
                <w:sz w:val="18"/>
                <w:szCs w:val="18"/>
              </w:rPr>
            </w:pPr>
          </w:p>
          <w:p w14:paraId="463373A7">
            <w:pPr>
              <w:rPr>
                <w:sz w:val="18"/>
                <w:szCs w:val="18"/>
              </w:rPr>
            </w:pPr>
          </w:p>
        </w:tc>
      </w:tr>
      <w:tr w14:paraId="7E997E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9781" w:type="dxa"/>
            <w:gridSpan w:val="3"/>
            <w:tcBorders>
              <w:top w:val="nil"/>
              <w:left w:val="nil"/>
              <w:bottom w:val="nil"/>
              <w:right w:val="nil"/>
            </w:tcBorders>
            <w:shd w:val="clear" w:color="auto" w:fill="auto"/>
          </w:tcPr>
          <w:p w14:paraId="7C2A5205">
            <w:pPr>
              <w:jc w:val="right"/>
              <w:rPr>
                <w:rFonts w:cs="Arial"/>
                <w:b/>
              </w:rPr>
            </w:pPr>
            <w:r>
              <w:rPr>
                <w:rFonts w:cs="Arial"/>
                <w:b/>
              </w:rPr>
              <w:t xml:space="preserve">Tick </w:t>
            </w:r>
            <w:r>
              <w:rPr>
                <w:rFonts w:ascii="Agency FB" w:hAnsi="Agency FB" w:cs="Arial"/>
                <w:b/>
              </w:rPr>
              <w:t>√</w:t>
            </w:r>
          </w:p>
        </w:tc>
      </w:tr>
      <w:tr w14:paraId="4A621E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6184C841">
            <w:pPr>
              <w:rPr>
                <w:rFonts w:cs="Arial"/>
                <w:sz w:val="22"/>
                <w:szCs w:val="22"/>
              </w:rPr>
            </w:pPr>
            <w:r>
              <w:rPr>
                <w:rFonts w:cs="Arial"/>
                <w:sz w:val="22"/>
                <w:szCs w:val="22"/>
              </w:rPr>
              <w:t>I understand that:</w:t>
            </w:r>
          </w:p>
        </w:tc>
        <w:tc>
          <w:tcPr>
            <w:tcW w:w="1418" w:type="dxa"/>
            <w:tcBorders>
              <w:top w:val="single" w:color="auto" w:sz="4" w:space="0"/>
              <w:left w:val="single" w:color="auto" w:sz="4" w:space="0"/>
            </w:tcBorders>
            <w:shd w:val="clear" w:color="auto" w:fill="F1F1F1" w:themeFill="background1" w:themeFillShade="F2"/>
          </w:tcPr>
          <w:p w14:paraId="3E034D3D">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1FB6FF05">
            <w:pPr>
              <w:rPr>
                <w:rFonts w:cs="Arial"/>
                <w:sz w:val="22"/>
                <w:szCs w:val="22"/>
              </w:rPr>
            </w:pPr>
            <w:r>
              <w:rPr>
                <w:rFonts w:cs="Arial"/>
                <w:sz w:val="22"/>
                <w:szCs w:val="22"/>
              </w:rPr>
              <w:t>NO</w:t>
            </w:r>
          </w:p>
        </w:tc>
      </w:tr>
      <w:tr w14:paraId="320D77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6946" w:type="dxa"/>
            <w:shd w:val="clear" w:color="auto" w:fill="F1F1F1" w:themeFill="background1" w:themeFillShade="F2"/>
          </w:tcPr>
          <w:p w14:paraId="3145BE2D">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5B9D944B">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rPr>
              <w:rFonts w:cs="Arial"/>
              <w:sz w:val="22"/>
              <w:szCs w:val="22"/>
            </w:rPr>
          </w:sdtEndPr>
          <w:sdtContent>
            <w:tc>
              <w:tcPr>
                <w:tcW w:w="1418" w:type="dxa"/>
                <w:shd w:val="clear" w:color="auto" w:fill="auto"/>
              </w:tcPr>
              <w:p w14:paraId="474EFA2E">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1144885060"/>
            <w14:checkbox>
              <w14:checked w14:val="0"/>
              <w14:checkedState w14:val="2612" w14:font="MS Gothic"/>
              <w14:uncheckedState w14:val="2610" w14:font="MS Gothic"/>
            </w14:checkbox>
          </w:sdtPr>
          <w:sdtEndPr>
            <w:rPr>
              <w:rFonts w:cs="Arial"/>
              <w:sz w:val="22"/>
              <w:szCs w:val="22"/>
            </w:rPr>
          </w:sdtEndPr>
          <w:sdtContent>
            <w:tc>
              <w:tcPr>
                <w:tcW w:w="1417" w:type="dxa"/>
                <w:shd w:val="clear" w:color="auto" w:fill="auto"/>
              </w:tcPr>
              <w:p w14:paraId="3BE096FF">
                <w:pPr>
                  <w:jc w:val="center"/>
                  <w:rPr>
                    <w:rFonts w:cs="Arial"/>
                    <w:sz w:val="22"/>
                    <w:szCs w:val="22"/>
                  </w:rPr>
                </w:pPr>
                <w:r>
                  <w:rPr>
                    <w:rFonts w:ascii="MS Gothic" w:hAnsi="MS Gothic" w:eastAsia="MS Gothic" w:cs="Arial"/>
                    <w:sz w:val="22"/>
                    <w:szCs w:val="22"/>
                  </w:rPr>
                  <w:t>☐</w:t>
                </w:r>
              </w:p>
            </w:tc>
          </w:sdtContent>
        </w:sdt>
      </w:tr>
      <w:tr w14:paraId="486D43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6946" w:type="dxa"/>
            <w:shd w:val="clear" w:color="auto" w:fill="F1F1F1" w:themeFill="background1" w:themeFillShade="F2"/>
          </w:tcPr>
          <w:p w14:paraId="49B8B72D">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r>
              <w:fldChar w:fldCharType="begin"/>
            </w:r>
            <w:r>
              <w:instrText xml:space="preserve"> HYPERLINK "https://www.uwtsd.ac.uk/iiced/protecting-innovation-and-creativity---intellectual-property/" </w:instrText>
            </w:r>
            <w:r>
              <w:fldChar w:fldCharType="separate"/>
            </w:r>
            <w:r>
              <w:rPr>
                <w:rStyle w:val="19"/>
              </w:rPr>
              <w:t>https://www.uwtsd.ac.uk/iiced/protecting-innovation-and-creativity---intellectual-property/</w:t>
            </w:r>
            <w:r>
              <w:rPr>
                <w:rStyle w:val="19"/>
              </w:rPr>
              <w:fldChar w:fldCharType="end"/>
            </w:r>
          </w:p>
          <w:p w14:paraId="4E5827CB">
            <w:pPr>
              <w:rPr>
                <w:rFonts w:ascii="Calibri" w:hAnsi="Calibri"/>
              </w:rPr>
            </w:pPr>
          </w:p>
        </w:tc>
        <w:tc>
          <w:tcPr>
            <w:tcW w:w="1418" w:type="dxa"/>
            <w:shd w:val="clear" w:color="auto" w:fill="auto"/>
          </w:tcPr>
          <w:p w14:paraId="26FB668C">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c>
          <w:tcPr>
            <w:tcW w:w="1417" w:type="dxa"/>
            <w:shd w:val="clear" w:color="auto" w:fill="auto"/>
          </w:tcPr>
          <w:p w14:paraId="1599CD7F">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r>
    </w:tbl>
    <w:p w14:paraId="22BBA35C">
      <w:pPr>
        <w:rPr>
          <w:rFonts w:cs="Arial"/>
          <w:sz w:val="22"/>
          <w:szCs w:val="22"/>
        </w:rPr>
      </w:pPr>
    </w:p>
    <w:tbl>
      <w:tblPr>
        <w:tblStyle w:val="14"/>
        <w:tblW w:w="9747"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9747"/>
      </w:tblGrid>
      <w:tr w14:paraId="535FDB5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9747" w:type="dxa"/>
          </w:tcPr>
          <w:p w14:paraId="1376D7B7">
            <w:pPr>
              <w:rPr>
                <w:rFonts w:cs="Arial"/>
                <w:sz w:val="22"/>
                <w:szCs w:val="22"/>
              </w:rPr>
            </w:pPr>
          </w:p>
          <w:p w14:paraId="513E5268">
            <w:pPr>
              <w:rPr>
                <w:rFonts w:cs="Arial"/>
                <w:b/>
                <w:sz w:val="22"/>
                <w:szCs w:val="22"/>
              </w:rPr>
            </w:pPr>
            <w:r>
              <w:rPr>
                <w:rFonts w:cs="Arial"/>
                <w:b/>
                <w:sz w:val="22"/>
                <w:szCs w:val="22"/>
              </w:rPr>
              <w:t>Student Signature</w:t>
            </w:r>
          </w:p>
          <w:p w14:paraId="5EEC5232">
            <w:pPr>
              <w:rPr>
                <w:rFonts w:cs="Arial"/>
                <w:sz w:val="22"/>
                <w:szCs w:val="22"/>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55"/>
              <w:gridCol w:w="6053"/>
              <w:gridCol w:w="1413"/>
            </w:tblGrid>
            <w:tr w14:paraId="35E70B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4" w:type="dxa"/>
                  <w:shd w:val="clear" w:color="auto" w:fill="F1F1F1" w:themeFill="background1" w:themeFillShade="F2"/>
                </w:tcPr>
                <w:p w14:paraId="2B1A3004">
                  <w:pPr>
                    <w:rPr>
                      <w:rFonts w:cs="Arial"/>
                      <w:sz w:val="22"/>
                      <w:szCs w:val="22"/>
                    </w:rPr>
                  </w:pPr>
                </w:p>
                <w:p w14:paraId="26B0D9DA">
                  <w:pPr>
                    <w:rPr>
                      <w:rFonts w:cs="Arial"/>
                      <w:sz w:val="22"/>
                      <w:szCs w:val="22"/>
                    </w:rPr>
                  </w:pPr>
                  <w:r>
                    <w:rPr>
                      <w:rFonts w:cs="Arial"/>
                      <w:sz w:val="22"/>
                      <w:szCs w:val="22"/>
                    </w:rPr>
                    <w:t>Signature or Print Name:</w:t>
                  </w:r>
                </w:p>
                <w:p w14:paraId="69A25636">
                  <w:pPr>
                    <w:rPr>
                      <w:rFonts w:cs="Arial"/>
                      <w:sz w:val="22"/>
                      <w:szCs w:val="22"/>
                    </w:rPr>
                  </w:pPr>
                </w:p>
              </w:tc>
              <w:tc>
                <w:tcPr>
                  <w:tcW w:w="6265" w:type="dxa"/>
                </w:tcPr>
                <w:p w14:paraId="13D2438A">
                  <w:pPr>
                    <w:jc w:val="center"/>
                    <w:rPr>
                      <w:rFonts w:hint="default" w:eastAsia="宋体" w:cs="Arial"/>
                      <w:sz w:val="22"/>
                      <w:szCs w:val="22"/>
                      <w:lang w:val="en-US" w:eastAsia="zh-CN"/>
                    </w:rPr>
                  </w:pPr>
                  <w:r>
                    <w:rPr>
                      <w:rFonts w:cs="Arial"/>
                      <w:sz w:val="22"/>
                      <w:szCs w:val="22"/>
                    </w:rPr>
                    <w:br w:type="textWrapping"/>
                  </w:r>
                  <w:r>
                    <w:rPr>
                      <w:rFonts w:hint="eastAsia" w:eastAsia="宋体" w:cs="Arial"/>
                      <w:sz w:val="22"/>
                      <w:szCs w:val="22"/>
                      <w:lang w:val="en-US" w:eastAsia="zh-CN"/>
                    </w:rPr>
                    <w:t>Weicheng Lai</w:t>
                  </w:r>
                </w:p>
              </w:tc>
              <w:tc>
                <w:tcPr>
                  <w:tcW w:w="1417" w:type="dxa"/>
                </w:tcPr>
                <w:p w14:paraId="0475CA85">
                  <w:pPr>
                    <w:rPr>
                      <w:rFonts w:cs="Arial"/>
                      <w:sz w:val="22"/>
                      <w:szCs w:val="22"/>
                    </w:rPr>
                  </w:pPr>
                  <w:r>
                    <w:rPr>
                      <w:rFonts w:cs="Arial"/>
                      <w:sz w:val="22"/>
                      <w:szCs w:val="22"/>
                    </w:rPr>
                    <w:t>Date:</w:t>
                  </w:r>
                </w:p>
                <w:p w14:paraId="688CEC3D">
                  <w:pPr>
                    <w:rPr>
                      <w:rFonts w:cs="Arial"/>
                      <w:sz w:val="22"/>
                      <w:szCs w:val="22"/>
                    </w:rPr>
                  </w:pPr>
                </w:p>
                <w:p w14:paraId="23FDFFF8">
                  <w:pPr>
                    <w:rPr>
                      <w:rFonts w:hint="default" w:eastAsia="宋体" w:cs="Arial"/>
                      <w:sz w:val="22"/>
                      <w:szCs w:val="22"/>
                      <w:lang w:val="en-US" w:eastAsia="zh-CN"/>
                    </w:rPr>
                  </w:pPr>
                  <w:r>
                    <w:rPr>
                      <w:rFonts w:hint="eastAsia" w:eastAsia="宋体" w:cs="Arial"/>
                      <w:sz w:val="22"/>
                      <w:szCs w:val="22"/>
                      <w:lang w:val="en-US" w:eastAsia="zh-CN"/>
                    </w:rPr>
                    <w:t>01/09/2025</w:t>
                  </w:r>
                </w:p>
              </w:tc>
            </w:tr>
          </w:tbl>
          <w:p w14:paraId="7BAE8739">
            <w:pPr>
              <w:rPr>
                <w:rFonts w:cs="Arial"/>
                <w:sz w:val="22"/>
                <w:szCs w:val="22"/>
              </w:rPr>
            </w:pPr>
          </w:p>
          <w:p w14:paraId="7186971B">
            <w:pPr>
              <w:rPr>
                <w:rFonts w:cs="Arial"/>
                <w:sz w:val="22"/>
                <w:szCs w:val="22"/>
              </w:rPr>
            </w:pPr>
          </w:p>
        </w:tc>
      </w:tr>
    </w:tbl>
    <w:p w14:paraId="1F6DC404">
      <w:pPr>
        <w:rPr>
          <w:rFonts w:cs="Arial"/>
          <w:sz w:val="22"/>
          <w:szCs w:val="22"/>
        </w:rPr>
      </w:pPr>
    </w:p>
    <w:p w14:paraId="51057E28">
      <w:pPr>
        <w:rPr>
          <w:rFonts w:cs="Arial"/>
          <w:sz w:val="22"/>
          <w:szCs w:val="22"/>
        </w:rPr>
      </w:pPr>
      <w:r>
        <w:rPr>
          <w:rFonts w:cs="Arial"/>
          <w:sz w:val="22"/>
          <w:szCs w:val="22"/>
        </w:rPr>
        <w:br w:type="page"/>
      </w:r>
    </w:p>
    <w:p w14:paraId="5AC5A0EB">
      <w:pPr>
        <w:rPr>
          <w:rFonts w:cs="Arial"/>
          <w:sz w:val="22"/>
          <w:szCs w:val="22"/>
        </w:rPr>
      </w:pPr>
    </w:p>
    <w:p w14:paraId="6ABB2FC9">
      <w:pPr>
        <w:rPr>
          <w:rFonts w:cs="Arial"/>
          <w:sz w:val="22"/>
          <w:szCs w:val="22"/>
        </w:rPr>
      </w:pPr>
    </w:p>
    <w:p w14:paraId="2A2518BF">
      <w:pPr>
        <w:ind w:left="-142"/>
        <w:rPr>
          <w:rFonts w:cs="Arial"/>
          <w:sz w:val="22"/>
          <w:szCs w:val="22"/>
        </w:rPr>
      </w:pPr>
      <w:r>
        <w:rPr>
          <w:rFonts w:cs="Arial"/>
          <w:b/>
          <w:bCs/>
          <w:sz w:val="22"/>
          <w:szCs w:val="22"/>
        </w:rPr>
        <w:t>Supervisory Team</w:t>
      </w:r>
    </w:p>
    <w:p w14:paraId="6C333259">
      <w:pPr>
        <w:rPr>
          <w:rFonts w:cs="Arial"/>
          <w:sz w:val="22"/>
          <w:szCs w:val="22"/>
        </w:rPr>
      </w:pPr>
    </w:p>
    <w:p w14:paraId="031F6DCE">
      <w:pPr>
        <w:ind w:left="180"/>
        <w:rPr>
          <w:rFonts w:cs="Arial"/>
          <w:b/>
          <w:sz w:val="22"/>
          <w:szCs w:val="22"/>
        </w:rPr>
      </w:pPr>
    </w:p>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47"/>
      </w:tblGrid>
      <w:tr w14:paraId="6DEC14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shd w:val="clear" w:color="auto" w:fill="F1F1F1" w:themeFill="background1" w:themeFillShade="F2"/>
          </w:tcPr>
          <w:p w14:paraId="67C439D8">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14:paraId="2A5827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tcPr>
          <w:p w14:paraId="14E0F47B">
            <w:pPr>
              <w:rPr>
                <w:rFonts w:cs="Arial"/>
                <w:b/>
                <w:sz w:val="22"/>
                <w:szCs w:val="22"/>
              </w:rPr>
            </w:pPr>
          </w:p>
          <w:p w14:paraId="150FD3CD">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MS Gothic"/>
                    <w:b/>
                    <w:sz w:val="22"/>
                    <w:szCs w:val="22"/>
                  </w:rPr>
                  <w:t>☐</w:t>
                </w:r>
              </w:sdtContent>
            </w:sdt>
          </w:p>
          <w:p w14:paraId="1B3D0D08">
            <w:pPr>
              <w:rPr>
                <w:rFonts w:cs="Arial"/>
                <w:b/>
                <w:sz w:val="22"/>
                <w:szCs w:val="22"/>
              </w:rPr>
            </w:pPr>
          </w:p>
          <w:p w14:paraId="1029B02B">
            <w:pPr>
              <w:rPr>
                <w:rFonts w:cs="Arial"/>
                <w:b/>
                <w:sz w:val="22"/>
                <w:szCs w:val="22"/>
              </w:rPr>
            </w:pPr>
          </w:p>
        </w:tc>
      </w:tr>
    </w:tbl>
    <w:p w14:paraId="12E8B255">
      <w:pPr>
        <w:rPr>
          <w:rFonts w:cs="Arial"/>
          <w:sz w:val="22"/>
          <w:szCs w:val="22"/>
        </w:rPr>
      </w:pPr>
    </w:p>
    <w:p w14:paraId="040E15F0">
      <w:pPr>
        <w:rPr>
          <w:rFonts w:cs="Arial"/>
          <w:b/>
          <w:sz w:val="22"/>
          <w:szCs w:val="22"/>
        </w:rPr>
      </w:pPr>
      <w:r>
        <w:rPr>
          <w:rFonts w:cs="Arial"/>
          <w:b/>
          <w:sz w:val="22"/>
          <w:szCs w:val="22"/>
        </w:rPr>
        <w:t>Authorisation</w:t>
      </w:r>
    </w:p>
    <w:p w14:paraId="2B6C4E5D">
      <w:pPr>
        <w:rPr>
          <w:rFonts w:cs="Arial"/>
          <w:sz w:val="22"/>
          <w:szCs w:val="22"/>
        </w:rPr>
      </w:pPr>
    </w:p>
    <w:tbl>
      <w:tblPr>
        <w:tblStyle w:val="14"/>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52"/>
        <w:gridCol w:w="5387"/>
        <w:gridCol w:w="1842"/>
      </w:tblGrid>
      <w:tr w14:paraId="790100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shd w:val="clear" w:color="auto" w:fill="F1F1F1" w:themeFill="background1" w:themeFillShade="F2"/>
          </w:tcPr>
          <w:p w14:paraId="750705C5">
            <w:pPr>
              <w:rPr>
                <w:rFonts w:cs="Arial"/>
                <w:sz w:val="22"/>
                <w:szCs w:val="22"/>
              </w:rPr>
            </w:pPr>
            <w:r>
              <w:rPr>
                <w:rFonts w:cs="Arial"/>
                <w:sz w:val="22"/>
                <w:szCs w:val="22"/>
              </w:rPr>
              <w:t>Director of Studies</w:t>
            </w:r>
          </w:p>
        </w:tc>
        <w:tc>
          <w:tcPr>
            <w:tcW w:w="5387" w:type="dxa"/>
          </w:tcPr>
          <w:p w14:paraId="29755B6A">
            <w:pPr>
              <w:rPr>
                <w:rFonts w:cs="Arial"/>
                <w:sz w:val="22"/>
                <w:szCs w:val="22"/>
              </w:rPr>
            </w:pPr>
            <w:r>
              <w:rPr>
                <w:rFonts w:cs="Arial"/>
                <w:sz w:val="22"/>
                <w:szCs w:val="22"/>
              </w:rPr>
              <w:t>Signature or Print Name:</w:t>
            </w:r>
          </w:p>
          <w:p w14:paraId="1640CD4C">
            <w:pPr>
              <w:rPr>
                <w:rFonts w:cs="Arial"/>
                <w:sz w:val="22"/>
                <w:szCs w:val="22"/>
              </w:rPr>
            </w:pPr>
          </w:p>
          <w:p w14:paraId="4F10A3A4">
            <w:pPr>
              <w:rPr>
                <w:rFonts w:cs="Arial"/>
                <w:sz w:val="22"/>
                <w:szCs w:val="22"/>
              </w:rPr>
            </w:pPr>
          </w:p>
          <w:p w14:paraId="4C62ABE9">
            <w:pPr>
              <w:rPr>
                <w:rFonts w:cs="Arial"/>
                <w:sz w:val="22"/>
                <w:szCs w:val="22"/>
              </w:rPr>
            </w:pPr>
          </w:p>
        </w:tc>
        <w:tc>
          <w:tcPr>
            <w:tcW w:w="1842" w:type="dxa"/>
          </w:tcPr>
          <w:p w14:paraId="0069E19D">
            <w:pPr>
              <w:rPr>
                <w:rFonts w:cs="Arial"/>
                <w:sz w:val="22"/>
                <w:szCs w:val="22"/>
              </w:rPr>
            </w:pPr>
            <w:r>
              <w:rPr>
                <w:rFonts w:cs="Arial"/>
                <w:sz w:val="22"/>
                <w:szCs w:val="22"/>
              </w:rPr>
              <w:t>Date:</w:t>
            </w:r>
          </w:p>
        </w:tc>
      </w:tr>
      <w:tr w14:paraId="0F512D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shd w:val="clear" w:color="auto" w:fill="F1F1F1" w:themeFill="background1" w:themeFillShade="F2"/>
          </w:tcPr>
          <w:p w14:paraId="368E5DF8">
            <w:pPr>
              <w:rPr>
                <w:rFonts w:cs="Arial"/>
                <w:sz w:val="22"/>
                <w:szCs w:val="22"/>
              </w:rPr>
            </w:pPr>
            <w:r>
              <w:rPr>
                <w:rFonts w:cs="Arial"/>
                <w:sz w:val="22"/>
                <w:szCs w:val="22"/>
              </w:rPr>
              <w:t>Institute Manager of Research Degrees</w:t>
            </w:r>
          </w:p>
          <w:p w14:paraId="0EB7C658">
            <w:pPr>
              <w:rPr>
                <w:rFonts w:cs="Arial"/>
                <w:sz w:val="22"/>
                <w:szCs w:val="22"/>
              </w:rPr>
            </w:pPr>
          </w:p>
        </w:tc>
        <w:tc>
          <w:tcPr>
            <w:tcW w:w="5387" w:type="dxa"/>
          </w:tcPr>
          <w:p w14:paraId="3B40C9E1">
            <w:pPr>
              <w:rPr>
                <w:rFonts w:cs="Arial"/>
                <w:sz w:val="22"/>
                <w:szCs w:val="22"/>
              </w:rPr>
            </w:pPr>
            <w:r>
              <w:rPr>
                <w:rFonts w:cs="Arial"/>
                <w:sz w:val="22"/>
                <w:szCs w:val="22"/>
              </w:rPr>
              <w:t>Signature or Print Name:</w:t>
            </w:r>
          </w:p>
          <w:p w14:paraId="3F8D8126">
            <w:pPr>
              <w:rPr>
                <w:rFonts w:cs="Arial"/>
                <w:sz w:val="22"/>
                <w:szCs w:val="22"/>
              </w:rPr>
            </w:pPr>
          </w:p>
          <w:p w14:paraId="32A0626D">
            <w:pPr>
              <w:rPr>
                <w:rFonts w:cs="Arial"/>
                <w:sz w:val="22"/>
                <w:szCs w:val="22"/>
              </w:rPr>
            </w:pPr>
          </w:p>
          <w:p w14:paraId="4DECBE59">
            <w:pPr>
              <w:rPr>
                <w:rFonts w:cs="Arial"/>
                <w:sz w:val="22"/>
                <w:szCs w:val="22"/>
              </w:rPr>
            </w:pPr>
          </w:p>
        </w:tc>
        <w:tc>
          <w:tcPr>
            <w:tcW w:w="1842" w:type="dxa"/>
          </w:tcPr>
          <w:p w14:paraId="0E4F3281">
            <w:pPr>
              <w:rPr>
                <w:rFonts w:cs="Arial"/>
                <w:sz w:val="22"/>
                <w:szCs w:val="22"/>
              </w:rPr>
            </w:pPr>
            <w:r>
              <w:rPr>
                <w:rFonts w:cs="Arial"/>
                <w:sz w:val="22"/>
                <w:szCs w:val="22"/>
              </w:rPr>
              <w:t>Date:</w:t>
            </w:r>
          </w:p>
        </w:tc>
      </w:tr>
    </w:tbl>
    <w:p w14:paraId="385E4CC7">
      <w:pPr>
        <w:rPr>
          <w:rFonts w:cs="Arial"/>
          <w:sz w:val="22"/>
          <w:szCs w:val="22"/>
        </w:rPr>
      </w:pPr>
    </w:p>
    <w:sectPr>
      <w:headerReference r:id="rId3" w:type="default"/>
      <w:footerReference r:id="rId4" w:type="default"/>
      <w:pgSz w:w="11906" w:h="16838"/>
      <w:pgMar w:top="1440" w:right="1440" w:bottom="1440" w:left="1440" w:header="284" w:footer="709"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auto"/>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微软雅黑">
    <w:panose1 w:val="020B0503020204020204"/>
    <w:charset w:val="86"/>
    <w:family w:val="swiss"/>
    <w:pitch w:val="default"/>
    <w:sig w:usb0="80000287" w:usb1="2ACF3C50" w:usb2="00000016" w:usb3="00000000" w:csb0="0004001F" w:csb1="00000000"/>
  </w:font>
  <w:font w:name="Agency FB">
    <w:panose1 w:val="020B0503020202020204"/>
    <w:charset w:val="4D"/>
    <w:family w:val="swiss"/>
    <w:pitch w:val="default"/>
    <w:sig w:usb0="00000003" w:usb1="00000000" w:usb2="00000000" w:usb3="00000000" w:csb0="20000001"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91110303"/>
    </w:sdtPr>
    <w:sdtContent>
      <w:p w14:paraId="352D1556">
        <w:pPr>
          <w:pStyle w:val="8"/>
          <w:jc w:val="center"/>
        </w:pPr>
        <w:r>
          <w:fldChar w:fldCharType="begin"/>
        </w:r>
        <w:r>
          <w:instrText xml:space="preserve"> PAGE   \* MERGEFORMAT </w:instrText>
        </w:r>
        <w:r>
          <w:fldChar w:fldCharType="separate"/>
        </w:r>
        <w:r>
          <w:t>1</w:t>
        </w:r>
        <w:r>
          <w:fldChar w:fldCharType="end"/>
        </w:r>
      </w:p>
    </w:sdtContent>
  </w:sdt>
  <w:p w14:paraId="1D984B47">
    <w:pPr>
      <w:pStyle w:val="8"/>
      <w:tabs>
        <w:tab w:val="center" w:pos="4536"/>
        <w:tab w:val="left" w:pos="7371"/>
        <w:tab w:val="clear" w:pos="4320"/>
      </w:tabs>
      <w:ind w:right="-755"/>
    </w:pPr>
    <w:r>
      <w:t>November 2020                                                                                                  PG1 Full Research Proposal</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ABF5B29">
    <w:pPr>
      <w:pStyle w:val="9"/>
    </w:pPr>
    <w:r>
      <w:drawing>
        <wp:anchor distT="0" distB="0" distL="114300" distR="114300" simplePos="0" relativeHeight="251659264" behindDoc="0" locked="0" layoutInCell="1" allowOverlap="1">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pPr>
      <w:pStyle w:val="9"/>
      <w:jc w:val="right"/>
    </w:pPr>
    <w:r>
      <w:tab/>
    </w:r>
    <w:r>
      <w:tab/>
    </w:r>
    <w:r>
      <w:tab/>
    </w:r>
    <w:r>
      <w:tab/>
    </w:r>
    <w:r>
      <w:t>Appendix PG1</w:t>
    </w:r>
  </w:p>
  <w:p w14:paraId="43B41778">
    <w:pPr>
      <w:pStyle w:val="9"/>
    </w:pPr>
  </w:p>
  <w:p w14:paraId="6EF539CC">
    <w:pPr>
      <w:pStyle w:val="9"/>
    </w:pPr>
  </w:p>
  <w:p w14:paraId="50B733D4">
    <w:pPr>
      <w:pStyle w:val="9"/>
    </w:pPr>
  </w:p>
  <w:p w14:paraId="1F4C3B70">
    <w:pPr>
      <w:pStyle w:val="9"/>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B41B3D9"/>
    <w:multiLevelType w:val="singleLevel"/>
    <w:tmpl w:val="CB41B3D9"/>
    <w:lvl w:ilvl="0" w:tentative="0">
      <w:start w:val="1"/>
      <w:numFmt w:val="decimal"/>
      <w:suff w:val="space"/>
      <w:lvlText w:val="%1."/>
      <w:lvlJc w:val="left"/>
    </w:lvl>
  </w:abstractNum>
  <w:abstractNum w:abstractNumId="1">
    <w:nsid w:val="D5CC24F2"/>
    <w:multiLevelType w:val="singleLevel"/>
    <w:tmpl w:val="D5CC24F2"/>
    <w:lvl w:ilvl="0" w:tentative="0">
      <w:start w:val="1"/>
      <w:numFmt w:val="decimal"/>
      <w:suff w:val="space"/>
      <w:lvlText w:val="%1."/>
      <w:lvlJc w:val="left"/>
    </w:lvl>
  </w:abstractNum>
  <w:abstractNum w:abstractNumId="2">
    <w:nsid w:val="DBDB2A2D"/>
    <w:multiLevelType w:val="singleLevel"/>
    <w:tmpl w:val="DBDB2A2D"/>
    <w:lvl w:ilvl="0" w:tentative="0">
      <w:start w:val="1"/>
      <w:numFmt w:val="decimal"/>
      <w:suff w:val="space"/>
      <w:lvlText w:val="%1."/>
      <w:lvlJc w:val="left"/>
    </w:lvl>
  </w:abstractNum>
  <w:abstractNum w:abstractNumId="3">
    <w:nsid w:val="04BA1426"/>
    <w:multiLevelType w:val="multilevel"/>
    <w:tmpl w:val="04BA1426"/>
    <w:lvl w:ilvl="0" w:tentative="0">
      <w:start w:val="1"/>
      <w:numFmt w:val="bullet"/>
      <w:lvlText w:val=""/>
      <w:lvlJc w:val="left"/>
      <w:pPr>
        <w:ind w:left="1440" w:hanging="360"/>
      </w:pPr>
      <w:rPr>
        <w:rFonts w:hint="default" w:ascii="Symbol" w:hAnsi="Symbol"/>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4">
    <w:nsid w:val="128B0ABE"/>
    <w:multiLevelType w:val="multilevel"/>
    <w:tmpl w:val="128B0AB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2C43520A"/>
    <w:multiLevelType w:val="singleLevel"/>
    <w:tmpl w:val="2C43520A"/>
    <w:lvl w:ilvl="0" w:tentative="0">
      <w:start w:val="1"/>
      <w:numFmt w:val="decimal"/>
      <w:suff w:val="space"/>
      <w:lvlText w:val="%1."/>
      <w:lvlJc w:val="left"/>
    </w:lvl>
  </w:abstractNum>
  <w:abstractNum w:abstractNumId="6">
    <w:nsid w:val="375F017F"/>
    <w:multiLevelType w:val="multilevel"/>
    <w:tmpl w:val="375F017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71731D98"/>
    <w:multiLevelType w:val="multilevel"/>
    <w:tmpl w:val="71731D9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780352D0"/>
    <w:multiLevelType w:val="multilevel"/>
    <w:tmpl w:val="780352D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3"/>
  </w:num>
  <w:num w:numId="3">
    <w:abstractNumId w:val="6"/>
  </w:num>
  <w:num w:numId="4">
    <w:abstractNumId w:val="0"/>
  </w:num>
  <w:num w:numId="5">
    <w:abstractNumId w:val="8"/>
  </w:num>
  <w:num w:numId="6">
    <w:abstractNumId w:val="2"/>
  </w:num>
  <w:num w:numId="7">
    <w:abstractNumId w:val="1"/>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720"/>
  <w:displayHorizontalDrawingGridEvery w:val="1"/>
  <w:displayVerticalDrawingGridEvery w:val="1"/>
  <w:doNotUseMarginsForDrawingGridOrigin w:val="1"/>
  <w:drawingGridHorizontalOrigin w:val="1800"/>
  <w:drawingGridVerticalOrigin w:val="1440"/>
  <w:noPunctuationKerning w:val="1"/>
  <w:characterSpacingControl w:val="doNotCompress"/>
  <w:compat>
    <w:doNotExpandShiftReturn/>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0000"/>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D71EA"/>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39F3"/>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3457"/>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7757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 w:val="08477A0B"/>
    <w:rsid w:val="10A18646"/>
    <w:rsid w:val="1A0062D3"/>
    <w:rsid w:val="1F2E72F3"/>
    <w:rsid w:val="3A13BD2A"/>
    <w:rsid w:val="3AFF2909"/>
    <w:rsid w:val="3FFF0FD4"/>
    <w:rsid w:val="5D443CF5"/>
    <w:rsid w:val="6249D3FD"/>
    <w:rsid w:val="648F5856"/>
    <w:rsid w:val="73CA1044"/>
    <w:rsid w:val="7930396C"/>
    <w:rsid w:val="7F211F44"/>
    <w:rsid w:val="C9FE2857"/>
    <w:rsid w:val="F7F7F1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nhideWhenUsed="0" w:uiPriority="0" w:name="footnote text"/>
    <w:lsdException w:qFormat="1" w:uiPriority="99" w:semiHidden="0" w:name="annotation text"/>
    <w:lsdException w:qFormat="1" w:unhideWhenUsed="0" w:uiPriority="0" w:semiHidden="0"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nhideWhenUsed="0" w:uiPriority="0"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22" w:semiHidden="0" w:name="Strong"/>
    <w:lsdException w:qFormat="1" w:unhideWhenUsed="0" w:uiPriority="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0"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lang w:val="en-GB" w:eastAsia="en-GB" w:bidi="ar-SA"/>
    </w:rPr>
  </w:style>
  <w:style w:type="paragraph" w:styleId="2">
    <w:name w:val="heading 1"/>
    <w:basedOn w:val="1"/>
    <w:next w:val="1"/>
    <w:qFormat/>
    <w:uiPriority w:val="0"/>
    <w:pPr>
      <w:keepNext/>
      <w:outlineLvl w:val="0"/>
    </w:pPr>
    <w:rPr>
      <w:b/>
    </w:rPr>
  </w:style>
  <w:style w:type="paragraph" w:styleId="3">
    <w:name w:val="heading 2"/>
    <w:basedOn w:val="1"/>
    <w:next w:val="1"/>
    <w:qFormat/>
    <w:uiPriority w:val="0"/>
    <w:pPr>
      <w:keepNext/>
      <w:spacing w:before="240" w:after="60"/>
      <w:outlineLvl w:val="1"/>
    </w:pPr>
    <w:rPr>
      <w:b/>
      <w:i/>
      <w:sz w:val="24"/>
    </w:rPr>
  </w:style>
  <w:style w:type="character" w:default="1" w:styleId="15">
    <w:name w:val="Default Paragraph Font"/>
    <w:semiHidden/>
    <w:unhideWhenUsed/>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4"/>
    <w:unhideWhenUsed/>
    <w:qFormat/>
    <w:uiPriority w:val="99"/>
    <w:rPr>
      <w:lang w:val="zh-CN" w:eastAsia="zh-CN"/>
    </w:rPr>
  </w:style>
  <w:style w:type="paragraph" w:styleId="5">
    <w:name w:val="Body Text"/>
    <w:basedOn w:val="1"/>
    <w:qFormat/>
    <w:uiPriority w:val="0"/>
    <w:pPr>
      <w:jc w:val="both"/>
    </w:pPr>
    <w:rPr>
      <w:b/>
    </w:rPr>
  </w:style>
  <w:style w:type="paragraph" w:styleId="6">
    <w:name w:val="Block Text"/>
    <w:basedOn w:val="1"/>
    <w:qFormat/>
    <w:uiPriority w:val="0"/>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7">
    <w:name w:val="Balloon Text"/>
    <w:basedOn w:val="1"/>
    <w:semiHidden/>
    <w:qFormat/>
    <w:uiPriority w:val="0"/>
    <w:rPr>
      <w:rFonts w:ascii="Tahoma" w:hAnsi="Tahoma" w:cs="Tahoma"/>
      <w:sz w:val="16"/>
      <w:szCs w:val="16"/>
    </w:rPr>
  </w:style>
  <w:style w:type="paragraph" w:styleId="8">
    <w:name w:val="footer"/>
    <w:basedOn w:val="1"/>
    <w:link w:val="26"/>
    <w:qFormat/>
    <w:uiPriority w:val="99"/>
    <w:pPr>
      <w:tabs>
        <w:tab w:val="center" w:pos="4320"/>
        <w:tab w:val="right" w:pos="8640"/>
      </w:tabs>
    </w:pPr>
  </w:style>
  <w:style w:type="paragraph" w:styleId="9">
    <w:name w:val="header"/>
    <w:basedOn w:val="1"/>
    <w:qFormat/>
    <w:uiPriority w:val="0"/>
    <w:pPr>
      <w:tabs>
        <w:tab w:val="center" w:pos="4320"/>
        <w:tab w:val="right" w:pos="8640"/>
      </w:tabs>
    </w:pPr>
  </w:style>
  <w:style w:type="paragraph" w:styleId="10">
    <w:name w:val="footnote text"/>
    <w:basedOn w:val="1"/>
    <w:semiHidden/>
    <w:qFormat/>
    <w:uiPriority w:val="0"/>
  </w:style>
  <w:style w:type="paragraph" w:styleId="11">
    <w:name w:val="Normal (Web)"/>
    <w:basedOn w:val="1"/>
    <w:unhideWhenUsed/>
    <w:qFormat/>
    <w:uiPriority w:val="99"/>
    <w:pPr>
      <w:spacing w:before="100" w:beforeAutospacing="1" w:after="100" w:afterAutospacing="1"/>
    </w:pPr>
    <w:rPr>
      <w:rFonts w:ascii="Times New Roman" w:hAnsi="Times New Roman"/>
      <w:sz w:val="24"/>
      <w:szCs w:val="24"/>
    </w:rPr>
  </w:style>
  <w:style w:type="paragraph" w:styleId="12">
    <w:name w:val="annotation subject"/>
    <w:basedOn w:val="4"/>
    <w:next w:val="4"/>
    <w:link w:val="25"/>
    <w:unhideWhenUsed/>
    <w:qFormat/>
    <w:uiPriority w:val="99"/>
    <w:rPr>
      <w:b/>
      <w:bCs/>
    </w:rPr>
  </w:style>
  <w:style w:type="table" w:styleId="14">
    <w:name w:val="Table Grid"/>
    <w:basedOn w:val="13"/>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basedOn w:val="15"/>
    <w:qFormat/>
    <w:uiPriority w:val="22"/>
    <w:rPr>
      <w:b/>
      <w:bCs/>
    </w:rPr>
  </w:style>
  <w:style w:type="character" w:styleId="17">
    <w:name w:val="FollowedHyperlink"/>
    <w:qFormat/>
    <w:uiPriority w:val="0"/>
    <w:rPr>
      <w:color w:val="800080"/>
      <w:u w:val="single"/>
    </w:rPr>
  </w:style>
  <w:style w:type="character" w:styleId="18">
    <w:name w:val="Emphasis"/>
    <w:basedOn w:val="15"/>
    <w:qFormat/>
    <w:uiPriority w:val="0"/>
    <w:rPr>
      <w:i/>
    </w:rPr>
  </w:style>
  <w:style w:type="character" w:styleId="19">
    <w:name w:val="Hyperlink"/>
    <w:basedOn w:val="15"/>
    <w:qFormat/>
    <w:uiPriority w:val="0"/>
    <w:rPr>
      <w:color w:val="0000FF"/>
      <w:u w:val="single"/>
    </w:rPr>
  </w:style>
  <w:style w:type="character" w:styleId="20">
    <w:name w:val="annotation reference"/>
    <w:unhideWhenUsed/>
    <w:qFormat/>
    <w:uiPriority w:val="99"/>
    <w:rPr>
      <w:sz w:val="16"/>
      <w:szCs w:val="16"/>
    </w:rPr>
  </w:style>
  <w:style w:type="character" w:styleId="21">
    <w:name w:val="footnote reference"/>
    <w:semiHidden/>
    <w:qFormat/>
    <w:uiPriority w:val="0"/>
    <w:rPr>
      <w:vertAlign w:val="superscript"/>
    </w:rPr>
  </w:style>
  <w:style w:type="paragraph" w:customStyle="1" w:styleId="22">
    <w:name w:val="Heading Erasmod"/>
    <w:basedOn w:val="3"/>
    <w:qFormat/>
    <w:uiPriority w:val="0"/>
    <w:pPr>
      <w:pBdr>
        <w:top w:val="single" w:color="auto" w:sz="6" w:space="1"/>
        <w:left w:val="single" w:color="auto" w:sz="6" w:space="1"/>
        <w:bottom w:val="single" w:color="auto" w:sz="6" w:space="1"/>
        <w:right w:val="single" w:color="auto" w:sz="6" w:space="1"/>
      </w:pBdr>
      <w:spacing w:before="0" w:after="120"/>
    </w:pPr>
    <w:rPr>
      <w:i w:val="0"/>
      <w:caps/>
      <w:sz w:val="28"/>
    </w:rPr>
  </w:style>
  <w:style w:type="paragraph" w:customStyle="1" w:styleId="23">
    <w:name w:val="Medium List 2 - Accent 21"/>
    <w:hidden/>
    <w:semiHidden/>
    <w:qFormat/>
    <w:uiPriority w:val="99"/>
    <w:rPr>
      <w:rFonts w:ascii="Arial" w:hAnsi="Arial" w:eastAsia="Times New Roman" w:cs="Times New Roman"/>
      <w:lang w:val="en-GB" w:eastAsia="en-GB" w:bidi="ar-SA"/>
    </w:rPr>
  </w:style>
  <w:style w:type="character" w:customStyle="1" w:styleId="24">
    <w:name w:val="Comment Text Char"/>
    <w:link w:val="4"/>
    <w:semiHidden/>
    <w:qFormat/>
    <w:uiPriority w:val="99"/>
    <w:rPr>
      <w:rFonts w:ascii="Arial" w:hAnsi="Arial"/>
    </w:rPr>
  </w:style>
  <w:style w:type="character" w:customStyle="1" w:styleId="25">
    <w:name w:val="Comment Subject Char"/>
    <w:link w:val="12"/>
    <w:semiHidden/>
    <w:qFormat/>
    <w:uiPriority w:val="99"/>
    <w:rPr>
      <w:rFonts w:ascii="Arial" w:hAnsi="Arial"/>
      <w:b/>
      <w:bCs/>
    </w:rPr>
  </w:style>
  <w:style w:type="character" w:customStyle="1" w:styleId="26">
    <w:name w:val="Footer Char"/>
    <w:link w:val="8"/>
    <w:qFormat/>
    <w:uiPriority w:val="99"/>
    <w:rPr>
      <w:rFonts w:ascii="Arial" w:hAnsi="Arial"/>
    </w:rPr>
  </w:style>
  <w:style w:type="paragraph" w:customStyle="1" w:styleId="27">
    <w:name w:val="List Paragraph1"/>
    <w:basedOn w:val="1"/>
    <w:qFormat/>
    <w:uiPriority w:val="99"/>
    <w:pPr>
      <w:ind w:left="720"/>
    </w:pPr>
  </w:style>
  <w:style w:type="paragraph" w:customStyle="1" w:styleId="28">
    <w:name w:val="Revision1"/>
    <w:hidden/>
    <w:semiHidden/>
    <w:qFormat/>
    <w:uiPriority w:val="99"/>
    <w:rPr>
      <w:rFonts w:ascii="Arial" w:hAnsi="Arial" w:eastAsia="Times New Roman" w:cs="Times New Roman"/>
      <w:lang w:val="en-GB" w:eastAsia="en-GB" w:bidi="ar-SA"/>
    </w:rPr>
  </w:style>
  <w:style w:type="paragraph" w:customStyle="1" w:styleId="29">
    <w:name w:val="No Spacing1"/>
    <w:qFormat/>
    <w:uiPriority w:val="99"/>
    <w:pPr>
      <w:overflowPunct w:val="0"/>
      <w:autoSpaceDE w:val="0"/>
      <w:autoSpaceDN w:val="0"/>
      <w:adjustRightInd w:val="0"/>
    </w:pPr>
    <w:rPr>
      <w:rFonts w:ascii="Calibri" w:hAnsi="Calibri" w:eastAsia="Times New Roman" w:cs="Times New Roman"/>
      <w:sz w:val="22"/>
      <w:lang w:val="en-GB" w:eastAsia="en-US" w:bidi="ar-SA"/>
    </w:rPr>
  </w:style>
  <w:style w:type="character" w:customStyle="1" w:styleId="30">
    <w:name w:val="Unresolved Mention1"/>
    <w:basedOn w:val="15"/>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5DFCF7-1A56-4B37-B8CC-2B3560E45F8C}">
  <ds:schemaRefs/>
</ds:datastoreItem>
</file>

<file path=customXml/itemProps2.xml><?xml version="1.0" encoding="utf-8"?>
<ds:datastoreItem xmlns:ds="http://schemas.openxmlformats.org/officeDocument/2006/customXml" ds:itemID="{741DE03D-6025-493D-9279-8EFE34D2063A}">
  <ds:schemaRefs/>
</ds:datastoreItem>
</file>

<file path=customXml/itemProps3.xml><?xml version="1.0" encoding="utf-8"?>
<ds:datastoreItem xmlns:ds="http://schemas.openxmlformats.org/officeDocument/2006/customXml" ds:itemID="{4C5EDF58-EDEC-42C8-98E3-BED852C9BBF5}">
  <ds:schemaRefs/>
</ds:datastoreItem>
</file>

<file path=docProps/app.xml><?xml version="1.0" encoding="utf-8"?>
<Properties xmlns="http://schemas.openxmlformats.org/officeDocument/2006/extended-properties" xmlns:vt="http://schemas.openxmlformats.org/officeDocument/2006/docPropsVTypes">
  <Template>Normal.dotm</Template>
  <Company>UWTSD</Company>
  <Pages>10</Pages>
  <Words>2982</Words>
  <Characters>18116</Characters>
  <TotalTime>1</TotalTime>
  <ScaleCrop>false</ScaleCrop>
  <LinksUpToDate>false</LinksUpToDate>
  <CharactersWithSpaces>20901</CharactersWithSpaces>
  <Application>WPS Office_12.1.0.22529_F1E327BC-269C-435d-A152-05C5408002CA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2020-11-24T17:17:00Z</dcterms:created>
  <dc:creator>Academic Office</dc:creator>
  <cp:lastModifiedBy>waishing</cp:lastModifiedBy>
  <cp:lastPrinted>2016-11-02T17:01:00Z</cp:lastPrinted>
  <dcterms:modified xsi:type="dcterms:W3CDTF">2025-09-03T16:37:53Z</dcterms:modified>
  <dc:title>PG1</dc:title>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2052-12.1.0.22529</vt:lpwstr>
  </property>
  <property fmtid="{D5CDD505-2E9C-101B-9397-08002B2CF9AE}" pid="7" name="MediaServiceImageTags">
    <vt:lpwstr/>
  </property>
  <property fmtid="{D5CDD505-2E9C-101B-9397-08002B2CF9AE}" pid="8" name="KSOTemplateDocerSaveRecord">
    <vt:lpwstr>eyJoZGlkIjoiMDQ4ZGE1Y2M1NzA0Yjk4ODgxOTdmODRjMTE5NzQ1MjIiLCJ1c2VySWQiOiIzMzI3MzkxNzkifQ==</vt:lpwstr>
  </property>
  <property fmtid="{D5CDD505-2E9C-101B-9397-08002B2CF9AE}" pid="9" name="ICV">
    <vt:lpwstr>FDF8A59B7BE249849A16B04128CE6B6F_13</vt:lpwstr>
  </property>
</Properties>
</file>