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B63463" w14:textId="0602053B" w:rsidR="00B81C26" w:rsidRPr="0005272F" w:rsidRDefault="0B674E48" w:rsidP="70EB0371">
      <w:pPr>
        <w:jc w:val="center"/>
      </w:pPr>
      <w:r w:rsidRPr="0005272F">
        <w:rPr>
          <w:noProof/>
        </w:rPr>
        <w:drawing>
          <wp:inline distT="0" distB="0" distL="0" distR="0" wp14:anchorId="1F6CD794" wp14:editId="4A99BCBF">
            <wp:extent cx="1871634" cy="1036410"/>
            <wp:effectExtent l="0" t="0" r="0" b="0"/>
            <wp:docPr id="1003190617" name="Picture 1003190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871634" cy="1036410"/>
                    </a:xfrm>
                    <a:prstGeom prst="rect">
                      <a:avLst/>
                    </a:prstGeom>
                  </pic:spPr>
                </pic:pic>
              </a:graphicData>
            </a:graphic>
          </wp:inline>
        </w:drawing>
      </w:r>
    </w:p>
    <w:p w14:paraId="38A0F578" w14:textId="0E76F8E9" w:rsidR="70EB0371" w:rsidRPr="0005272F" w:rsidRDefault="70EB0371"/>
    <w:p w14:paraId="06CA7F71" w14:textId="75425EF7" w:rsidR="70EB0371" w:rsidRPr="0005272F" w:rsidRDefault="70EB0371"/>
    <w:p w14:paraId="40CDBF8F" w14:textId="05570A5B" w:rsidR="2238A23E" w:rsidRPr="0005272F" w:rsidRDefault="2238A23E" w:rsidP="70EB0371">
      <w:pPr>
        <w:jc w:val="center"/>
        <w:rPr>
          <w:rFonts w:ascii="Calibri" w:eastAsia="Calibri" w:hAnsi="Calibri" w:cs="Calibri"/>
          <w:b/>
          <w:bCs/>
          <w:color w:val="000000" w:themeColor="text1"/>
        </w:rPr>
      </w:pPr>
      <w:r w:rsidRPr="0005272F">
        <w:rPr>
          <w:rFonts w:ascii="Calibri" w:eastAsia="Calibri" w:hAnsi="Calibri" w:cs="Calibri"/>
          <w:b/>
          <w:bCs/>
          <w:color w:val="000000" w:themeColor="text1"/>
        </w:rPr>
        <w:t xml:space="preserve">Coaching &amp; Mentoring </w:t>
      </w:r>
      <w:r w:rsidR="006F5B47">
        <w:rPr>
          <w:rFonts w:ascii="Calibri" w:eastAsia="Calibri" w:hAnsi="Calibri" w:cs="Calibri"/>
          <w:b/>
          <w:bCs/>
          <w:color w:val="000000" w:themeColor="text1"/>
        </w:rPr>
        <w:t>Written Reflection</w:t>
      </w:r>
    </w:p>
    <w:p w14:paraId="3185B7EF" w14:textId="087D6D8E" w:rsidR="70EB0371" w:rsidRPr="0005272F" w:rsidRDefault="70EB0371"/>
    <w:p w14:paraId="710FB7C2" w14:textId="4AFFF48C" w:rsidR="70EB0371" w:rsidRPr="0005272F" w:rsidRDefault="70EB0371"/>
    <w:p w14:paraId="05353078" w14:textId="41B12752" w:rsidR="70EB0371" w:rsidRPr="0005272F" w:rsidRDefault="70EB0371"/>
    <w:tbl>
      <w:tblPr>
        <w:tblStyle w:val="Rcsostblzat"/>
        <w:tblW w:w="0" w:type="auto"/>
        <w:tblInd w:w="90" w:type="dxa"/>
        <w:tblLayout w:type="fixed"/>
        <w:tblLook w:val="04A0" w:firstRow="1" w:lastRow="0" w:firstColumn="1" w:lastColumn="0" w:noHBand="0" w:noVBand="1"/>
      </w:tblPr>
      <w:tblGrid>
        <w:gridCol w:w="4508"/>
        <w:gridCol w:w="4508"/>
      </w:tblGrid>
      <w:tr w:rsidR="70EB0371" w:rsidRPr="0005272F" w14:paraId="56B270A3" w14:textId="77777777" w:rsidTr="70EB0371">
        <w:trPr>
          <w:trHeight w:val="300"/>
        </w:trPr>
        <w:tc>
          <w:tcPr>
            <w:tcW w:w="4508" w:type="dxa"/>
            <w:tcBorders>
              <w:top w:val="single" w:sz="8" w:space="0" w:color="auto"/>
              <w:left w:val="single" w:sz="8" w:space="0" w:color="auto"/>
              <w:bottom w:val="single" w:sz="8" w:space="0" w:color="auto"/>
              <w:right w:val="single" w:sz="8" w:space="0" w:color="auto"/>
            </w:tcBorders>
            <w:shd w:val="clear" w:color="auto" w:fill="A5C9EB" w:themeFill="text2" w:themeFillTint="40"/>
            <w:tcMar>
              <w:left w:w="108" w:type="dxa"/>
              <w:right w:w="108" w:type="dxa"/>
            </w:tcMar>
          </w:tcPr>
          <w:p w14:paraId="0FF4706C" w14:textId="315E6650" w:rsidR="70EB0371" w:rsidRPr="0005272F" w:rsidRDefault="70EB0371" w:rsidP="70EB0371">
            <w:pPr>
              <w:jc w:val="both"/>
              <w:rPr>
                <w:rFonts w:ascii="Calibri" w:eastAsia="Calibri" w:hAnsi="Calibri" w:cs="Calibri"/>
                <w:b/>
                <w:bCs/>
                <w:color w:val="000000" w:themeColor="text1"/>
              </w:rPr>
            </w:pPr>
            <w:r w:rsidRPr="0005272F">
              <w:rPr>
                <w:rFonts w:ascii="Calibri" w:eastAsia="Calibri" w:hAnsi="Calibri" w:cs="Calibri"/>
                <w:b/>
                <w:bCs/>
                <w:color w:val="000000" w:themeColor="text1"/>
              </w:rPr>
              <w:t>STUDENT NAME</w:t>
            </w:r>
          </w:p>
        </w:tc>
        <w:tc>
          <w:tcPr>
            <w:tcW w:w="4508" w:type="dxa"/>
            <w:tcBorders>
              <w:top w:val="single" w:sz="8" w:space="0" w:color="auto"/>
              <w:left w:val="single" w:sz="8" w:space="0" w:color="auto"/>
              <w:bottom w:val="single" w:sz="8" w:space="0" w:color="auto"/>
              <w:right w:val="single" w:sz="8" w:space="0" w:color="auto"/>
            </w:tcBorders>
            <w:shd w:val="clear" w:color="auto" w:fill="A5C9EB" w:themeFill="text2" w:themeFillTint="40"/>
            <w:tcMar>
              <w:left w:w="108" w:type="dxa"/>
              <w:right w:w="108" w:type="dxa"/>
            </w:tcMar>
          </w:tcPr>
          <w:p w14:paraId="5CAD723A" w14:textId="227872A5" w:rsidR="12FED784" w:rsidRPr="0005272F" w:rsidRDefault="12FED784" w:rsidP="70EB0371">
            <w:pPr>
              <w:jc w:val="both"/>
            </w:pPr>
            <w:r w:rsidRPr="0005272F">
              <w:rPr>
                <w:rFonts w:ascii="Calibri" w:eastAsia="Calibri" w:hAnsi="Calibri" w:cs="Calibri"/>
                <w:b/>
                <w:bCs/>
                <w:color w:val="000000" w:themeColor="text1"/>
              </w:rPr>
              <w:t>Attila Kelemen</w:t>
            </w:r>
          </w:p>
        </w:tc>
      </w:tr>
      <w:tr w:rsidR="70EB0371" w:rsidRPr="0005272F" w14:paraId="447C5BC6" w14:textId="77777777" w:rsidTr="70EB0371">
        <w:trPr>
          <w:trHeight w:val="300"/>
        </w:trPr>
        <w:tc>
          <w:tcPr>
            <w:tcW w:w="4508" w:type="dxa"/>
            <w:tcBorders>
              <w:top w:val="single" w:sz="8" w:space="0" w:color="auto"/>
              <w:left w:val="single" w:sz="8" w:space="0" w:color="auto"/>
              <w:bottom w:val="single" w:sz="8" w:space="0" w:color="auto"/>
              <w:right w:val="single" w:sz="8" w:space="0" w:color="auto"/>
            </w:tcBorders>
            <w:shd w:val="clear" w:color="auto" w:fill="A5C9EB" w:themeFill="text2" w:themeFillTint="40"/>
            <w:tcMar>
              <w:left w:w="108" w:type="dxa"/>
              <w:right w:w="108" w:type="dxa"/>
            </w:tcMar>
          </w:tcPr>
          <w:p w14:paraId="30D3C954" w14:textId="69272AAA" w:rsidR="70EB0371" w:rsidRPr="0005272F" w:rsidRDefault="70EB0371" w:rsidP="70EB0371">
            <w:pPr>
              <w:jc w:val="both"/>
              <w:rPr>
                <w:rFonts w:ascii="Calibri" w:eastAsia="Calibri" w:hAnsi="Calibri" w:cs="Calibri"/>
                <w:b/>
                <w:bCs/>
                <w:color w:val="000000" w:themeColor="text1"/>
              </w:rPr>
            </w:pPr>
            <w:r w:rsidRPr="0005272F">
              <w:rPr>
                <w:rFonts w:ascii="Calibri" w:eastAsia="Calibri" w:hAnsi="Calibri" w:cs="Calibri"/>
                <w:b/>
                <w:bCs/>
                <w:color w:val="000000" w:themeColor="text1"/>
              </w:rPr>
              <w:t>STUDENT ID</w:t>
            </w:r>
          </w:p>
        </w:tc>
        <w:tc>
          <w:tcPr>
            <w:tcW w:w="4508" w:type="dxa"/>
            <w:tcBorders>
              <w:top w:val="single" w:sz="8" w:space="0" w:color="auto"/>
              <w:left w:val="single" w:sz="8" w:space="0" w:color="auto"/>
              <w:bottom w:val="single" w:sz="8" w:space="0" w:color="auto"/>
              <w:right w:val="single" w:sz="8" w:space="0" w:color="auto"/>
            </w:tcBorders>
            <w:shd w:val="clear" w:color="auto" w:fill="A5C9EB" w:themeFill="text2" w:themeFillTint="40"/>
            <w:tcMar>
              <w:left w:w="108" w:type="dxa"/>
              <w:right w:w="108" w:type="dxa"/>
            </w:tcMar>
          </w:tcPr>
          <w:p w14:paraId="045B039E" w14:textId="7102D6EF" w:rsidR="70EB0371" w:rsidRPr="0005272F" w:rsidRDefault="70EB0371" w:rsidP="70EB0371">
            <w:pPr>
              <w:jc w:val="both"/>
              <w:rPr>
                <w:rFonts w:ascii="Calibri" w:eastAsia="Calibri" w:hAnsi="Calibri" w:cs="Calibri"/>
                <w:b/>
                <w:bCs/>
                <w:color w:val="000000" w:themeColor="text1"/>
              </w:rPr>
            </w:pPr>
            <w:r w:rsidRPr="0005272F">
              <w:rPr>
                <w:rFonts w:ascii="Calibri" w:eastAsia="Calibri" w:hAnsi="Calibri" w:cs="Calibri"/>
                <w:b/>
                <w:bCs/>
                <w:color w:val="000000" w:themeColor="text1"/>
              </w:rPr>
              <w:t>2123680</w:t>
            </w:r>
          </w:p>
        </w:tc>
      </w:tr>
      <w:tr w:rsidR="70EB0371" w:rsidRPr="0005272F" w14:paraId="3DF1BB5F" w14:textId="77777777" w:rsidTr="70EB0371">
        <w:trPr>
          <w:trHeight w:val="300"/>
        </w:trPr>
        <w:tc>
          <w:tcPr>
            <w:tcW w:w="4508" w:type="dxa"/>
            <w:tcBorders>
              <w:top w:val="single" w:sz="8" w:space="0" w:color="auto"/>
              <w:left w:val="single" w:sz="8" w:space="0" w:color="auto"/>
              <w:bottom w:val="single" w:sz="8" w:space="0" w:color="auto"/>
              <w:right w:val="single" w:sz="8" w:space="0" w:color="auto"/>
            </w:tcBorders>
            <w:shd w:val="clear" w:color="auto" w:fill="A5C9EB" w:themeFill="text2" w:themeFillTint="40"/>
            <w:tcMar>
              <w:left w:w="108" w:type="dxa"/>
              <w:right w:w="108" w:type="dxa"/>
            </w:tcMar>
          </w:tcPr>
          <w:p w14:paraId="32FEBEA7" w14:textId="2F4BF58C" w:rsidR="70EB0371" w:rsidRPr="0005272F" w:rsidRDefault="70EB0371" w:rsidP="70EB0371">
            <w:pPr>
              <w:jc w:val="both"/>
              <w:rPr>
                <w:rFonts w:ascii="Calibri" w:eastAsia="Calibri" w:hAnsi="Calibri" w:cs="Calibri"/>
                <w:b/>
                <w:bCs/>
                <w:color w:val="000000" w:themeColor="text1"/>
              </w:rPr>
            </w:pPr>
            <w:r w:rsidRPr="0005272F">
              <w:rPr>
                <w:rFonts w:ascii="Calibri" w:eastAsia="Calibri" w:hAnsi="Calibri" w:cs="Calibri"/>
                <w:b/>
                <w:bCs/>
                <w:color w:val="000000" w:themeColor="text1"/>
              </w:rPr>
              <w:t>LECTURER NAME</w:t>
            </w:r>
          </w:p>
        </w:tc>
        <w:tc>
          <w:tcPr>
            <w:tcW w:w="4508" w:type="dxa"/>
            <w:tcBorders>
              <w:top w:val="single" w:sz="8" w:space="0" w:color="auto"/>
              <w:left w:val="single" w:sz="8" w:space="0" w:color="auto"/>
              <w:bottom w:val="single" w:sz="8" w:space="0" w:color="auto"/>
              <w:right w:val="single" w:sz="8" w:space="0" w:color="auto"/>
            </w:tcBorders>
            <w:shd w:val="clear" w:color="auto" w:fill="A5C9EB" w:themeFill="text2" w:themeFillTint="40"/>
            <w:tcMar>
              <w:left w:w="108" w:type="dxa"/>
              <w:right w:w="108" w:type="dxa"/>
            </w:tcMar>
          </w:tcPr>
          <w:p w14:paraId="6D8B28A8" w14:textId="34E926CB" w:rsidR="05E2FB8B" w:rsidRPr="0005272F" w:rsidRDefault="05E2FB8B" w:rsidP="70EB0371">
            <w:pPr>
              <w:jc w:val="both"/>
              <w:rPr>
                <w:rFonts w:ascii="Calibri" w:eastAsia="Calibri" w:hAnsi="Calibri" w:cs="Calibri"/>
                <w:b/>
                <w:bCs/>
                <w:color w:val="000000" w:themeColor="text1"/>
              </w:rPr>
            </w:pPr>
            <w:r w:rsidRPr="0005272F">
              <w:rPr>
                <w:rFonts w:ascii="Calibri" w:eastAsia="Calibri" w:hAnsi="Calibri" w:cs="Calibri"/>
                <w:b/>
                <w:bCs/>
                <w:color w:val="000000" w:themeColor="text1"/>
              </w:rPr>
              <w:t>Nishi Ramsurrun</w:t>
            </w:r>
          </w:p>
        </w:tc>
      </w:tr>
      <w:tr w:rsidR="70EB0371" w:rsidRPr="0005272F" w14:paraId="6FF0182D" w14:textId="77777777" w:rsidTr="70EB0371">
        <w:trPr>
          <w:trHeight w:val="300"/>
        </w:trPr>
        <w:tc>
          <w:tcPr>
            <w:tcW w:w="4508" w:type="dxa"/>
            <w:tcBorders>
              <w:top w:val="single" w:sz="8" w:space="0" w:color="auto"/>
              <w:left w:val="single" w:sz="8" w:space="0" w:color="auto"/>
              <w:bottom w:val="single" w:sz="8" w:space="0" w:color="auto"/>
              <w:right w:val="single" w:sz="8" w:space="0" w:color="auto"/>
            </w:tcBorders>
            <w:shd w:val="clear" w:color="auto" w:fill="A5C9EB" w:themeFill="text2" w:themeFillTint="40"/>
            <w:tcMar>
              <w:left w:w="108" w:type="dxa"/>
              <w:right w:w="108" w:type="dxa"/>
            </w:tcMar>
          </w:tcPr>
          <w:p w14:paraId="5F1D6324" w14:textId="5CB110E8" w:rsidR="70EB0371" w:rsidRPr="0005272F" w:rsidRDefault="70EB0371" w:rsidP="70EB0371">
            <w:pPr>
              <w:jc w:val="both"/>
              <w:rPr>
                <w:rFonts w:ascii="Calibri" w:eastAsia="Calibri" w:hAnsi="Calibri" w:cs="Calibri"/>
                <w:b/>
                <w:bCs/>
                <w:color w:val="000000" w:themeColor="text1"/>
              </w:rPr>
            </w:pPr>
            <w:r w:rsidRPr="0005272F">
              <w:rPr>
                <w:rFonts w:ascii="Calibri" w:eastAsia="Calibri" w:hAnsi="Calibri" w:cs="Calibri"/>
                <w:b/>
                <w:bCs/>
                <w:color w:val="000000" w:themeColor="text1"/>
              </w:rPr>
              <w:t>MODULE NAME</w:t>
            </w:r>
          </w:p>
        </w:tc>
        <w:tc>
          <w:tcPr>
            <w:tcW w:w="4508" w:type="dxa"/>
            <w:tcBorders>
              <w:top w:val="single" w:sz="8" w:space="0" w:color="auto"/>
              <w:left w:val="single" w:sz="8" w:space="0" w:color="auto"/>
              <w:bottom w:val="single" w:sz="8" w:space="0" w:color="auto"/>
              <w:right w:val="single" w:sz="8" w:space="0" w:color="auto"/>
            </w:tcBorders>
            <w:shd w:val="clear" w:color="auto" w:fill="A5C9EB" w:themeFill="text2" w:themeFillTint="40"/>
            <w:tcMar>
              <w:left w:w="108" w:type="dxa"/>
              <w:right w:w="108" w:type="dxa"/>
            </w:tcMar>
          </w:tcPr>
          <w:p w14:paraId="34DA566B" w14:textId="5716AFA9" w:rsidR="6ADB2C60" w:rsidRPr="0005272F" w:rsidRDefault="6ADB2C60" w:rsidP="70EB0371">
            <w:pPr>
              <w:jc w:val="both"/>
              <w:rPr>
                <w:rFonts w:ascii="Calibri" w:eastAsia="Calibri" w:hAnsi="Calibri" w:cs="Calibri"/>
                <w:b/>
                <w:bCs/>
                <w:color w:val="000000" w:themeColor="text1"/>
              </w:rPr>
            </w:pPr>
            <w:r w:rsidRPr="0005272F">
              <w:rPr>
                <w:rFonts w:ascii="Calibri" w:eastAsia="Calibri" w:hAnsi="Calibri" w:cs="Calibri"/>
                <w:b/>
                <w:bCs/>
                <w:color w:val="000000" w:themeColor="text1"/>
              </w:rPr>
              <w:t>Coaching &amp; Mentoring Skills for the Workplace</w:t>
            </w:r>
          </w:p>
        </w:tc>
      </w:tr>
      <w:tr w:rsidR="70EB0371" w:rsidRPr="0005272F" w14:paraId="4BA16E33" w14:textId="77777777" w:rsidTr="70EB0371">
        <w:trPr>
          <w:trHeight w:val="300"/>
        </w:trPr>
        <w:tc>
          <w:tcPr>
            <w:tcW w:w="4508" w:type="dxa"/>
            <w:tcBorders>
              <w:top w:val="single" w:sz="8" w:space="0" w:color="auto"/>
              <w:left w:val="single" w:sz="8" w:space="0" w:color="auto"/>
              <w:bottom w:val="single" w:sz="8" w:space="0" w:color="auto"/>
              <w:right w:val="single" w:sz="8" w:space="0" w:color="auto"/>
            </w:tcBorders>
            <w:shd w:val="clear" w:color="auto" w:fill="A5C9EB" w:themeFill="text2" w:themeFillTint="40"/>
            <w:tcMar>
              <w:left w:w="108" w:type="dxa"/>
              <w:right w:w="108" w:type="dxa"/>
            </w:tcMar>
          </w:tcPr>
          <w:p w14:paraId="164B3390" w14:textId="5D968809" w:rsidR="70EB0371" w:rsidRPr="0005272F" w:rsidRDefault="70EB0371" w:rsidP="70EB0371">
            <w:pPr>
              <w:jc w:val="both"/>
              <w:rPr>
                <w:rFonts w:ascii="Calibri" w:eastAsia="Calibri" w:hAnsi="Calibri" w:cs="Calibri"/>
                <w:b/>
                <w:bCs/>
                <w:color w:val="000000" w:themeColor="text1"/>
              </w:rPr>
            </w:pPr>
            <w:r w:rsidRPr="0005272F">
              <w:rPr>
                <w:rFonts w:ascii="Calibri" w:eastAsia="Calibri" w:hAnsi="Calibri" w:cs="Calibri"/>
                <w:b/>
                <w:bCs/>
                <w:color w:val="000000" w:themeColor="text1"/>
              </w:rPr>
              <w:t>MODULE CODE</w:t>
            </w:r>
          </w:p>
        </w:tc>
        <w:tc>
          <w:tcPr>
            <w:tcW w:w="4508" w:type="dxa"/>
            <w:tcBorders>
              <w:top w:val="single" w:sz="8" w:space="0" w:color="auto"/>
              <w:left w:val="single" w:sz="8" w:space="0" w:color="auto"/>
              <w:bottom w:val="single" w:sz="8" w:space="0" w:color="auto"/>
              <w:right w:val="single" w:sz="8" w:space="0" w:color="auto"/>
            </w:tcBorders>
            <w:shd w:val="clear" w:color="auto" w:fill="A5C9EB" w:themeFill="text2" w:themeFillTint="40"/>
            <w:tcMar>
              <w:left w:w="108" w:type="dxa"/>
              <w:right w:w="108" w:type="dxa"/>
            </w:tcMar>
          </w:tcPr>
          <w:p w14:paraId="1CD5176F" w14:textId="603B0D13" w:rsidR="6BE1CC22" w:rsidRPr="0005272F" w:rsidRDefault="6BE1CC22" w:rsidP="70EB0371">
            <w:pPr>
              <w:pStyle w:val="Cmsor4"/>
              <w:spacing w:before="80" w:after="40"/>
              <w:rPr>
                <w:rFonts w:ascii="Calibri" w:eastAsia="Calibri" w:hAnsi="Calibri" w:cs="Calibri"/>
                <w:b/>
                <w:bCs/>
                <w:i w:val="0"/>
                <w:iCs w:val="0"/>
                <w:color w:val="000000" w:themeColor="text1"/>
              </w:rPr>
            </w:pPr>
            <w:bookmarkStart w:id="0" w:name="_Toc1987356783"/>
            <w:r w:rsidRPr="0005272F">
              <w:rPr>
                <w:rFonts w:ascii="Calibri" w:eastAsia="Calibri" w:hAnsi="Calibri" w:cs="Calibri"/>
                <w:b/>
                <w:bCs/>
                <w:i w:val="0"/>
                <w:iCs w:val="0"/>
                <w:color w:val="000000" w:themeColor="text1"/>
              </w:rPr>
              <w:t>BMSW6105</w:t>
            </w:r>
            <w:bookmarkEnd w:id="0"/>
          </w:p>
          <w:p w14:paraId="5D788FB7" w14:textId="46ED8A9B" w:rsidR="70EB0371" w:rsidRPr="0005272F" w:rsidRDefault="70EB0371" w:rsidP="70EB0371">
            <w:pPr>
              <w:rPr>
                <w:rFonts w:ascii="Calibri" w:eastAsia="Calibri" w:hAnsi="Calibri" w:cs="Calibri"/>
                <w:b/>
                <w:bCs/>
              </w:rPr>
            </w:pPr>
          </w:p>
          <w:p w14:paraId="25305879" w14:textId="44B379E5" w:rsidR="70EB0371" w:rsidRPr="0005272F" w:rsidRDefault="70EB0371" w:rsidP="70EB0371">
            <w:pPr>
              <w:jc w:val="both"/>
              <w:rPr>
                <w:rFonts w:ascii="Calibri" w:eastAsia="Calibri" w:hAnsi="Calibri" w:cs="Calibri"/>
                <w:b/>
                <w:bCs/>
              </w:rPr>
            </w:pPr>
          </w:p>
        </w:tc>
      </w:tr>
    </w:tbl>
    <w:p w14:paraId="288F8306" w14:textId="71C6E678" w:rsidR="70EB0371" w:rsidRPr="0005272F" w:rsidRDefault="70EB0371"/>
    <w:p w14:paraId="6D96682E" w14:textId="672B094E" w:rsidR="70EB0371" w:rsidRPr="0005272F" w:rsidRDefault="70EB0371"/>
    <w:p w14:paraId="25808F5D" w14:textId="44A7939C" w:rsidR="70EB0371" w:rsidRPr="0005272F" w:rsidRDefault="70EB0371"/>
    <w:p w14:paraId="6A7815B8" w14:textId="5E983F27" w:rsidR="70EB0371" w:rsidRPr="0005272F" w:rsidRDefault="70EB0371"/>
    <w:p w14:paraId="5E678FE4" w14:textId="2D61FE05" w:rsidR="70EB0371" w:rsidRPr="0005272F" w:rsidRDefault="70EB0371"/>
    <w:p w14:paraId="34D13407" w14:textId="20CC3A57" w:rsidR="70EB0371" w:rsidRPr="0005272F" w:rsidRDefault="70EB0371"/>
    <w:p w14:paraId="7D26A39E" w14:textId="712E4310" w:rsidR="70EB0371" w:rsidRPr="0005272F" w:rsidRDefault="70EB0371"/>
    <w:p w14:paraId="1060A9AB" w14:textId="36AD0846" w:rsidR="70EB0371" w:rsidRPr="0005272F" w:rsidRDefault="70EB0371"/>
    <w:p w14:paraId="2C55327E" w14:textId="16472FB4" w:rsidR="70EB0371" w:rsidRPr="0005272F" w:rsidRDefault="70EB0371"/>
    <w:p w14:paraId="3794A94A" w14:textId="111C5D3F" w:rsidR="70EB0371" w:rsidRPr="0005272F" w:rsidRDefault="70EB0371"/>
    <w:p w14:paraId="57E03926" w14:textId="4F5F647E" w:rsidR="70EB0371" w:rsidRPr="0005272F" w:rsidRDefault="70EB0371"/>
    <w:p w14:paraId="0FF4482E" w14:textId="687C5D6C" w:rsidR="70EB0371" w:rsidRPr="0005272F" w:rsidRDefault="70EB0371"/>
    <w:p w14:paraId="2DA88679" w14:textId="62A72E67" w:rsidR="70EB0371" w:rsidRPr="0005272F" w:rsidRDefault="70EB0371"/>
    <w:p w14:paraId="6E823BDA" w14:textId="746802C6" w:rsidR="70EB0371" w:rsidRPr="0005272F" w:rsidRDefault="70EB0371"/>
    <w:p w14:paraId="06102354" w14:textId="5A152FB0" w:rsidR="5C8F57A6" w:rsidRPr="0005272F" w:rsidRDefault="5C8F57A6" w:rsidP="002429B4">
      <w:pPr>
        <w:pStyle w:val="Cmsor1"/>
        <w:rPr>
          <w:rFonts w:eastAsia="Calibri"/>
        </w:rPr>
      </w:pPr>
      <w:bookmarkStart w:id="1" w:name="_Toc185158164"/>
      <w:r w:rsidRPr="0005272F">
        <w:rPr>
          <w:rFonts w:eastAsia="Calibri"/>
        </w:rPr>
        <w:t>Table of Contents</w:t>
      </w:r>
      <w:bookmarkEnd w:id="1"/>
    </w:p>
    <w:p w14:paraId="7E3AD2C1" w14:textId="3331BB9D" w:rsidR="70EB0371" w:rsidRPr="0005272F" w:rsidRDefault="70EB0371" w:rsidP="70EB0371"/>
    <w:p w14:paraId="4C11909D" w14:textId="212991A6" w:rsidR="70EB0371" w:rsidRPr="0005272F" w:rsidRDefault="70EB0371"/>
    <w:sdt>
      <w:sdtPr>
        <w:id w:val="1923832489"/>
        <w:docPartObj>
          <w:docPartGallery w:val="Table of Contents"/>
          <w:docPartUnique/>
        </w:docPartObj>
      </w:sdtPr>
      <w:sdtEndPr/>
      <w:sdtContent>
        <w:p w14:paraId="481D2248" w14:textId="481477B8" w:rsidR="00335391" w:rsidRDefault="70EB0371">
          <w:pPr>
            <w:pStyle w:val="TJ1"/>
            <w:tabs>
              <w:tab w:val="right" w:leader="dot" w:pos="9016"/>
            </w:tabs>
            <w:rPr>
              <w:rFonts w:eastAsiaTheme="minorEastAsia"/>
              <w:noProof/>
              <w:kern w:val="2"/>
              <w:lang w:val="hu-HU" w:eastAsia="hu-HU"/>
              <w14:ligatures w14:val="standardContextual"/>
            </w:rPr>
          </w:pPr>
          <w:r w:rsidRPr="0005272F">
            <w:fldChar w:fldCharType="begin"/>
          </w:r>
          <w:r w:rsidRPr="0005272F">
            <w:instrText>TOC \o "1-2" \z \u \h</w:instrText>
          </w:r>
          <w:r w:rsidRPr="0005272F">
            <w:fldChar w:fldCharType="separate"/>
          </w:r>
          <w:hyperlink w:anchor="_Toc185158164" w:history="1">
            <w:r w:rsidR="00335391" w:rsidRPr="00733330">
              <w:rPr>
                <w:rStyle w:val="Hiperhivatkozs"/>
                <w:rFonts w:eastAsia="Calibri"/>
                <w:noProof/>
              </w:rPr>
              <w:t>Table of Contents</w:t>
            </w:r>
            <w:r w:rsidR="00335391">
              <w:rPr>
                <w:noProof/>
                <w:webHidden/>
              </w:rPr>
              <w:tab/>
            </w:r>
            <w:r w:rsidR="00335391">
              <w:rPr>
                <w:noProof/>
                <w:webHidden/>
              </w:rPr>
              <w:fldChar w:fldCharType="begin"/>
            </w:r>
            <w:r w:rsidR="00335391">
              <w:rPr>
                <w:noProof/>
                <w:webHidden/>
              </w:rPr>
              <w:instrText xml:space="preserve"> PAGEREF _Toc185158164 \h </w:instrText>
            </w:r>
            <w:r w:rsidR="00335391">
              <w:rPr>
                <w:noProof/>
                <w:webHidden/>
              </w:rPr>
            </w:r>
            <w:r w:rsidR="00335391">
              <w:rPr>
                <w:noProof/>
                <w:webHidden/>
              </w:rPr>
              <w:fldChar w:fldCharType="separate"/>
            </w:r>
            <w:r w:rsidR="00335391">
              <w:rPr>
                <w:noProof/>
                <w:webHidden/>
              </w:rPr>
              <w:t>1</w:t>
            </w:r>
            <w:r w:rsidR="00335391">
              <w:rPr>
                <w:noProof/>
                <w:webHidden/>
              </w:rPr>
              <w:fldChar w:fldCharType="end"/>
            </w:r>
          </w:hyperlink>
        </w:p>
        <w:p w14:paraId="20B90112" w14:textId="3FD6F896" w:rsidR="00335391" w:rsidRDefault="00335391">
          <w:pPr>
            <w:pStyle w:val="TJ1"/>
            <w:tabs>
              <w:tab w:val="right" w:leader="dot" w:pos="9016"/>
            </w:tabs>
            <w:rPr>
              <w:rFonts w:eastAsiaTheme="minorEastAsia"/>
              <w:noProof/>
              <w:kern w:val="2"/>
              <w:lang w:val="hu-HU" w:eastAsia="hu-HU"/>
              <w14:ligatures w14:val="standardContextual"/>
            </w:rPr>
          </w:pPr>
          <w:hyperlink w:anchor="_Toc185158165" w:history="1">
            <w:r w:rsidRPr="00733330">
              <w:rPr>
                <w:rStyle w:val="Hiperhivatkozs"/>
                <w:noProof/>
              </w:rPr>
              <w:t>Abstract</w:t>
            </w:r>
            <w:r>
              <w:rPr>
                <w:noProof/>
                <w:webHidden/>
              </w:rPr>
              <w:tab/>
            </w:r>
            <w:r>
              <w:rPr>
                <w:noProof/>
                <w:webHidden/>
              </w:rPr>
              <w:fldChar w:fldCharType="begin"/>
            </w:r>
            <w:r>
              <w:rPr>
                <w:noProof/>
                <w:webHidden/>
              </w:rPr>
              <w:instrText xml:space="preserve"> PAGEREF _Toc185158165 \h </w:instrText>
            </w:r>
            <w:r>
              <w:rPr>
                <w:noProof/>
                <w:webHidden/>
              </w:rPr>
            </w:r>
            <w:r>
              <w:rPr>
                <w:noProof/>
                <w:webHidden/>
              </w:rPr>
              <w:fldChar w:fldCharType="separate"/>
            </w:r>
            <w:r>
              <w:rPr>
                <w:noProof/>
                <w:webHidden/>
              </w:rPr>
              <w:t>2</w:t>
            </w:r>
            <w:r>
              <w:rPr>
                <w:noProof/>
                <w:webHidden/>
              </w:rPr>
              <w:fldChar w:fldCharType="end"/>
            </w:r>
          </w:hyperlink>
        </w:p>
        <w:p w14:paraId="746ACC01" w14:textId="6D254304" w:rsidR="00335391" w:rsidRDefault="00335391">
          <w:pPr>
            <w:pStyle w:val="TJ1"/>
            <w:tabs>
              <w:tab w:val="right" w:leader="dot" w:pos="9016"/>
            </w:tabs>
            <w:rPr>
              <w:rFonts w:eastAsiaTheme="minorEastAsia"/>
              <w:noProof/>
              <w:kern w:val="2"/>
              <w:lang w:val="hu-HU" w:eastAsia="hu-HU"/>
              <w14:ligatures w14:val="standardContextual"/>
            </w:rPr>
          </w:pPr>
          <w:hyperlink w:anchor="_Toc185158166" w:history="1">
            <w:r w:rsidRPr="00733330">
              <w:rPr>
                <w:rStyle w:val="Hiperhivatkozs"/>
                <w:noProof/>
              </w:rPr>
              <w:t>Introduction</w:t>
            </w:r>
            <w:r>
              <w:rPr>
                <w:noProof/>
                <w:webHidden/>
              </w:rPr>
              <w:tab/>
            </w:r>
            <w:r>
              <w:rPr>
                <w:noProof/>
                <w:webHidden/>
              </w:rPr>
              <w:fldChar w:fldCharType="begin"/>
            </w:r>
            <w:r>
              <w:rPr>
                <w:noProof/>
                <w:webHidden/>
              </w:rPr>
              <w:instrText xml:space="preserve"> PAGEREF _Toc185158166 \h </w:instrText>
            </w:r>
            <w:r>
              <w:rPr>
                <w:noProof/>
                <w:webHidden/>
              </w:rPr>
            </w:r>
            <w:r>
              <w:rPr>
                <w:noProof/>
                <w:webHidden/>
              </w:rPr>
              <w:fldChar w:fldCharType="separate"/>
            </w:r>
            <w:r>
              <w:rPr>
                <w:noProof/>
                <w:webHidden/>
              </w:rPr>
              <w:t>2</w:t>
            </w:r>
            <w:r>
              <w:rPr>
                <w:noProof/>
                <w:webHidden/>
              </w:rPr>
              <w:fldChar w:fldCharType="end"/>
            </w:r>
          </w:hyperlink>
        </w:p>
        <w:p w14:paraId="4021329B" w14:textId="5A7FAB7F" w:rsidR="00335391" w:rsidRDefault="00335391">
          <w:pPr>
            <w:pStyle w:val="TJ1"/>
            <w:tabs>
              <w:tab w:val="right" w:leader="dot" w:pos="9016"/>
            </w:tabs>
            <w:rPr>
              <w:rFonts w:eastAsiaTheme="minorEastAsia"/>
              <w:noProof/>
              <w:kern w:val="2"/>
              <w:lang w:val="hu-HU" w:eastAsia="hu-HU"/>
              <w14:ligatures w14:val="standardContextual"/>
            </w:rPr>
          </w:pPr>
          <w:hyperlink w:anchor="_Toc185158167" w:history="1">
            <w:r w:rsidRPr="00733330">
              <w:rPr>
                <w:rStyle w:val="Hiperhivatkozs"/>
                <w:noProof/>
              </w:rPr>
              <w:t>Critical Evaluation of the Purpose of Coaching and Mentoring within a Workplace</w:t>
            </w:r>
            <w:r>
              <w:rPr>
                <w:noProof/>
                <w:webHidden/>
              </w:rPr>
              <w:tab/>
            </w:r>
            <w:r>
              <w:rPr>
                <w:noProof/>
                <w:webHidden/>
              </w:rPr>
              <w:fldChar w:fldCharType="begin"/>
            </w:r>
            <w:r>
              <w:rPr>
                <w:noProof/>
                <w:webHidden/>
              </w:rPr>
              <w:instrText xml:space="preserve"> PAGEREF _Toc185158167 \h </w:instrText>
            </w:r>
            <w:r>
              <w:rPr>
                <w:noProof/>
                <w:webHidden/>
              </w:rPr>
            </w:r>
            <w:r>
              <w:rPr>
                <w:noProof/>
                <w:webHidden/>
              </w:rPr>
              <w:fldChar w:fldCharType="separate"/>
            </w:r>
            <w:r>
              <w:rPr>
                <w:noProof/>
                <w:webHidden/>
              </w:rPr>
              <w:t>3</w:t>
            </w:r>
            <w:r>
              <w:rPr>
                <w:noProof/>
                <w:webHidden/>
              </w:rPr>
              <w:fldChar w:fldCharType="end"/>
            </w:r>
          </w:hyperlink>
        </w:p>
        <w:p w14:paraId="549F420B" w14:textId="57748D11" w:rsidR="00335391" w:rsidRDefault="00335391">
          <w:pPr>
            <w:pStyle w:val="TJ1"/>
            <w:tabs>
              <w:tab w:val="right" w:leader="dot" w:pos="9016"/>
            </w:tabs>
            <w:rPr>
              <w:rFonts w:eastAsiaTheme="minorEastAsia"/>
              <w:noProof/>
              <w:kern w:val="2"/>
              <w:lang w:val="hu-HU" w:eastAsia="hu-HU"/>
              <w14:ligatures w14:val="standardContextual"/>
            </w:rPr>
          </w:pPr>
          <w:hyperlink w:anchor="_Toc185158168" w:history="1">
            <w:r w:rsidRPr="00733330">
              <w:rPr>
                <w:rStyle w:val="Hiperhivatkozs"/>
                <w:noProof/>
              </w:rPr>
              <w:t>Critical Analysis of the GROW Model of Coaching</w:t>
            </w:r>
            <w:r>
              <w:rPr>
                <w:noProof/>
                <w:webHidden/>
              </w:rPr>
              <w:tab/>
            </w:r>
            <w:r>
              <w:rPr>
                <w:noProof/>
                <w:webHidden/>
              </w:rPr>
              <w:fldChar w:fldCharType="begin"/>
            </w:r>
            <w:r>
              <w:rPr>
                <w:noProof/>
                <w:webHidden/>
              </w:rPr>
              <w:instrText xml:space="preserve"> PAGEREF _Toc185158168 \h </w:instrText>
            </w:r>
            <w:r>
              <w:rPr>
                <w:noProof/>
                <w:webHidden/>
              </w:rPr>
            </w:r>
            <w:r>
              <w:rPr>
                <w:noProof/>
                <w:webHidden/>
              </w:rPr>
              <w:fldChar w:fldCharType="separate"/>
            </w:r>
            <w:r>
              <w:rPr>
                <w:noProof/>
                <w:webHidden/>
              </w:rPr>
              <w:t>4</w:t>
            </w:r>
            <w:r>
              <w:rPr>
                <w:noProof/>
                <w:webHidden/>
              </w:rPr>
              <w:fldChar w:fldCharType="end"/>
            </w:r>
          </w:hyperlink>
        </w:p>
        <w:p w14:paraId="7CB582C0" w14:textId="18955781" w:rsidR="00335391" w:rsidRDefault="00335391">
          <w:pPr>
            <w:pStyle w:val="TJ2"/>
            <w:tabs>
              <w:tab w:val="right" w:leader="dot" w:pos="9016"/>
            </w:tabs>
            <w:rPr>
              <w:rFonts w:eastAsiaTheme="minorEastAsia"/>
              <w:noProof/>
              <w:kern w:val="2"/>
              <w:lang w:val="hu-HU" w:eastAsia="hu-HU"/>
              <w14:ligatures w14:val="standardContextual"/>
            </w:rPr>
          </w:pPr>
          <w:hyperlink w:anchor="_Toc185158169" w:history="1">
            <w:r w:rsidRPr="00733330">
              <w:rPr>
                <w:rStyle w:val="Hiperhivatkozs"/>
                <w:noProof/>
              </w:rPr>
              <w:t>Definition and Literature Support</w:t>
            </w:r>
            <w:r>
              <w:rPr>
                <w:noProof/>
                <w:webHidden/>
              </w:rPr>
              <w:tab/>
            </w:r>
            <w:r>
              <w:rPr>
                <w:noProof/>
                <w:webHidden/>
              </w:rPr>
              <w:fldChar w:fldCharType="begin"/>
            </w:r>
            <w:r>
              <w:rPr>
                <w:noProof/>
                <w:webHidden/>
              </w:rPr>
              <w:instrText xml:space="preserve"> PAGEREF _Toc185158169 \h </w:instrText>
            </w:r>
            <w:r>
              <w:rPr>
                <w:noProof/>
                <w:webHidden/>
              </w:rPr>
            </w:r>
            <w:r>
              <w:rPr>
                <w:noProof/>
                <w:webHidden/>
              </w:rPr>
              <w:fldChar w:fldCharType="separate"/>
            </w:r>
            <w:r>
              <w:rPr>
                <w:noProof/>
                <w:webHidden/>
              </w:rPr>
              <w:t>4</w:t>
            </w:r>
            <w:r>
              <w:rPr>
                <w:noProof/>
                <w:webHidden/>
              </w:rPr>
              <w:fldChar w:fldCharType="end"/>
            </w:r>
          </w:hyperlink>
        </w:p>
        <w:p w14:paraId="5A65E906" w14:textId="2CF2D892" w:rsidR="00335391" w:rsidRDefault="00335391">
          <w:pPr>
            <w:pStyle w:val="TJ2"/>
            <w:tabs>
              <w:tab w:val="right" w:leader="dot" w:pos="9016"/>
            </w:tabs>
            <w:rPr>
              <w:rFonts w:eastAsiaTheme="minorEastAsia"/>
              <w:noProof/>
              <w:kern w:val="2"/>
              <w:lang w:val="hu-HU" w:eastAsia="hu-HU"/>
              <w14:ligatures w14:val="standardContextual"/>
            </w:rPr>
          </w:pPr>
          <w:hyperlink w:anchor="_Toc185158170" w:history="1">
            <w:r w:rsidRPr="00733330">
              <w:rPr>
                <w:rStyle w:val="Hiperhivatkozs"/>
                <w:noProof/>
              </w:rPr>
              <w:t>Critical Analysis</w:t>
            </w:r>
            <w:r>
              <w:rPr>
                <w:noProof/>
                <w:webHidden/>
              </w:rPr>
              <w:tab/>
            </w:r>
            <w:r>
              <w:rPr>
                <w:noProof/>
                <w:webHidden/>
              </w:rPr>
              <w:fldChar w:fldCharType="begin"/>
            </w:r>
            <w:r>
              <w:rPr>
                <w:noProof/>
                <w:webHidden/>
              </w:rPr>
              <w:instrText xml:space="preserve"> PAGEREF _Toc185158170 \h </w:instrText>
            </w:r>
            <w:r>
              <w:rPr>
                <w:noProof/>
                <w:webHidden/>
              </w:rPr>
            </w:r>
            <w:r>
              <w:rPr>
                <w:noProof/>
                <w:webHidden/>
              </w:rPr>
              <w:fldChar w:fldCharType="separate"/>
            </w:r>
            <w:r>
              <w:rPr>
                <w:noProof/>
                <w:webHidden/>
              </w:rPr>
              <w:t>4</w:t>
            </w:r>
            <w:r>
              <w:rPr>
                <w:noProof/>
                <w:webHidden/>
              </w:rPr>
              <w:fldChar w:fldCharType="end"/>
            </w:r>
          </w:hyperlink>
        </w:p>
        <w:p w14:paraId="12A96CF7" w14:textId="62643E6D" w:rsidR="00335391" w:rsidRDefault="00335391">
          <w:pPr>
            <w:pStyle w:val="TJ2"/>
            <w:tabs>
              <w:tab w:val="right" w:leader="dot" w:pos="9016"/>
            </w:tabs>
            <w:rPr>
              <w:rFonts w:eastAsiaTheme="minorEastAsia"/>
              <w:noProof/>
              <w:kern w:val="2"/>
              <w:lang w:val="hu-HU" w:eastAsia="hu-HU"/>
              <w14:ligatures w14:val="standardContextual"/>
            </w:rPr>
          </w:pPr>
          <w:hyperlink w:anchor="_Toc185158171" w:history="1">
            <w:r w:rsidRPr="00733330">
              <w:rPr>
                <w:rStyle w:val="Hiperhivatkozs"/>
                <w:noProof/>
              </w:rPr>
              <w:t>Situational Usefulness</w:t>
            </w:r>
            <w:r>
              <w:rPr>
                <w:noProof/>
                <w:webHidden/>
              </w:rPr>
              <w:tab/>
            </w:r>
            <w:r>
              <w:rPr>
                <w:noProof/>
                <w:webHidden/>
              </w:rPr>
              <w:fldChar w:fldCharType="begin"/>
            </w:r>
            <w:r>
              <w:rPr>
                <w:noProof/>
                <w:webHidden/>
              </w:rPr>
              <w:instrText xml:space="preserve"> PAGEREF _Toc185158171 \h </w:instrText>
            </w:r>
            <w:r>
              <w:rPr>
                <w:noProof/>
                <w:webHidden/>
              </w:rPr>
            </w:r>
            <w:r>
              <w:rPr>
                <w:noProof/>
                <w:webHidden/>
              </w:rPr>
              <w:fldChar w:fldCharType="separate"/>
            </w:r>
            <w:r>
              <w:rPr>
                <w:noProof/>
                <w:webHidden/>
              </w:rPr>
              <w:t>5</w:t>
            </w:r>
            <w:r>
              <w:rPr>
                <w:noProof/>
                <w:webHidden/>
              </w:rPr>
              <w:fldChar w:fldCharType="end"/>
            </w:r>
          </w:hyperlink>
        </w:p>
        <w:p w14:paraId="08C5F4C9" w14:textId="45F38DBC" w:rsidR="00335391" w:rsidRDefault="00335391">
          <w:pPr>
            <w:pStyle w:val="TJ1"/>
            <w:tabs>
              <w:tab w:val="right" w:leader="dot" w:pos="9016"/>
            </w:tabs>
            <w:rPr>
              <w:rFonts w:eastAsiaTheme="minorEastAsia"/>
              <w:noProof/>
              <w:kern w:val="2"/>
              <w:lang w:val="hu-HU" w:eastAsia="hu-HU"/>
              <w14:ligatures w14:val="standardContextual"/>
            </w:rPr>
          </w:pPr>
          <w:hyperlink w:anchor="_Toc185158172" w:history="1">
            <w:r w:rsidRPr="00733330">
              <w:rPr>
                <w:rStyle w:val="Hiperhivatkozs"/>
                <w:rFonts w:eastAsia="Calibri"/>
                <w:noProof/>
              </w:rPr>
              <w:t>Ten essential coaching skills and their importance:</w:t>
            </w:r>
            <w:r>
              <w:rPr>
                <w:noProof/>
                <w:webHidden/>
              </w:rPr>
              <w:tab/>
            </w:r>
            <w:r>
              <w:rPr>
                <w:noProof/>
                <w:webHidden/>
              </w:rPr>
              <w:fldChar w:fldCharType="begin"/>
            </w:r>
            <w:r>
              <w:rPr>
                <w:noProof/>
                <w:webHidden/>
              </w:rPr>
              <w:instrText xml:space="preserve"> PAGEREF _Toc185158172 \h </w:instrText>
            </w:r>
            <w:r>
              <w:rPr>
                <w:noProof/>
                <w:webHidden/>
              </w:rPr>
            </w:r>
            <w:r>
              <w:rPr>
                <w:noProof/>
                <w:webHidden/>
              </w:rPr>
              <w:fldChar w:fldCharType="separate"/>
            </w:r>
            <w:r>
              <w:rPr>
                <w:noProof/>
                <w:webHidden/>
              </w:rPr>
              <w:t>6</w:t>
            </w:r>
            <w:r>
              <w:rPr>
                <w:noProof/>
                <w:webHidden/>
              </w:rPr>
              <w:fldChar w:fldCharType="end"/>
            </w:r>
          </w:hyperlink>
        </w:p>
        <w:p w14:paraId="2D4C6736" w14:textId="381824EA" w:rsidR="00335391" w:rsidRDefault="00335391">
          <w:pPr>
            <w:pStyle w:val="TJ1"/>
            <w:tabs>
              <w:tab w:val="right" w:leader="dot" w:pos="9016"/>
            </w:tabs>
            <w:rPr>
              <w:rFonts w:eastAsiaTheme="minorEastAsia"/>
              <w:noProof/>
              <w:kern w:val="2"/>
              <w:lang w:val="hu-HU" w:eastAsia="hu-HU"/>
              <w14:ligatures w14:val="standardContextual"/>
            </w:rPr>
          </w:pPr>
          <w:hyperlink w:anchor="_Toc185158173" w:history="1">
            <w:r w:rsidRPr="00733330">
              <w:rPr>
                <w:rStyle w:val="Hiperhivatkozs"/>
                <w:noProof/>
              </w:rPr>
              <w:t>Rethinking SMART Coaching Using Kolb’s Model</w:t>
            </w:r>
            <w:r>
              <w:rPr>
                <w:noProof/>
                <w:webHidden/>
              </w:rPr>
              <w:tab/>
            </w:r>
            <w:r>
              <w:rPr>
                <w:noProof/>
                <w:webHidden/>
              </w:rPr>
              <w:fldChar w:fldCharType="begin"/>
            </w:r>
            <w:r>
              <w:rPr>
                <w:noProof/>
                <w:webHidden/>
              </w:rPr>
              <w:instrText xml:space="preserve"> PAGEREF _Toc185158173 \h </w:instrText>
            </w:r>
            <w:r>
              <w:rPr>
                <w:noProof/>
                <w:webHidden/>
              </w:rPr>
            </w:r>
            <w:r>
              <w:rPr>
                <w:noProof/>
                <w:webHidden/>
              </w:rPr>
              <w:fldChar w:fldCharType="separate"/>
            </w:r>
            <w:r>
              <w:rPr>
                <w:noProof/>
                <w:webHidden/>
              </w:rPr>
              <w:t>7</w:t>
            </w:r>
            <w:r>
              <w:rPr>
                <w:noProof/>
                <w:webHidden/>
              </w:rPr>
              <w:fldChar w:fldCharType="end"/>
            </w:r>
          </w:hyperlink>
        </w:p>
        <w:p w14:paraId="67205230" w14:textId="2049D7EA" w:rsidR="00335391" w:rsidRDefault="00335391">
          <w:pPr>
            <w:pStyle w:val="TJ1"/>
            <w:tabs>
              <w:tab w:val="right" w:leader="dot" w:pos="9016"/>
            </w:tabs>
            <w:rPr>
              <w:rFonts w:eastAsiaTheme="minorEastAsia"/>
              <w:noProof/>
              <w:kern w:val="2"/>
              <w:lang w:val="hu-HU" w:eastAsia="hu-HU"/>
              <w14:ligatures w14:val="standardContextual"/>
            </w:rPr>
          </w:pPr>
          <w:hyperlink w:anchor="_Toc185158174" w:history="1">
            <w:r w:rsidRPr="00733330">
              <w:rPr>
                <w:rStyle w:val="Hiperhivatkozs"/>
                <w:noProof/>
              </w:rPr>
              <w:t>Reflecting on Mentoring and Feedback Using Kolb's Model</w:t>
            </w:r>
            <w:r>
              <w:rPr>
                <w:noProof/>
                <w:webHidden/>
              </w:rPr>
              <w:tab/>
            </w:r>
            <w:r>
              <w:rPr>
                <w:noProof/>
                <w:webHidden/>
              </w:rPr>
              <w:fldChar w:fldCharType="begin"/>
            </w:r>
            <w:r>
              <w:rPr>
                <w:noProof/>
                <w:webHidden/>
              </w:rPr>
              <w:instrText xml:space="preserve"> PAGEREF _Toc185158174 \h </w:instrText>
            </w:r>
            <w:r>
              <w:rPr>
                <w:noProof/>
                <w:webHidden/>
              </w:rPr>
            </w:r>
            <w:r>
              <w:rPr>
                <w:noProof/>
                <w:webHidden/>
              </w:rPr>
              <w:fldChar w:fldCharType="separate"/>
            </w:r>
            <w:r>
              <w:rPr>
                <w:noProof/>
                <w:webHidden/>
              </w:rPr>
              <w:t>8</w:t>
            </w:r>
            <w:r>
              <w:rPr>
                <w:noProof/>
                <w:webHidden/>
              </w:rPr>
              <w:fldChar w:fldCharType="end"/>
            </w:r>
          </w:hyperlink>
        </w:p>
        <w:p w14:paraId="5DFDF7E4" w14:textId="2474687A" w:rsidR="00335391" w:rsidRDefault="00335391">
          <w:pPr>
            <w:pStyle w:val="TJ1"/>
            <w:tabs>
              <w:tab w:val="right" w:leader="dot" w:pos="9016"/>
            </w:tabs>
            <w:rPr>
              <w:rFonts w:eastAsiaTheme="minorEastAsia"/>
              <w:noProof/>
              <w:kern w:val="2"/>
              <w:lang w:val="hu-HU" w:eastAsia="hu-HU"/>
              <w14:ligatures w14:val="standardContextual"/>
            </w:rPr>
          </w:pPr>
          <w:hyperlink w:anchor="_Toc185158175" w:history="1">
            <w:r w:rsidRPr="00733330">
              <w:rPr>
                <w:rStyle w:val="Hiperhivatkozs"/>
                <w:noProof/>
              </w:rPr>
              <w:t>Conclusion</w:t>
            </w:r>
            <w:r>
              <w:rPr>
                <w:noProof/>
                <w:webHidden/>
              </w:rPr>
              <w:tab/>
            </w:r>
            <w:r>
              <w:rPr>
                <w:noProof/>
                <w:webHidden/>
              </w:rPr>
              <w:fldChar w:fldCharType="begin"/>
            </w:r>
            <w:r>
              <w:rPr>
                <w:noProof/>
                <w:webHidden/>
              </w:rPr>
              <w:instrText xml:space="preserve"> PAGEREF _Toc185158175 \h </w:instrText>
            </w:r>
            <w:r>
              <w:rPr>
                <w:noProof/>
                <w:webHidden/>
              </w:rPr>
            </w:r>
            <w:r>
              <w:rPr>
                <w:noProof/>
                <w:webHidden/>
              </w:rPr>
              <w:fldChar w:fldCharType="separate"/>
            </w:r>
            <w:r>
              <w:rPr>
                <w:noProof/>
                <w:webHidden/>
              </w:rPr>
              <w:t>9</w:t>
            </w:r>
            <w:r>
              <w:rPr>
                <w:noProof/>
                <w:webHidden/>
              </w:rPr>
              <w:fldChar w:fldCharType="end"/>
            </w:r>
          </w:hyperlink>
        </w:p>
        <w:p w14:paraId="731BDAB7" w14:textId="2BFB332C" w:rsidR="00335391" w:rsidRDefault="00335391">
          <w:pPr>
            <w:pStyle w:val="TJ1"/>
            <w:tabs>
              <w:tab w:val="right" w:leader="dot" w:pos="9016"/>
            </w:tabs>
            <w:rPr>
              <w:rFonts w:eastAsiaTheme="minorEastAsia"/>
              <w:noProof/>
              <w:kern w:val="2"/>
              <w:lang w:val="hu-HU" w:eastAsia="hu-HU"/>
              <w14:ligatures w14:val="standardContextual"/>
            </w:rPr>
          </w:pPr>
          <w:hyperlink w:anchor="_Toc185158176" w:history="1">
            <w:r w:rsidRPr="00733330">
              <w:rPr>
                <w:rStyle w:val="Hiperhivatkozs"/>
                <w:rFonts w:eastAsia="Calibri"/>
                <w:noProof/>
              </w:rPr>
              <w:t>Appendix</w:t>
            </w:r>
            <w:r>
              <w:rPr>
                <w:noProof/>
                <w:webHidden/>
              </w:rPr>
              <w:tab/>
            </w:r>
            <w:r>
              <w:rPr>
                <w:noProof/>
                <w:webHidden/>
              </w:rPr>
              <w:fldChar w:fldCharType="begin"/>
            </w:r>
            <w:r>
              <w:rPr>
                <w:noProof/>
                <w:webHidden/>
              </w:rPr>
              <w:instrText xml:space="preserve"> PAGEREF _Toc185158176 \h </w:instrText>
            </w:r>
            <w:r>
              <w:rPr>
                <w:noProof/>
                <w:webHidden/>
              </w:rPr>
            </w:r>
            <w:r>
              <w:rPr>
                <w:noProof/>
                <w:webHidden/>
              </w:rPr>
              <w:fldChar w:fldCharType="separate"/>
            </w:r>
            <w:r>
              <w:rPr>
                <w:noProof/>
                <w:webHidden/>
              </w:rPr>
              <w:t>10</w:t>
            </w:r>
            <w:r>
              <w:rPr>
                <w:noProof/>
                <w:webHidden/>
              </w:rPr>
              <w:fldChar w:fldCharType="end"/>
            </w:r>
          </w:hyperlink>
        </w:p>
        <w:p w14:paraId="0EA2861C" w14:textId="19AD201E" w:rsidR="00335391" w:rsidRDefault="00335391">
          <w:pPr>
            <w:pStyle w:val="TJ1"/>
            <w:tabs>
              <w:tab w:val="right" w:leader="dot" w:pos="9016"/>
            </w:tabs>
            <w:rPr>
              <w:rFonts w:eastAsiaTheme="minorEastAsia"/>
              <w:noProof/>
              <w:kern w:val="2"/>
              <w:lang w:val="hu-HU" w:eastAsia="hu-HU"/>
              <w14:ligatures w14:val="standardContextual"/>
            </w:rPr>
          </w:pPr>
          <w:hyperlink w:anchor="_Toc185158177" w:history="1">
            <w:r w:rsidRPr="00733330">
              <w:rPr>
                <w:rStyle w:val="Hiperhivatkozs"/>
                <w:noProof/>
              </w:rPr>
              <w:t>References</w:t>
            </w:r>
            <w:r>
              <w:rPr>
                <w:noProof/>
                <w:webHidden/>
              </w:rPr>
              <w:tab/>
            </w:r>
            <w:r>
              <w:rPr>
                <w:noProof/>
                <w:webHidden/>
              </w:rPr>
              <w:fldChar w:fldCharType="begin"/>
            </w:r>
            <w:r>
              <w:rPr>
                <w:noProof/>
                <w:webHidden/>
              </w:rPr>
              <w:instrText xml:space="preserve"> PAGEREF _Toc185158177 \h </w:instrText>
            </w:r>
            <w:r>
              <w:rPr>
                <w:noProof/>
                <w:webHidden/>
              </w:rPr>
            </w:r>
            <w:r>
              <w:rPr>
                <w:noProof/>
                <w:webHidden/>
              </w:rPr>
              <w:fldChar w:fldCharType="separate"/>
            </w:r>
            <w:r>
              <w:rPr>
                <w:noProof/>
                <w:webHidden/>
              </w:rPr>
              <w:t>11</w:t>
            </w:r>
            <w:r>
              <w:rPr>
                <w:noProof/>
                <w:webHidden/>
              </w:rPr>
              <w:fldChar w:fldCharType="end"/>
            </w:r>
          </w:hyperlink>
        </w:p>
        <w:p w14:paraId="2F0893E1" w14:textId="0BFF9BBE" w:rsidR="70EB0371" w:rsidRPr="0005272F" w:rsidRDefault="70EB0371" w:rsidP="70EB0371">
          <w:pPr>
            <w:pStyle w:val="TJ1"/>
            <w:tabs>
              <w:tab w:val="right" w:leader="dot" w:pos="9015"/>
            </w:tabs>
            <w:rPr>
              <w:rStyle w:val="Hiperhivatkozs"/>
            </w:rPr>
          </w:pPr>
          <w:r w:rsidRPr="0005272F">
            <w:fldChar w:fldCharType="end"/>
          </w:r>
        </w:p>
      </w:sdtContent>
    </w:sdt>
    <w:p w14:paraId="7FA322E2" w14:textId="641C501C" w:rsidR="70EB0371" w:rsidRPr="0005272F" w:rsidRDefault="70EB0371"/>
    <w:p w14:paraId="47F58D7F" w14:textId="3601E569" w:rsidR="70EB0371" w:rsidRPr="0005272F" w:rsidRDefault="70EB0371"/>
    <w:p w14:paraId="5BAFBF4E" w14:textId="6B044E48" w:rsidR="70EB0371" w:rsidRPr="0005272F" w:rsidRDefault="70EB0371"/>
    <w:p w14:paraId="08A143F4" w14:textId="22E57C7B" w:rsidR="70EB0371" w:rsidRPr="0005272F" w:rsidRDefault="70EB0371"/>
    <w:p w14:paraId="2A38BD92" w14:textId="65DF57E3" w:rsidR="70EB0371" w:rsidRPr="0005272F" w:rsidRDefault="70EB0371"/>
    <w:p w14:paraId="3725BCFF" w14:textId="2B351052" w:rsidR="70EB0371" w:rsidRPr="0005272F" w:rsidRDefault="70EB0371"/>
    <w:p w14:paraId="2AAFC754" w14:textId="375C7CCC" w:rsidR="70EB0371" w:rsidRPr="0005272F" w:rsidRDefault="70EB0371"/>
    <w:p w14:paraId="66C709EA" w14:textId="5090A8D0" w:rsidR="70EB0371" w:rsidRPr="0005272F" w:rsidRDefault="70EB0371"/>
    <w:p w14:paraId="12BBD6FA" w14:textId="45731ECB" w:rsidR="70EB0371" w:rsidRPr="0005272F" w:rsidRDefault="70EB0371"/>
    <w:p w14:paraId="7552A96F" w14:textId="40843986" w:rsidR="70EB0371" w:rsidRPr="0005272F" w:rsidRDefault="70EB0371"/>
    <w:p w14:paraId="2CDD1532" w14:textId="0945E8D0" w:rsidR="70EB0371" w:rsidRPr="0005272F" w:rsidRDefault="70EB0371"/>
    <w:p w14:paraId="39C5F788" w14:textId="5BB236FA" w:rsidR="70EB0371" w:rsidRPr="0005272F" w:rsidRDefault="70EB0371"/>
    <w:p w14:paraId="5CA49CDE" w14:textId="226D32AC" w:rsidR="177B06F5" w:rsidRPr="0005272F" w:rsidRDefault="177B06F5" w:rsidP="70EB0371">
      <w:pPr>
        <w:pStyle w:val="Cmsor1"/>
        <w:rPr>
          <w:rFonts w:ascii="Calibri" w:eastAsia="Calibri" w:hAnsi="Calibri" w:cs="Calibri"/>
          <w:b/>
          <w:bCs/>
          <w:sz w:val="24"/>
          <w:szCs w:val="24"/>
        </w:rPr>
      </w:pPr>
      <w:bookmarkStart w:id="2" w:name="_Toc1579681994"/>
      <w:bookmarkStart w:id="3" w:name="_Toc185158165"/>
      <w:r w:rsidRPr="0005272F">
        <w:t>Abstract</w:t>
      </w:r>
      <w:bookmarkEnd w:id="2"/>
      <w:bookmarkEnd w:id="3"/>
    </w:p>
    <w:p w14:paraId="6C935E48" w14:textId="7D5A2AA4" w:rsidR="177B06F5" w:rsidRPr="0005272F" w:rsidRDefault="177B06F5" w:rsidP="70EB0371">
      <w:pPr>
        <w:spacing w:before="240" w:after="240"/>
        <w:rPr>
          <w:rFonts w:ascii="Calibri" w:eastAsia="Calibri" w:hAnsi="Calibri" w:cs="Calibri"/>
        </w:rPr>
      </w:pPr>
      <w:r w:rsidRPr="0005272F">
        <w:rPr>
          <w:rFonts w:ascii="Calibri" w:eastAsia="Calibri" w:hAnsi="Calibri" w:cs="Calibri"/>
        </w:rPr>
        <w:t>In this reflective report, I will delve into my personal experiences with coaching and mentoring that occurred to me at GLS Hungary nearly a decade ago, highlighting the most important moments and lessons learned along the way. The report will cover various aspects of my journey, including challenges, strategies employed, and results achieved. By reflecting on these experiences, I will seek to gain a deeper understanding of my strengths and areas for improvement as a coach and mentor.</w:t>
      </w:r>
    </w:p>
    <w:p w14:paraId="7AECF4A4" w14:textId="70840EC9" w:rsidR="2CC4390B" w:rsidRPr="0005272F" w:rsidRDefault="2CC4390B" w:rsidP="70EB0371">
      <w:pPr>
        <w:spacing w:before="240" w:after="240"/>
        <w:rPr>
          <w:rFonts w:ascii="Calibri" w:eastAsia="Calibri" w:hAnsi="Calibri" w:cs="Calibri"/>
        </w:rPr>
      </w:pPr>
      <w:r w:rsidRPr="0005272F">
        <w:rPr>
          <w:rFonts w:ascii="Calibri" w:eastAsia="Calibri" w:hAnsi="Calibri" w:cs="Calibri"/>
        </w:rPr>
        <w:t>The reflective nature of this report is grounded in Kolb's reflective model, which emphasizes the importance of experiential learning. Kolb's model consists of four stages: concrete experience, reflective observation, abstract conceptualization, and active experimentation. By applying this model, I will systematically analyse my experiences, draw meaningful insights, and develop actionable plans for future growth.</w:t>
      </w:r>
    </w:p>
    <w:p w14:paraId="29BEE9DC" w14:textId="2DC58EC6" w:rsidR="70EB0371" w:rsidRPr="0005272F" w:rsidRDefault="70EB0371" w:rsidP="70EB0371">
      <w:pPr>
        <w:spacing w:before="240" w:after="240"/>
        <w:rPr>
          <w:rFonts w:ascii="Calibri" w:eastAsia="Calibri" w:hAnsi="Calibri" w:cs="Calibri"/>
          <w:b/>
          <w:bCs/>
        </w:rPr>
      </w:pPr>
    </w:p>
    <w:p w14:paraId="6C9F7BB4" w14:textId="34B23E36" w:rsidR="54FAD7F4" w:rsidRPr="0005272F" w:rsidRDefault="54FAD7F4" w:rsidP="70EB0371">
      <w:pPr>
        <w:pStyle w:val="Cmsor1"/>
        <w:rPr>
          <w:rFonts w:ascii="Calibri" w:eastAsia="Calibri" w:hAnsi="Calibri" w:cs="Calibri"/>
          <w:b/>
          <w:bCs/>
          <w:sz w:val="24"/>
          <w:szCs w:val="24"/>
        </w:rPr>
      </w:pPr>
      <w:bookmarkStart w:id="4" w:name="_Toc973309202"/>
      <w:bookmarkStart w:id="5" w:name="_Toc185158166"/>
      <w:r w:rsidRPr="0005272F">
        <w:t>Introduction</w:t>
      </w:r>
      <w:bookmarkEnd w:id="4"/>
      <w:bookmarkEnd w:id="5"/>
    </w:p>
    <w:p w14:paraId="307EFAF4" w14:textId="435F8B02" w:rsidR="45611527" w:rsidRPr="0005272F" w:rsidRDefault="45611527" w:rsidP="70EB0371">
      <w:pPr>
        <w:spacing w:before="240" w:after="240"/>
        <w:rPr>
          <w:rFonts w:ascii="Calibri" w:eastAsia="Calibri" w:hAnsi="Calibri" w:cs="Calibri"/>
          <w:b/>
          <w:bCs/>
        </w:rPr>
      </w:pPr>
      <w:r w:rsidRPr="0005272F">
        <w:rPr>
          <w:rFonts w:ascii="Calibri" w:eastAsia="Calibri" w:hAnsi="Calibri" w:cs="Calibri"/>
        </w:rPr>
        <w:t xml:space="preserve">GLS Hungary is a prominent player in the logistics and parcel delivery industry, known for its reliable and efficient services. As part of the GLS Group, which operates across Europe, GLS Hungary offers a wide range of delivery solutions tailored to meet the needs of both businesses and individuals. The company prides itself on its commitment to quality, speed, and customer satisfaction. One of the key strengths of GLS Hungary is its extensive network of Parcel Shops and automated parcel lockers, which provide convenient drop-off and pick-up points for customers. With over 1,000 Parcel Shops nationwide, GLS ensures that customers have easy access to their services, whether they are sending or receiving parcels2.GLS Hungary offers both domestic and international shipping options. Domestically, the company guarantees next-day delivery across Hungary, ensuring that parcels reach their destinations quickly and securely. For international shipments, GLS provides reliable delivery services to </w:t>
      </w:r>
      <w:r w:rsidR="00F47D0F" w:rsidRPr="0005272F">
        <w:rPr>
          <w:rFonts w:ascii="Calibri" w:eastAsia="Calibri" w:hAnsi="Calibri" w:cs="Calibri"/>
        </w:rPr>
        <w:t>neighbouring</w:t>
      </w:r>
      <w:r w:rsidRPr="0005272F">
        <w:rPr>
          <w:rFonts w:ascii="Calibri" w:eastAsia="Calibri" w:hAnsi="Calibri" w:cs="Calibri"/>
        </w:rPr>
        <w:t xml:space="preserve"> countries within 24 to 48 hours, and to more distant European destinations within 48 to 120 hours. In addition to standard parcel delivery, GLS Hungary offers specialized services such as cash on delivery, which is available for shipments to several Eastern European countries. The company also places a strong emphasis on security and fraud prevention, taking all necessary measures to protect customers from scams and fraudulent activities. Overall, GLS Hungary stands out for its comprehensive range of services, extensive network, and unwavering commitment to customer satisfaction, making it a trusted partner for all parcel delivery needs</w:t>
      </w:r>
      <w:r w:rsidR="232F0F27" w:rsidRPr="0005272F">
        <w:rPr>
          <w:rFonts w:ascii="Calibri" w:eastAsia="Calibri" w:hAnsi="Calibri" w:cs="Calibri"/>
        </w:rPr>
        <w:t>.</w:t>
      </w:r>
    </w:p>
    <w:p w14:paraId="544783ED" w14:textId="174460F1" w:rsidR="569E1471" w:rsidRPr="0005272F" w:rsidRDefault="569E1471" w:rsidP="70EB0371">
      <w:pPr>
        <w:pStyle w:val="Cmsor1"/>
        <w:rPr>
          <w:rFonts w:ascii="Calibri" w:eastAsia="Calibri" w:hAnsi="Calibri" w:cs="Calibri"/>
          <w:b/>
          <w:bCs/>
          <w:sz w:val="24"/>
          <w:szCs w:val="24"/>
        </w:rPr>
      </w:pPr>
      <w:bookmarkStart w:id="6" w:name="_Toc466033240"/>
      <w:bookmarkStart w:id="7" w:name="_Toc185158167"/>
      <w:r w:rsidRPr="0005272F">
        <w:lastRenderedPageBreak/>
        <w:t>Critical Evaluation of the Purpose of Coaching and Mentoring within a Workplace</w:t>
      </w:r>
      <w:bookmarkEnd w:id="6"/>
      <w:bookmarkEnd w:id="7"/>
    </w:p>
    <w:p w14:paraId="28B24FF2" w14:textId="33EDE1BE" w:rsidR="70EB0371" w:rsidRPr="0005272F" w:rsidRDefault="70EB0371" w:rsidP="70EB0371"/>
    <w:p w14:paraId="74F5C3A7" w14:textId="64B54DF4" w:rsidR="4A5FA330" w:rsidRPr="0005272F" w:rsidRDefault="4A5FA330" w:rsidP="70EB0371">
      <w:pPr>
        <w:rPr>
          <w:rFonts w:ascii="Calibri" w:eastAsia="Calibri" w:hAnsi="Calibri" w:cs="Calibri"/>
        </w:rPr>
      </w:pPr>
      <w:r w:rsidRPr="0005272F">
        <w:rPr>
          <w:rFonts w:ascii="Calibri" w:eastAsia="Calibri" w:hAnsi="Calibri" w:cs="Calibri"/>
        </w:rPr>
        <w:t>Coaching and mentoring are essential developmental tools within the workplace, each serving distinct yet complementary purposes. Coaching is primarily used to enhance an individual's performance, skills, and competencies in specific areas. It is often goal-oriented and focuses on short-term achievements. According to Whitmore (20</w:t>
      </w:r>
      <w:r w:rsidR="00EB7748" w:rsidRPr="0005272F">
        <w:rPr>
          <w:rFonts w:ascii="Calibri" w:eastAsia="Calibri" w:hAnsi="Calibri" w:cs="Calibri"/>
        </w:rPr>
        <w:t>10</w:t>
      </w:r>
      <w:r w:rsidRPr="0005272F">
        <w:rPr>
          <w:rFonts w:ascii="Calibri" w:eastAsia="Calibri" w:hAnsi="Calibri" w:cs="Calibri"/>
        </w:rPr>
        <w:t>), coaching involves unlocking a person's potential to maximize their performance. This process is typically structured, with regular sessions and measurable outcomes.</w:t>
      </w:r>
    </w:p>
    <w:p w14:paraId="21F40608" w14:textId="36E4C756" w:rsidR="4A5FA330" w:rsidRPr="0005272F" w:rsidRDefault="4A5FA330" w:rsidP="70EB0371">
      <w:pPr>
        <w:rPr>
          <w:rFonts w:ascii="Calibri" w:eastAsia="Calibri" w:hAnsi="Calibri" w:cs="Calibri"/>
        </w:rPr>
      </w:pPr>
      <w:r w:rsidRPr="0005272F">
        <w:rPr>
          <w:rFonts w:ascii="Calibri" w:eastAsia="Calibri" w:hAnsi="Calibri" w:cs="Calibri"/>
        </w:rPr>
        <w:t xml:space="preserve">Mentoring, on the other hand, is a broader developmental relationship where a more experienced individual (the mentor) provides guidance, support, and advice to a less experienced person (the mentee). Mentoring aims to foster personal and professional growth over a longer period. Kram (1985) describes mentoring as a developmental relationship that enhances both personal and professional growth. Mentoring often includes career development, personal growth, and professional networking. </w:t>
      </w:r>
    </w:p>
    <w:p w14:paraId="4002A2FD" w14:textId="6DED7D38" w:rsidR="4A5FA330" w:rsidRPr="0005272F" w:rsidRDefault="4A5FA330" w:rsidP="70EB0371">
      <w:pPr>
        <w:rPr>
          <w:rFonts w:ascii="Calibri" w:eastAsia="Calibri" w:hAnsi="Calibri" w:cs="Calibri"/>
        </w:rPr>
      </w:pPr>
      <w:r w:rsidRPr="0005272F">
        <w:rPr>
          <w:rFonts w:ascii="Calibri" w:eastAsia="Calibri" w:hAnsi="Calibri" w:cs="Calibri"/>
        </w:rPr>
        <w:t>The main purposes of coaching in the workplace include improving performance, developing specific skills, and achieving short-term goals. Coaching can be particularly effective in addressing performance issues, enhancing leadership skills, and supporting career transitions. For example, a study by Grant (201</w:t>
      </w:r>
      <w:r w:rsidR="00A311D7" w:rsidRPr="0005272F">
        <w:rPr>
          <w:rFonts w:ascii="Calibri" w:eastAsia="Calibri" w:hAnsi="Calibri" w:cs="Calibri"/>
        </w:rPr>
        <w:t>3</w:t>
      </w:r>
      <w:r w:rsidRPr="0005272F">
        <w:rPr>
          <w:rFonts w:ascii="Calibri" w:eastAsia="Calibri" w:hAnsi="Calibri" w:cs="Calibri"/>
        </w:rPr>
        <w:t>) found that coaching significantly improved goal attainment, resilience, and workplace well-being.</w:t>
      </w:r>
    </w:p>
    <w:p w14:paraId="0ADDF390" w14:textId="27588321" w:rsidR="4A5FA330" w:rsidRPr="0005272F" w:rsidRDefault="4A5FA330" w:rsidP="70EB0371">
      <w:pPr>
        <w:rPr>
          <w:rFonts w:ascii="Calibri" w:eastAsia="Calibri" w:hAnsi="Calibri" w:cs="Calibri"/>
        </w:rPr>
      </w:pPr>
      <w:r w:rsidRPr="0005272F">
        <w:rPr>
          <w:rFonts w:ascii="Calibri" w:eastAsia="Calibri" w:hAnsi="Calibri" w:cs="Calibri"/>
        </w:rPr>
        <w:t>Mentoring, in contrast, serves purposes such as career development, knowledge transfer, and long-term personal growth. Mentoring relationships can help mentees navigate organizational culture, build professional networks, and develop a broader understanding of their career path. Ragins and Kram (2007) highlight that mentoring can lead to increased job satisfaction, career advancement, and organizational commitment.</w:t>
      </w:r>
    </w:p>
    <w:p w14:paraId="530A511B" w14:textId="4A24C212" w:rsidR="4A5FA330" w:rsidRPr="0005272F" w:rsidRDefault="4A5FA330" w:rsidP="70EB0371">
      <w:pPr>
        <w:rPr>
          <w:rFonts w:ascii="Calibri" w:eastAsia="Calibri" w:hAnsi="Calibri" w:cs="Calibri"/>
        </w:rPr>
      </w:pPr>
      <w:r w:rsidRPr="0005272F">
        <w:rPr>
          <w:rFonts w:ascii="Calibri" w:eastAsia="Calibri" w:hAnsi="Calibri" w:cs="Calibri"/>
        </w:rPr>
        <w:t>While both coaching and mentoring aim to support individual development, they differ in several key aspects. Coaching is typically short-term, performance-focused, and structured, with specific goals and outcomes. Mentoring, however, is usually long-term, relationship-focused, and less structured, with a broader scope of development. Garvey, Stokes, and Megginson (2014) note that coaching often involves a formal agreement and regular sessions, whereas mentoring relationships can be more informal and flexible.</w:t>
      </w:r>
    </w:p>
    <w:p w14:paraId="171D3FB8" w14:textId="5D71CC55" w:rsidR="4A5FA330" w:rsidRPr="0005272F" w:rsidRDefault="4A5FA330" w:rsidP="70EB0371">
      <w:pPr>
        <w:rPr>
          <w:rFonts w:ascii="Calibri" w:eastAsia="Calibri" w:hAnsi="Calibri" w:cs="Calibri"/>
        </w:rPr>
      </w:pPr>
      <w:r w:rsidRPr="0005272F">
        <w:rPr>
          <w:rFonts w:ascii="Calibri" w:eastAsia="Calibri" w:hAnsi="Calibri" w:cs="Calibri"/>
        </w:rPr>
        <w:t>In conclusion, coaching and mentoring are valuable tools for individual and organizational development. While coaching focuses on enhancing performance and achieving short-term goals, mentoring provides long-term support for personal and professional growth. Both approaches have their unique benefits and can be effectively integrated to create a comprehensive developmental strategy within the workplace.</w:t>
      </w:r>
    </w:p>
    <w:p w14:paraId="56F3E1B4" w14:textId="32686790" w:rsidR="70EB0371" w:rsidRPr="0005272F" w:rsidRDefault="70EB0371" w:rsidP="70EB0371">
      <w:pPr>
        <w:rPr>
          <w:rFonts w:ascii="Calibri" w:eastAsia="Calibri" w:hAnsi="Calibri" w:cs="Calibri"/>
          <w:b/>
          <w:bCs/>
        </w:rPr>
      </w:pPr>
    </w:p>
    <w:p w14:paraId="66B00F67" w14:textId="1EB0CB6E" w:rsidR="26FBBD04" w:rsidRPr="0005272F" w:rsidRDefault="26FBBD04" w:rsidP="70EB0371">
      <w:pPr>
        <w:pStyle w:val="Cmsor1"/>
        <w:rPr>
          <w:rFonts w:ascii="Calibri" w:eastAsia="Calibri" w:hAnsi="Calibri" w:cs="Calibri"/>
          <w:b/>
          <w:bCs/>
        </w:rPr>
      </w:pPr>
      <w:bookmarkStart w:id="8" w:name="_Toc48643589"/>
      <w:bookmarkStart w:id="9" w:name="_Toc185158168"/>
      <w:r w:rsidRPr="0005272F">
        <w:lastRenderedPageBreak/>
        <w:t>Critical Analysis of the GROW Model of Coaching</w:t>
      </w:r>
      <w:bookmarkEnd w:id="8"/>
      <w:bookmarkEnd w:id="9"/>
    </w:p>
    <w:p w14:paraId="4E193E23" w14:textId="2C29DFA0" w:rsidR="70EB0371" w:rsidRPr="0005272F" w:rsidRDefault="70EB0371" w:rsidP="70EB0371"/>
    <w:p w14:paraId="0DFB3583" w14:textId="4DDE52A3" w:rsidR="26FBBD04" w:rsidRPr="0005272F" w:rsidRDefault="26FBBD04" w:rsidP="70EB0371">
      <w:pPr>
        <w:rPr>
          <w:rFonts w:ascii="Calibri" w:eastAsia="Calibri" w:hAnsi="Calibri" w:cs="Calibri"/>
        </w:rPr>
      </w:pPr>
      <w:r w:rsidRPr="0005272F">
        <w:rPr>
          <w:rFonts w:ascii="Calibri" w:eastAsia="Calibri" w:hAnsi="Calibri" w:cs="Calibri"/>
        </w:rPr>
        <w:t>The GROW model, developed by Sir John Whitmore in the late 1980s, is one of the most widely used frameworks in coaching. GROW stands for Goal, Reality, Options, and Will, representing the four stages of the coaching process. This model provides a structured approach to coaching, helping individuals set and achieve their goals through a series of guided questions and reflections.</w:t>
      </w:r>
    </w:p>
    <w:p w14:paraId="3D6A19F7" w14:textId="33031B53" w:rsidR="26FBBD04" w:rsidRPr="0005272F" w:rsidRDefault="26FBBD04" w:rsidP="70EB0371">
      <w:pPr>
        <w:pStyle w:val="Cmsor2"/>
        <w:rPr>
          <w:rFonts w:ascii="Calibri" w:eastAsia="Calibri" w:hAnsi="Calibri" w:cs="Calibri"/>
          <w:b/>
          <w:bCs/>
        </w:rPr>
      </w:pPr>
      <w:bookmarkStart w:id="10" w:name="_Toc1094035373"/>
      <w:bookmarkStart w:id="11" w:name="_Toc185158169"/>
      <w:r w:rsidRPr="0005272F">
        <w:t>Definition and Literature Support</w:t>
      </w:r>
      <w:bookmarkEnd w:id="10"/>
      <w:bookmarkEnd w:id="11"/>
    </w:p>
    <w:p w14:paraId="7BE81EDA" w14:textId="2E3E9431" w:rsidR="26FBBD04" w:rsidRPr="0005272F" w:rsidRDefault="26FBBD04" w:rsidP="70EB0371">
      <w:pPr>
        <w:rPr>
          <w:rFonts w:ascii="Calibri" w:eastAsia="Calibri" w:hAnsi="Calibri" w:cs="Calibri"/>
        </w:rPr>
      </w:pPr>
      <w:r w:rsidRPr="0005272F">
        <w:rPr>
          <w:rFonts w:ascii="Calibri" w:eastAsia="Calibri" w:hAnsi="Calibri" w:cs="Calibri"/>
        </w:rPr>
        <w:t xml:space="preserve"> The GROW model begins with the Goal stage, where the coach and coachee define the desired outcome. This stage focuses on setting clear, specific, and achievable goals. The Reality stage involves assessing the current situation and identifying any obstacles or challenges. This stage encourages honest reflection and helps the coachee understand their starting point. In the Options stage, the coach and coachee brainstorm possible strategies and solutions to achieve the goal. This stage fosters creativity and encourages the exploration of various alternatives. The final stage, Will, focuses on commitment and action. The coachee decides on the best course of action and sets a plan to implement it. </w:t>
      </w:r>
    </w:p>
    <w:p w14:paraId="73E9523B" w14:textId="4FBADFF8" w:rsidR="26FBBD04" w:rsidRPr="0005272F" w:rsidRDefault="26FBBD04" w:rsidP="70EB0371">
      <w:pPr>
        <w:pStyle w:val="Cmsor2"/>
        <w:rPr>
          <w:rFonts w:ascii="Calibri" w:eastAsia="Calibri" w:hAnsi="Calibri" w:cs="Calibri"/>
          <w:b/>
          <w:bCs/>
        </w:rPr>
      </w:pPr>
      <w:bookmarkStart w:id="12" w:name="_Toc1483194038"/>
      <w:bookmarkStart w:id="13" w:name="_Toc185158170"/>
      <w:r w:rsidRPr="0005272F">
        <w:t>Critical Analysis</w:t>
      </w:r>
      <w:bookmarkEnd w:id="12"/>
      <w:bookmarkEnd w:id="13"/>
    </w:p>
    <w:p w14:paraId="3A6092B7" w14:textId="6EB651EE" w:rsidR="26FBBD04" w:rsidRPr="0005272F" w:rsidRDefault="26FBBD04" w:rsidP="70EB0371">
      <w:pPr>
        <w:rPr>
          <w:rFonts w:ascii="Calibri" w:eastAsia="Calibri" w:hAnsi="Calibri" w:cs="Calibri"/>
        </w:rPr>
      </w:pPr>
      <w:r w:rsidRPr="0005272F">
        <w:rPr>
          <w:rFonts w:ascii="Calibri" w:eastAsia="Calibri" w:hAnsi="Calibri" w:cs="Calibri"/>
        </w:rPr>
        <w:t xml:space="preserve">The GROW model has several advantages. Firstly, its structured approach provides a clear framework for both the coach and coachee, making the coaching process more efficient and focused. Secondly, the model's emphasis on </w:t>
      </w:r>
      <w:r w:rsidR="007662A1" w:rsidRPr="0005272F">
        <w:rPr>
          <w:rFonts w:ascii="Calibri" w:eastAsia="Calibri" w:hAnsi="Calibri" w:cs="Calibri"/>
        </w:rPr>
        <w:t>goal setting</w:t>
      </w:r>
      <w:r w:rsidRPr="0005272F">
        <w:rPr>
          <w:rFonts w:ascii="Calibri" w:eastAsia="Calibri" w:hAnsi="Calibri" w:cs="Calibri"/>
        </w:rPr>
        <w:t xml:space="preserve"> and action planning helps individuals achieve tangible results. Thirdly, the GROW model encourages self-reflection and self-awareness, which are essential for personal growth and development.</w:t>
      </w:r>
      <w:r w:rsidR="190BF15E" w:rsidRPr="0005272F">
        <w:rPr>
          <w:rFonts w:ascii="Calibri" w:eastAsia="Calibri" w:hAnsi="Calibri" w:cs="Calibri"/>
        </w:rPr>
        <w:t xml:space="preserve"> </w:t>
      </w:r>
      <w:r w:rsidRPr="0005272F">
        <w:rPr>
          <w:rFonts w:ascii="Calibri" w:eastAsia="Calibri" w:hAnsi="Calibri" w:cs="Calibri"/>
        </w:rPr>
        <w:t>However, the GROW model also has some limitations. One potential disadvantage is its linear structure, which may not always accommodate the complexities of real-life situations. Some critics argue that the model can be too rigid and may not allow for flexibility in the coaching process. Additionally, the GROW model relies heavily on the coachee's ability to self-reflect and generate options, which may be challenging for individuals who lack self-awareness or creativity.</w:t>
      </w:r>
    </w:p>
    <w:p w14:paraId="18597903" w14:textId="4388B1C4" w:rsidR="70EB0371" w:rsidRPr="0005272F" w:rsidRDefault="70EB0371" w:rsidP="70EB0371">
      <w:pPr>
        <w:rPr>
          <w:rFonts w:ascii="Calibri" w:eastAsia="Calibri" w:hAnsi="Calibri" w:cs="Calibri"/>
          <w:b/>
          <w:bCs/>
        </w:rPr>
      </w:pPr>
    </w:p>
    <w:p w14:paraId="20011EA1" w14:textId="5A7A8636" w:rsidR="70EB0371" w:rsidRPr="0005272F" w:rsidRDefault="70EB0371" w:rsidP="70EB0371">
      <w:pPr>
        <w:rPr>
          <w:rFonts w:ascii="Calibri" w:eastAsia="Calibri" w:hAnsi="Calibri" w:cs="Calibri"/>
          <w:b/>
          <w:bCs/>
        </w:rPr>
      </w:pPr>
    </w:p>
    <w:p w14:paraId="052BE055" w14:textId="7D00BAEE" w:rsidR="70EB0371" w:rsidRPr="0005272F" w:rsidRDefault="70EB0371" w:rsidP="70EB0371">
      <w:pPr>
        <w:rPr>
          <w:rFonts w:ascii="Calibri" w:eastAsia="Calibri" w:hAnsi="Calibri" w:cs="Calibri"/>
          <w:b/>
          <w:bCs/>
        </w:rPr>
      </w:pPr>
    </w:p>
    <w:p w14:paraId="2D906429" w14:textId="79810F2F" w:rsidR="70EB0371" w:rsidRPr="0005272F" w:rsidRDefault="70EB0371" w:rsidP="70EB0371">
      <w:pPr>
        <w:rPr>
          <w:rFonts w:ascii="Calibri" w:eastAsia="Calibri" w:hAnsi="Calibri" w:cs="Calibri"/>
          <w:b/>
          <w:bCs/>
        </w:rPr>
      </w:pPr>
    </w:p>
    <w:p w14:paraId="4476AFC9" w14:textId="59B2EB05" w:rsidR="70EB0371" w:rsidRPr="0005272F" w:rsidRDefault="70EB0371" w:rsidP="70EB0371">
      <w:pPr>
        <w:rPr>
          <w:rFonts w:ascii="Calibri" w:eastAsia="Calibri" w:hAnsi="Calibri" w:cs="Calibri"/>
          <w:b/>
          <w:bCs/>
        </w:rPr>
      </w:pPr>
    </w:p>
    <w:p w14:paraId="15E6FD03" w14:textId="7E33E523" w:rsidR="70EB0371" w:rsidRPr="0005272F" w:rsidRDefault="70EB0371" w:rsidP="70EB0371">
      <w:pPr>
        <w:rPr>
          <w:rFonts w:ascii="Calibri" w:eastAsia="Calibri" w:hAnsi="Calibri" w:cs="Calibri"/>
          <w:b/>
          <w:bCs/>
        </w:rPr>
      </w:pPr>
    </w:p>
    <w:p w14:paraId="57A3323F" w14:textId="4C86CC36" w:rsidR="70EB0371" w:rsidRPr="0005272F" w:rsidRDefault="70EB0371" w:rsidP="70EB0371">
      <w:pPr>
        <w:rPr>
          <w:rFonts w:ascii="Calibri" w:eastAsia="Calibri" w:hAnsi="Calibri" w:cs="Calibri"/>
          <w:b/>
          <w:bCs/>
        </w:rPr>
      </w:pPr>
    </w:p>
    <w:p w14:paraId="0D4F61E2" w14:textId="4754DCC0" w:rsidR="26FBBD04" w:rsidRPr="0005272F" w:rsidRDefault="26FBBD04" w:rsidP="70EB0371">
      <w:pPr>
        <w:pStyle w:val="Cmsor2"/>
        <w:rPr>
          <w:rFonts w:ascii="Calibri" w:eastAsia="Calibri" w:hAnsi="Calibri" w:cs="Calibri"/>
          <w:b/>
          <w:bCs/>
        </w:rPr>
      </w:pPr>
      <w:bookmarkStart w:id="14" w:name="_Toc649972895"/>
      <w:bookmarkStart w:id="15" w:name="_Toc185158171"/>
      <w:r w:rsidRPr="0005272F">
        <w:lastRenderedPageBreak/>
        <w:t>Situational Usefulness</w:t>
      </w:r>
      <w:bookmarkEnd w:id="14"/>
      <w:bookmarkEnd w:id="15"/>
    </w:p>
    <w:p w14:paraId="49709E92" w14:textId="2D561867" w:rsidR="26FBBD04" w:rsidRPr="0005272F" w:rsidRDefault="26FBBD04" w:rsidP="70EB0371">
      <w:pPr>
        <w:rPr>
          <w:rFonts w:ascii="Calibri" w:eastAsia="Calibri" w:hAnsi="Calibri" w:cs="Calibri"/>
        </w:rPr>
      </w:pPr>
      <w:r w:rsidRPr="0005272F">
        <w:rPr>
          <w:rFonts w:ascii="Calibri" w:eastAsia="Calibri" w:hAnsi="Calibri" w:cs="Calibri"/>
        </w:rPr>
        <w:t>The GROW model is particularly useful in situations where clear goals and action plans are needed. For example, it can be highly effective in performance coaching, where the focus is on improving specific skills or achieving short-term objectives. The model's structured approach helps individuals break down their goals into manageable steps and track their progress.</w:t>
      </w:r>
      <w:r w:rsidR="6449D110" w:rsidRPr="0005272F">
        <w:rPr>
          <w:rFonts w:ascii="Calibri" w:eastAsia="Calibri" w:hAnsi="Calibri" w:cs="Calibri"/>
        </w:rPr>
        <w:t xml:space="preserve"> </w:t>
      </w:r>
      <w:r w:rsidRPr="0005272F">
        <w:rPr>
          <w:rFonts w:ascii="Calibri" w:eastAsia="Calibri" w:hAnsi="Calibri" w:cs="Calibri"/>
        </w:rPr>
        <w:t>In contrast, the GROW model may be less effective in situations that require a more flexible and adaptive approach. For instance, in transformational coaching, where the focus is on deep personal change and long-term development, a more holistic and less structured model may be more appropriate.</w:t>
      </w:r>
      <w:r w:rsidR="52C8A206" w:rsidRPr="0005272F">
        <w:rPr>
          <w:rFonts w:ascii="Calibri" w:eastAsia="Calibri" w:hAnsi="Calibri" w:cs="Calibri"/>
        </w:rPr>
        <w:t xml:space="preserve"> </w:t>
      </w:r>
      <w:r w:rsidRPr="0005272F">
        <w:rPr>
          <w:rFonts w:ascii="Calibri" w:eastAsia="Calibri" w:hAnsi="Calibri" w:cs="Calibri"/>
        </w:rPr>
        <w:t>The GROW model is a valuable tool in the coaching toolkit, offering a structured and goal-oriented approach to personal and professional development. While it has its limitations, its strengths make it a popular choice for many coaching scenarios.</w:t>
      </w:r>
    </w:p>
    <w:p w14:paraId="2A0A0CB0" w14:textId="39B66753" w:rsidR="70EB0371" w:rsidRPr="0005272F" w:rsidRDefault="70EB0371" w:rsidP="70EB0371">
      <w:pPr>
        <w:rPr>
          <w:rFonts w:ascii="Calibri" w:eastAsia="Calibri" w:hAnsi="Calibri" w:cs="Calibri"/>
        </w:rPr>
      </w:pPr>
    </w:p>
    <w:p w14:paraId="59AC14F7" w14:textId="5B158E6F" w:rsidR="70EB0371" w:rsidRPr="0005272F" w:rsidRDefault="70EB0371" w:rsidP="70EB0371">
      <w:pPr>
        <w:rPr>
          <w:rFonts w:ascii="Calibri" w:eastAsia="Calibri" w:hAnsi="Calibri" w:cs="Calibri"/>
        </w:rPr>
      </w:pPr>
    </w:p>
    <w:p w14:paraId="2A009B8E" w14:textId="68C285E8" w:rsidR="70EB0371" w:rsidRPr="0005272F" w:rsidRDefault="70EB0371" w:rsidP="70EB0371">
      <w:pPr>
        <w:rPr>
          <w:rFonts w:ascii="Calibri" w:eastAsia="Calibri" w:hAnsi="Calibri" w:cs="Calibri"/>
        </w:rPr>
      </w:pPr>
    </w:p>
    <w:p w14:paraId="7538B4CE" w14:textId="400681E6" w:rsidR="70EB0371" w:rsidRPr="0005272F" w:rsidRDefault="70EB0371" w:rsidP="70EB0371">
      <w:pPr>
        <w:rPr>
          <w:rFonts w:ascii="Calibri" w:eastAsia="Calibri" w:hAnsi="Calibri" w:cs="Calibri"/>
        </w:rPr>
      </w:pPr>
    </w:p>
    <w:p w14:paraId="213324A9" w14:textId="40E8A2EE" w:rsidR="70EB0371" w:rsidRPr="0005272F" w:rsidRDefault="70EB0371" w:rsidP="70EB0371">
      <w:pPr>
        <w:rPr>
          <w:rFonts w:ascii="Calibri" w:eastAsia="Calibri" w:hAnsi="Calibri" w:cs="Calibri"/>
        </w:rPr>
      </w:pPr>
    </w:p>
    <w:p w14:paraId="4E83C2DC" w14:textId="4EFF8B06" w:rsidR="70EB0371" w:rsidRPr="0005272F" w:rsidRDefault="70EB0371" w:rsidP="70EB0371">
      <w:pPr>
        <w:rPr>
          <w:rFonts w:ascii="Calibri" w:eastAsia="Calibri" w:hAnsi="Calibri" w:cs="Calibri"/>
        </w:rPr>
      </w:pPr>
    </w:p>
    <w:p w14:paraId="11B5F9D8" w14:textId="2F9BCC7A" w:rsidR="70EB0371" w:rsidRPr="0005272F" w:rsidRDefault="70EB0371" w:rsidP="70EB0371">
      <w:pPr>
        <w:rPr>
          <w:rFonts w:ascii="Calibri" w:eastAsia="Calibri" w:hAnsi="Calibri" w:cs="Calibri"/>
        </w:rPr>
      </w:pPr>
    </w:p>
    <w:p w14:paraId="6B407D58" w14:textId="7A5D9E45" w:rsidR="70EB0371" w:rsidRPr="0005272F" w:rsidRDefault="70EB0371" w:rsidP="70EB0371">
      <w:pPr>
        <w:rPr>
          <w:rFonts w:ascii="Calibri" w:eastAsia="Calibri" w:hAnsi="Calibri" w:cs="Calibri"/>
        </w:rPr>
      </w:pPr>
    </w:p>
    <w:p w14:paraId="2315B12C" w14:textId="2ADE403D" w:rsidR="70EB0371" w:rsidRPr="0005272F" w:rsidRDefault="70EB0371" w:rsidP="70EB0371">
      <w:pPr>
        <w:rPr>
          <w:rFonts w:ascii="Calibri" w:eastAsia="Calibri" w:hAnsi="Calibri" w:cs="Calibri"/>
        </w:rPr>
      </w:pPr>
    </w:p>
    <w:p w14:paraId="551D223A" w14:textId="51641838" w:rsidR="70EB0371" w:rsidRPr="0005272F" w:rsidRDefault="70EB0371" w:rsidP="70EB0371">
      <w:pPr>
        <w:rPr>
          <w:rFonts w:ascii="Calibri" w:eastAsia="Calibri" w:hAnsi="Calibri" w:cs="Calibri"/>
        </w:rPr>
      </w:pPr>
    </w:p>
    <w:p w14:paraId="040E72B5" w14:textId="2B756BC2" w:rsidR="70EB0371" w:rsidRPr="0005272F" w:rsidRDefault="70EB0371" w:rsidP="70EB0371">
      <w:pPr>
        <w:rPr>
          <w:rFonts w:ascii="Calibri" w:eastAsia="Calibri" w:hAnsi="Calibri" w:cs="Calibri"/>
        </w:rPr>
      </w:pPr>
    </w:p>
    <w:p w14:paraId="23E2F4C5" w14:textId="702D2963" w:rsidR="70EB0371" w:rsidRPr="0005272F" w:rsidRDefault="70EB0371" w:rsidP="70EB0371">
      <w:pPr>
        <w:rPr>
          <w:rFonts w:ascii="Calibri" w:eastAsia="Calibri" w:hAnsi="Calibri" w:cs="Calibri"/>
        </w:rPr>
      </w:pPr>
    </w:p>
    <w:p w14:paraId="3FFCA73C" w14:textId="7E2D8565" w:rsidR="70EB0371" w:rsidRPr="0005272F" w:rsidRDefault="70EB0371" w:rsidP="70EB0371">
      <w:pPr>
        <w:rPr>
          <w:rFonts w:ascii="Calibri" w:eastAsia="Calibri" w:hAnsi="Calibri" w:cs="Calibri"/>
        </w:rPr>
      </w:pPr>
    </w:p>
    <w:p w14:paraId="52769ABF" w14:textId="6037F3E4" w:rsidR="70EB0371" w:rsidRPr="0005272F" w:rsidRDefault="70EB0371" w:rsidP="70EB0371">
      <w:pPr>
        <w:rPr>
          <w:rFonts w:ascii="Calibri" w:eastAsia="Calibri" w:hAnsi="Calibri" w:cs="Calibri"/>
        </w:rPr>
      </w:pPr>
    </w:p>
    <w:p w14:paraId="799A9C5E" w14:textId="407BDC8B" w:rsidR="70EB0371" w:rsidRPr="0005272F" w:rsidRDefault="70EB0371" w:rsidP="70EB0371">
      <w:pPr>
        <w:rPr>
          <w:rFonts w:ascii="Calibri" w:eastAsia="Calibri" w:hAnsi="Calibri" w:cs="Calibri"/>
        </w:rPr>
      </w:pPr>
    </w:p>
    <w:p w14:paraId="2D929015" w14:textId="510B9FC5" w:rsidR="70EB0371" w:rsidRPr="0005272F" w:rsidRDefault="70EB0371" w:rsidP="70EB0371">
      <w:pPr>
        <w:rPr>
          <w:rFonts w:ascii="Calibri" w:eastAsia="Calibri" w:hAnsi="Calibri" w:cs="Calibri"/>
        </w:rPr>
      </w:pPr>
    </w:p>
    <w:p w14:paraId="617C7197" w14:textId="782034BC" w:rsidR="70EB0371" w:rsidRPr="0005272F" w:rsidRDefault="70EB0371" w:rsidP="70EB0371">
      <w:pPr>
        <w:rPr>
          <w:rFonts w:ascii="Calibri" w:eastAsia="Calibri" w:hAnsi="Calibri" w:cs="Calibri"/>
        </w:rPr>
      </w:pPr>
    </w:p>
    <w:p w14:paraId="11F0ACF7" w14:textId="42CA22D9" w:rsidR="70EB0371" w:rsidRPr="0005272F" w:rsidRDefault="70EB0371" w:rsidP="70EB0371">
      <w:pPr>
        <w:rPr>
          <w:rFonts w:ascii="Calibri" w:eastAsia="Calibri" w:hAnsi="Calibri" w:cs="Calibri"/>
        </w:rPr>
      </w:pPr>
    </w:p>
    <w:p w14:paraId="36C5C0A1" w14:textId="0806CCF8" w:rsidR="70EB0371" w:rsidRPr="0005272F" w:rsidRDefault="70EB0371" w:rsidP="70EB0371">
      <w:pPr>
        <w:rPr>
          <w:rFonts w:ascii="Calibri" w:eastAsia="Calibri" w:hAnsi="Calibri" w:cs="Calibri"/>
        </w:rPr>
      </w:pPr>
    </w:p>
    <w:p w14:paraId="09ADE5E7" w14:textId="78E35C27" w:rsidR="0005272F" w:rsidRDefault="0005272F" w:rsidP="0005272F">
      <w:pPr>
        <w:pStyle w:val="Cmsor1"/>
        <w:rPr>
          <w:rFonts w:eastAsia="Calibri"/>
        </w:rPr>
      </w:pPr>
      <w:bookmarkStart w:id="16" w:name="_Toc185158172"/>
      <w:r>
        <w:rPr>
          <w:rFonts w:eastAsia="Calibri"/>
        </w:rPr>
        <w:lastRenderedPageBreak/>
        <w:t>T</w:t>
      </w:r>
      <w:r w:rsidRPr="0005272F">
        <w:rPr>
          <w:rFonts w:eastAsia="Calibri"/>
        </w:rPr>
        <w:t>en essential coaching skills and their importance:</w:t>
      </w:r>
      <w:bookmarkEnd w:id="16"/>
    </w:p>
    <w:p w14:paraId="262E65A1" w14:textId="77777777" w:rsidR="0005272F" w:rsidRPr="0005272F" w:rsidRDefault="0005272F" w:rsidP="0005272F"/>
    <w:p w14:paraId="6F5988D6" w14:textId="77777777" w:rsidR="0005272F" w:rsidRPr="0005272F" w:rsidRDefault="0005272F" w:rsidP="0005272F">
      <w:pPr>
        <w:numPr>
          <w:ilvl w:val="0"/>
          <w:numId w:val="2"/>
        </w:numPr>
        <w:rPr>
          <w:rFonts w:ascii="Calibri" w:eastAsia="Calibri" w:hAnsi="Calibri" w:cs="Calibri"/>
        </w:rPr>
      </w:pPr>
      <w:r w:rsidRPr="0005272F">
        <w:rPr>
          <w:rFonts w:ascii="Calibri" w:eastAsia="Calibri" w:hAnsi="Calibri" w:cs="Calibri"/>
          <w:b/>
          <w:bCs/>
        </w:rPr>
        <w:t>Active Listening</w:t>
      </w:r>
      <w:r w:rsidRPr="0005272F">
        <w:rPr>
          <w:rFonts w:ascii="Calibri" w:eastAsia="Calibri" w:hAnsi="Calibri" w:cs="Calibri"/>
        </w:rPr>
        <w:t>: This involves fully concentrating, understanding, and responding to the coachee. Active listening helps build trust and ensures that the coach accurately understands the coachee's needs and concerns.</w:t>
      </w:r>
    </w:p>
    <w:p w14:paraId="58E3633D" w14:textId="77777777" w:rsidR="0005272F" w:rsidRPr="0005272F" w:rsidRDefault="0005272F" w:rsidP="0005272F">
      <w:pPr>
        <w:numPr>
          <w:ilvl w:val="0"/>
          <w:numId w:val="2"/>
        </w:numPr>
        <w:rPr>
          <w:rFonts w:ascii="Calibri" w:eastAsia="Calibri" w:hAnsi="Calibri" w:cs="Calibri"/>
        </w:rPr>
      </w:pPr>
      <w:r w:rsidRPr="0005272F">
        <w:rPr>
          <w:rFonts w:ascii="Calibri" w:eastAsia="Calibri" w:hAnsi="Calibri" w:cs="Calibri"/>
          <w:b/>
          <w:bCs/>
        </w:rPr>
        <w:t>Empathy</w:t>
      </w:r>
      <w:r w:rsidRPr="0005272F">
        <w:rPr>
          <w:rFonts w:ascii="Calibri" w:eastAsia="Calibri" w:hAnsi="Calibri" w:cs="Calibri"/>
        </w:rPr>
        <w:t>: The ability to understand and share the feelings of another person. Empathy helps create a supportive and non-judgmental environment, making the coachee feel valued and understood.</w:t>
      </w:r>
    </w:p>
    <w:p w14:paraId="266311C6" w14:textId="77777777" w:rsidR="0005272F" w:rsidRPr="0005272F" w:rsidRDefault="0005272F" w:rsidP="0005272F">
      <w:pPr>
        <w:numPr>
          <w:ilvl w:val="0"/>
          <w:numId w:val="2"/>
        </w:numPr>
        <w:rPr>
          <w:rFonts w:ascii="Calibri" w:eastAsia="Calibri" w:hAnsi="Calibri" w:cs="Calibri"/>
        </w:rPr>
      </w:pPr>
      <w:r w:rsidRPr="0005272F">
        <w:rPr>
          <w:rFonts w:ascii="Calibri" w:eastAsia="Calibri" w:hAnsi="Calibri" w:cs="Calibri"/>
          <w:b/>
          <w:bCs/>
        </w:rPr>
        <w:t>Questioning</w:t>
      </w:r>
      <w:r w:rsidRPr="0005272F">
        <w:rPr>
          <w:rFonts w:ascii="Calibri" w:eastAsia="Calibri" w:hAnsi="Calibri" w:cs="Calibri"/>
        </w:rPr>
        <w:t>: Asking open-ended and thought-provoking questions encourages the coachee to reflect deeply and explore their thoughts and feelings. This skill helps uncover underlying issues and promotes self-awareness.</w:t>
      </w:r>
    </w:p>
    <w:p w14:paraId="41ADA103" w14:textId="77777777" w:rsidR="0005272F" w:rsidRPr="0005272F" w:rsidRDefault="0005272F" w:rsidP="0005272F">
      <w:pPr>
        <w:numPr>
          <w:ilvl w:val="0"/>
          <w:numId w:val="2"/>
        </w:numPr>
        <w:rPr>
          <w:rFonts w:ascii="Calibri" w:eastAsia="Calibri" w:hAnsi="Calibri" w:cs="Calibri"/>
        </w:rPr>
      </w:pPr>
      <w:r w:rsidRPr="0005272F">
        <w:rPr>
          <w:rFonts w:ascii="Calibri" w:eastAsia="Calibri" w:hAnsi="Calibri" w:cs="Calibri"/>
          <w:b/>
          <w:bCs/>
        </w:rPr>
        <w:t>Feedback</w:t>
      </w:r>
      <w:r w:rsidRPr="0005272F">
        <w:rPr>
          <w:rFonts w:ascii="Calibri" w:eastAsia="Calibri" w:hAnsi="Calibri" w:cs="Calibri"/>
        </w:rPr>
        <w:t>: Providing constructive and timely feedback helps the coachee understand their progress and areas for improvement. Effective feedback is specific, actionable, and delivered in a supportive manner.</w:t>
      </w:r>
    </w:p>
    <w:p w14:paraId="3D06BFE4" w14:textId="77777777" w:rsidR="0005272F" w:rsidRPr="0005272F" w:rsidRDefault="0005272F" w:rsidP="0005272F">
      <w:pPr>
        <w:numPr>
          <w:ilvl w:val="0"/>
          <w:numId w:val="2"/>
        </w:numPr>
        <w:rPr>
          <w:rFonts w:ascii="Calibri" w:eastAsia="Calibri" w:hAnsi="Calibri" w:cs="Calibri"/>
        </w:rPr>
      </w:pPr>
      <w:r w:rsidRPr="0005272F">
        <w:rPr>
          <w:rFonts w:ascii="Calibri" w:eastAsia="Calibri" w:hAnsi="Calibri" w:cs="Calibri"/>
          <w:b/>
          <w:bCs/>
        </w:rPr>
        <w:t>Goal Setting</w:t>
      </w:r>
      <w:r w:rsidRPr="0005272F">
        <w:rPr>
          <w:rFonts w:ascii="Calibri" w:eastAsia="Calibri" w:hAnsi="Calibri" w:cs="Calibri"/>
        </w:rPr>
        <w:t>: Assisting the coachee in setting clear, achievable, and measurable goals. Goal setting provides direction and motivation, helping the coachee stay focused and committed to their objectives.</w:t>
      </w:r>
    </w:p>
    <w:p w14:paraId="46FC5276" w14:textId="77777777" w:rsidR="0005272F" w:rsidRPr="0005272F" w:rsidRDefault="0005272F" w:rsidP="0005272F">
      <w:pPr>
        <w:numPr>
          <w:ilvl w:val="0"/>
          <w:numId w:val="2"/>
        </w:numPr>
        <w:rPr>
          <w:rFonts w:ascii="Calibri" w:eastAsia="Calibri" w:hAnsi="Calibri" w:cs="Calibri"/>
        </w:rPr>
      </w:pPr>
      <w:r w:rsidRPr="0005272F">
        <w:rPr>
          <w:rFonts w:ascii="Calibri" w:eastAsia="Calibri" w:hAnsi="Calibri" w:cs="Calibri"/>
          <w:b/>
          <w:bCs/>
        </w:rPr>
        <w:t>Patience</w:t>
      </w:r>
      <w:r w:rsidRPr="0005272F">
        <w:rPr>
          <w:rFonts w:ascii="Calibri" w:eastAsia="Calibri" w:hAnsi="Calibri" w:cs="Calibri"/>
        </w:rPr>
        <w:t>: Allowing the coachee time to think, process information, and arrive at their own conclusions. Patience fosters a supportive environment and encourages independent problem-solving.</w:t>
      </w:r>
    </w:p>
    <w:p w14:paraId="58F46164" w14:textId="77777777" w:rsidR="0005272F" w:rsidRPr="0005272F" w:rsidRDefault="0005272F" w:rsidP="0005272F">
      <w:pPr>
        <w:numPr>
          <w:ilvl w:val="0"/>
          <w:numId w:val="2"/>
        </w:numPr>
        <w:rPr>
          <w:rFonts w:ascii="Calibri" w:eastAsia="Calibri" w:hAnsi="Calibri" w:cs="Calibri"/>
        </w:rPr>
      </w:pPr>
      <w:r w:rsidRPr="0005272F">
        <w:rPr>
          <w:rFonts w:ascii="Calibri" w:eastAsia="Calibri" w:hAnsi="Calibri" w:cs="Calibri"/>
          <w:b/>
          <w:bCs/>
        </w:rPr>
        <w:t>Building Rapport</w:t>
      </w:r>
      <w:r w:rsidRPr="0005272F">
        <w:rPr>
          <w:rFonts w:ascii="Calibri" w:eastAsia="Calibri" w:hAnsi="Calibri" w:cs="Calibri"/>
        </w:rPr>
        <w:t>: Establishing a strong, trusting relationship with the coachee. Building rapport creates a safe space for open communication and enhances the effectiveness of the coaching process.</w:t>
      </w:r>
    </w:p>
    <w:p w14:paraId="32492214" w14:textId="77777777" w:rsidR="0005272F" w:rsidRPr="0005272F" w:rsidRDefault="0005272F" w:rsidP="0005272F">
      <w:pPr>
        <w:numPr>
          <w:ilvl w:val="0"/>
          <w:numId w:val="2"/>
        </w:numPr>
        <w:rPr>
          <w:rFonts w:ascii="Calibri" w:eastAsia="Calibri" w:hAnsi="Calibri" w:cs="Calibri"/>
        </w:rPr>
      </w:pPr>
      <w:r w:rsidRPr="0005272F">
        <w:rPr>
          <w:rFonts w:ascii="Calibri" w:eastAsia="Calibri" w:hAnsi="Calibri" w:cs="Calibri"/>
          <w:b/>
          <w:bCs/>
        </w:rPr>
        <w:t>Adaptability</w:t>
      </w:r>
      <w:r w:rsidRPr="0005272F">
        <w:rPr>
          <w:rFonts w:ascii="Calibri" w:eastAsia="Calibri" w:hAnsi="Calibri" w:cs="Calibri"/>
        </w:rPr>
        <w:t>: Being flexible and adjusting coaching techniques to suit the coachee's unique needs and circumstances. Adaptability ensures that the coaching approach remains relevant and effective.</w:t>
      </w:r>
    </w:p>
    <w:p w14:paraId="3AAD308F" w14:textId="77777777" w:rsidR="0005272F" w:rsidRPr="0005272F" w:rsidRDefault="0005272F" w:rsidP="0005272F">
      <w:pPr>
        <w:numPr>
          <w:ilvl w:val="0"/>
          <w:numId w:val="2"/>
        </w:numPr>
        <w:rPr>
          <w:rFonts w:ascii="Calibri" w:eastAsia="Calibri" w:hAnsi="Calibri" w:cs="Calibri"/>
        </w:rPr>
      </w:pPr>
      <w:r w:rsidRPr="0005272F">
        <w:rPr>
          <w:rFonts w:ascii="Calibri" w:eastAsia="Calibri" w:hAnsi="Calibri" w:cs="Calibri"/>
          <w:b/>
          <w:bCs/>
        </w:rPr>
        <w:t>Encouragement</w:t>
      </w:r>
      <w:r w:rsidRPr="0005272F">
        <w:rPr>
          <w:rFonts w:ascii="Calibri" w:eastAsia="Calibri" w:hAnsi="Calibri" w:cs="Calibri"/>
        </w:rPr>
        <w:t>: Providing positive reinforcement and motivation to the coachee. Encouragement boosts the coachee's confidence and helps them stay motivated throughout the coaching journey.</w:t>
      </w:r>
    </w:p>
    <w:p w14:paraId="212CA8E1" w14:textId="77777777" w:rsidR="0005272F" w:rsidRPr="0005272F" w:rsidRDefault="0005272F" w:rsidP="0005272F">
      <w:pPr>
        <w:numPr>
          <w:ilvl w:val="0"/>
          <w:numId w:val="2"/>
        </w:numPr>
        <w:rPr>
          <w:rFonts w:ascii="Calibri" w:eastAsia="Calibri" w:hAnsi="Calibri" w:cs="Calibri"/>
        </w:rPr>
      </w:pPr>
      <w:r w:rsidRPr="0005272F">
        <w:rPr>
          <w:rFonts w:ascii="Calibri" w:eastAsia="Calibri" w:hAnsi="Calibri" w:cs="Calibri"/>
          <w:b/>
          <w:bCs/>
        </w:rPr>
        <w:t>Problem-Solving</w:t>
      </w:r>
      <w:r w:rsidRPr="0005272F">
        <w:rPr>
          <w:rFonts w:ascii="Calibri" w:eastAsia="Calibri" w:hAnsi="Calibri" w:cs="Calibri"/>
        </w:rPr>
        <w:t>: Guiding the coachee in identifying and addressing challenges. Effective problem-solving skills help the coachee develop strategies to overcome obstacles and achieve their goals.</w:t>
      </w:r>
    </w:p>
    <w:p w14:paraId="6E395E4A" w14:textId="0A506444" w:rsidR="70EB0371" w:rsidRPr="0005272F" w:rsidRDefault="70EB0371" w:rsidP="70EB0371">
      <w:pPr>
        <w:rPr>
          <w:rFonts w:ascii="Calibri" w:eastAsia="Calibri" w:hAnsi="Calibri" w:cs="Calibri"/>
        </w:rPr>
      </w:pPr>
    </w:p>
    <w:p w14:paraId="2B63423F" w14:textId="77777777" w:rsidR="006432CA" w:rsidRPr="0005272F" w:rsidRDefault="006432CA" w:rsidP="70EB0371">
      <w:pPr>
        <w:rPr>
          <w:rFonts w:ascii="Calibri" w:eastAsia="Calibri" w:hAnsi="Calibri" w:cs="Calibri"/>
        </w:rPr>
      </w:pPr>
    </w:p>
    <w:p w14:paraId="0435649A" w14:textId="19BBFDA4" w:rsidR="616EA7CD" w:rsidRPr="0005272F" w:rsidRDefault="616EA7CD" w:rsidP="70EB0371">
      <w:pPr>
        <w:pStyle w:val="Cmsor1"/>
        <w:rPr>
          <w:rFonts w:ascii="Calibri" w:eastAsia="Calibri" w:hAnsi="Calibri" w:cs="Calibri"/>
          <w:b/>
          <w:bCs/>
        </w:rPr>
      </w:pPr>
      <w:bookmarkStart w:id="17" w:name="_Toc564620549"/>
      <w:bookmarkStart w:id="18" w:name="_Toc185158173"/>
      <w:r w:rsidRPr="0005272F">
        <w:lastRenderedPageBreak/>
        <w:t>Rethinking SMART Coaching Using Kolb’s Model</w:t>
      </w:r>
      <w:bookmarkEnd w:id="17"/>
      <w:bookmarkEnd w:id="18"/>
    </w:p>
    <w:p w14:paraId="39653515" w14:textId="294664C6" w:rsidR="70EB0371" w:rsidRPr="0005272F" w:rsidRDefault="70EB0371" w:rsidP="70EB0371"/>
    <w:p w14:paraId="0CB74C46" w14:textId="187925F8" w:rsidR="616EA7CD" w:rsidRPr="0005272F" w:rsidRDefault="616EA7CD" w:rsidP="70EB0371">
      <w:pPr>
        <w:rPr>
          <w:rFonts w:ascii="Calibri" w:eastAsia="Calibri" w:hAnsi="Calibri" w:cs="Calibri"/>
        </w:rPr>
      </w:pPr>
      <w:r w:rsidRPr="0005272F">
        <w:rPr>
          <w:rFonts w:ascii="Calibri" w:eastAsia="Calibri" w:hAnsi="Calibri" w:cs="Calibri"/>
        </w:rPr>
        <w:t xml:space="preserve">As a coach, I participated in a coaching session that focused on SMART (Specific, Measurable, Achievable, Relevant, Time-bound) goal setting. In this session, I used several key coaching techniques to help the coachee develop. I consistently asked open-ended questions to encourage deeper thinking and </w:t>
      </w:r>
      <w:r w:rsidR="007662A1" w:rsidRPr="0005272F">
        <w:rPr>
          <w:rFonts w:ascii="Calibri" w:eastAsia="Calibri" w:hAnsi="Calibri" w:cs="Calibri"/>
        </w:rPr>
        <w:t>reflection. I</w:t>
      </w:r>
      <w:r w:rsidRPr="0005272F">
        <w:rPr>
          <w:rFonts w:ascii="Calibri" w:eastAsia="Calibri" w:hAnsi="Calibri" w:cs="Calibri"/>
        </w:rPr>
        <w:t xml:space="preserve"> also practiced patience, allowing the coachee enough time to think through the issues and draw conclusions in their own way. This approach respected their unique processing style and fostered a supportive environment. Throughout the session, I focused on the coachee’s agenda, ensuring that their goals and priorities were at the forefront of the </w:t>
      </w:r>
      <w:r w:rsidR="007662A1" w:rsidRPr="0005272F">
        <w:rPr>
          <w:rFonts w:ascii="Calibri" w:eastAsia="Calibri" w:hAnsi="Calibri" w:cs="Calibri"/>
        </w:rPr>
        <w:t>discussions. Importantly</w:t>
      </w:r>
      <w:r w:rsidRPr="0005272F">
        <w:rPr>
          <w:rFonts w:ascii="Calibri" w:eastAsia="Calibri" w:hAnsi="Calibri" w:cs="Calibri"/>
        </w:rPr>
        <w:t xml:space="preserve">, I refrained from providing solutions, instead designing a mentoring session where the coachee could explore their own problem-solving strategies. I also used the SOLER technique (Sit Upright, Open Posture, Lean Towards Coachee, Eye Contact, Relax) to create a supportive and empathetic coaching </w:t>
      </w:r>
      <w:r w:rsidR="007662A1" w:rsidRPr="0005272F">
        <w:rPr>
          <w:rFonts w:ascii="Calibri" w:eastAsia="Calibri" w:hAnsi="Calibri" w:cs="Calibri"/>
        </w:rPr>
        <w:t>environment. Reflecting</w:t>
      </w:r>
      <w:r w:rsidRPr="0005272F">
        <w:rPr>
          <w:rFonts w:ascii="Calibri" w:eastAsia="Calibri" w:hAnsi="Calibri" w:cs="Calibri"/>
        </w:rPr>
        <w:t xml:space="preserve"> on this experience, I found that asking open-ended questions significantly improved the coachee’s engagement and self-reflection. They were able to articulate their thoughts more clearly and identify their own strengths and areas for improvement. My patience allowed the coachee to feel heard and valued, which in turn increased their confidence and willingness to </w:t>
      </w:r>
      <w:r w:rsidR="007662A1" w:rsidRPr="0005272F">
        <w:rPr>
          <w:rFonts w:ascii="Calibri" w:eastAsia="Calibri" w:hAnsi="Calibri" w:cs="Calibri"/>
        </w:rPr>
        <w:t>share. Focusing</w:t>
      </w:r>
      <w:r w:rsidRPr="0005272F">
        <w:rPr>
          <w:rFonts w:ascii="Calibri" w:eastAsia="Calibri" w:hAnsi="Calibri" w:cs="Calibri"/>
        </w:rPr>
        <w:t xml:space="preserve"> on the coachee’s agenda ensured that the session remained relevant and meaningful to them. By not providing solutions, I empowered the coachee to take responsibility for their own development and discover their own problem-solving abilities. Using the SOLER technique helped create a trusting and open atmosphere that fostered effective communication and </w:t>
      </w:r>
      <w:r w:rsidR="007662A1" w:rsidRPr="0005272F">
        <w:rPr>
          <w:rFonts w:ascii="Calibri" w:eastAsia="Calibri" w:hAnsi="Calibri" w:cs="Calibri"/>
        </w:rPr>
        <w:t>engagement. From</w:t>
      </w:r>
      <w:r w:rsidRPr="0005272F">
        <w:rPr>
          <w:rFonts w:ascii="Calibri" w:eastAsia="Calibri" w:hAnsi="Calibri" w:cs="Calibri"/>
        </w:rPr>
        <w:t xml:space="preserve"> this experience, I learned that using open-ended questions is crucial to fostering critical thinking and self-awareness in coaching. Patience is essential to allow the coachee to process information and draw their own conclusions. Focusing on the coachee’s agenda ensures that the coaching session is aligned with their goals and </w:t>
      </w:r>
      <w:r w:rsidR="007662A1" w:rsidRPr="0005272F">
        <w:rPr>
          <w:rFonts w:ascii="Calibri" w:eastAsia="Calibri" w:hAnsi="Calibri" w:cs="Calibri"/>
        </w:rPr>
        <w:t>needs. It</w:t>
      </w:r>
      <w:r w:rsidRPr="0005272F">
        <w:rPr>
          <w:rFonts w:ascii="Calibri" w:eastAsia="Calibri" w:hAnsi="Calibri" w:cs="Calibri"/>
        </w:rPr>
        <w:t xml:space="preserve"> builds autonomy and self-efficacy by guiding the coachee toward their own solutions rather than offering solutions. The SOLER technique is a valuable tool in creating a supportive and empathetic coaching environment. These insights are consistent with Kolb’s model, which emphasizes the importance of reflective observation and abstract conceptualization in the learning </w:t>
      </w:r>
      <w:r w:rsidR="007662A1" w:rsidRPr="0005272F">
        <w:rPr>
          <w:rFonts w:ascii="Calibri" w:eastAsia="Calibri" w:hAnsi="Calibri" w:cs="Calibri"/>
        </w:rPr>
        <w:t>process. Going</w:t>
      </w:r>
      <w:r w:rsidRPr="0005272F">
        <w:rPr>
          <w:rFonts w:ascii="Calibri" w:eastAsia="Calibri" w:hAnsi="Calibri" w:cs="Calibri"/>
        </w:rPr>
        <w:t xml:space="preserve"> forward, I plan to continue using open-ended questions and practicing patience in my coaching sessions. I will continue to focus on the coachee’s agenda and avoid offering solutions, instead encouraging them to develop their own problem-solving strategies. I will consistently apply the SOLER technique to maintain a supportive and empathetic environment.</w:t>
      </w:r>
    </w:p>
    <w:p w14:paraId="1F68A762" w14:textId="67BFDAC8" w:rsidR="616EA7CD" w:rsidRPr="0005272F" w:rsidRDefault="616EA7CD" w:rsidP="70EB0371">
      <w:pPr>
        <w:rPr>
          <w:rFonts w:ascii="Calibri" w:eastAsia="Calibri" w:hAnsi="Calibri" w:cs="Calibri"/>
        </w:rPr>
      </w:pPr>
      <w:r w:rsidRPr="0005272F">
        <w:rPr>
          <w:rFonts w:ascii="Calibri" w:eastAsia="Calibri" w:hAnsi="Calibri" w:cs="Calibri"/>
        </w:rPr>
        <w:t xml:space="preserve"> I will also explore additional coaching models and techniques to further develop my coaching practice. By continually reflecting on my experiences and incorporating new insights, I strive to become a more effective and efficient coach.</w:t>
      </w:r>
    </w:p>
    <w:p w14:paraId="2C5B224F" w14:textId="0932462C" w:rsidR="70EB0371" w:rsidRPr="0005272F" w:rsidRDefault="70EB0371" w:rsidP="70EB0371">
      <w:pPr>
        <w:rPr>
          <w:rFonts w:ascii="Calibri" w:eastAsia="Calibri" w:hAnsi="Calibri" w:cs="Calibri"/>
        </w:rPr>
      </w:pPr>
    </w:p>
    <w:p w14:paraId="0D911FAB" w14:textId="3AC51DDF" w:rsidR="26208202" w:rsidRPr="0005272F" w:rsidRDefault="26208202" w:rsidP="70EB0371">
      <w:pPr>
        <w:pStyle w:val="Cmsor1"/>
        <w:rPr>
          <w:rFonts w:ascii="Calibri" w:eastAsia="Calibri" w:hAnsi="Calibri" w:cs="Calibri"/>
          <w:b/>
          <w:bCs/>
        </w:rPr>
      </w:pPr>
      <w:bookmarkStart w:id="19" w:name="_Toc1613801583"/>
      <w:bookmarkStart w:id="20" w:name="_Toc185158174"/>
      <w:r w:rsidRPr="0005272F">
        <w:lastRenderedPageBreak/>
        <w:t>Reflecting on Mentoring and Feedback Using Kolb's Model</w:t>
      </w:r>
      <w:bookmarkEnd w:id="19"/>
      <w:bookmarkEnd w:id="20"/>
    </w:p>
    <w:p w14:paraId="70932F21" w14:textId="21449840" w:rsidR="70EB0371" w:rsidRPr="0005272F" w:rsidRDefault="70EB0371" w:rsidP="70EB0371"/>
    <w:p w14:paraId="2B6AE3AF" w14:textId="749B6AAB" w:rsidR="26208202" w:rsidRPr="0005272F" w:rsidRDefault="26208202" w:rsidP="70EB0371">
      <w:pPr>
        <w:rPr>
          <w:rFonts w:ascii="Calibri" w:eastAsia="Calibri" w:hAnsi="Calibri" w:cs="Calibri"/>
        </w:rPr>
      </w:pPr>
      <w:r w:rsidRPr="0005272F">
        <w:rPr>
          <w:rFonts w:ascii="Calibri" w:eastAsia="Calibri" w:hAnsi="Calibri" w:cs="Calibri"/>
        </w:rPr>
        <w:t xml:space="preserve">In my role as a mentor, I engaged in a mentoring session where I utilized my mentoring skills to help a mentee identify the source of a problem and find a solution. During this session, I focused on creating a supportive and open environment, ensuring that the mentee felt comfortable sharing their thoughts and concerns. I assured the mentee that they could count on my help at any time, reinforcing the trust and rapport between </w:t>
      </w:r>
      <w:r w:rsidR="007662A1" w:rsidRPr="0005272F">
        <w:rPr>
          <w:rFonts w:ascii="Calibri" w:eastAsia="Calibri" w:hAnsi="Calibri" w:cs="Calibri"/>
        </w:rPr>
        <w:t>us. Reflecting</w:t>
      </w:r>
      <w:r w:rsidRPr="0005272F">
        <w:rPr>
          <w:rFonts w:ascii="Calibri" w:eastAsia="Calibri" w:hAnsi="Calibri" w:cs="Calibri"/>
        </w:rPr>
        <w:t xml:space="preserve"> on this experience, I observed that highlighting the source of the problem was a crucial step in enabling the mentee to find a solution. By guiding the mentee to identify the root cause, I empowered them to take ownership of the issue and develop their problem-solving skills. My assurance of ongoing support helped to build the mentee's confidence and trust in the mentoring </w:t>
      </w:r>
      <w:r w:rsidR="007662A1" w:rsidRPr="0005272F">
        <w:rPr>
          <w:rFonts w:ascii="Calibri" w:eastAsia="Calibri" w:hAnsi="Calibri" w:cs="Calibri"/>
        </w:rPr>
        <w:t>relationship. I</w:t>
      </w:r>
      <w:r w:rsidRPr="0005272F">
        <w:rPr>
          <w:rFonts w:ascii="Calibri" w:eastAsia="Calibri" w:hAnsi="Calibri" w:cs="Calibri"/>
        </w:rPr>
        <w:t xml:space="preserve"> also noticed that my approach of asking open-ended questions and actively listening to the mentee's responses facilitated a deeper understanding of the problem. This approach encouraged the mentee to think critically and explore various perspectives, ultimately leading to a more comprehensive </w:t>
      </w:r>
      <w:r w:rsidR="007662A1" w:rsidRPr="0005272F">
        <w:rPr>
          <w:rFonts w:ascii="Calibri" w:eastAsia="Calibri" w:hAnsi="Calibri" w:cs="Calibri"/>
        </w:rPr>
        <w:t>solution. From</w:t>
      </w:r>
      <w:r w:rsidRPr="0005272F">
        <w:rPr>
          <w:rFonts w:ascii="Calibri" w:eastAsia="Calibri" w:hAnsi="Calibri" w:cs="Calibri"/>
        </w:rPr>
        <w:t xml:space="preserve"> this experience, I learned that effective mentoring involves not only providing guidance but also empowering the mentee to develop their own solutions. By highlighting the source of the problem and encouraging critical thinking, mentors can help mentees build their problem-solving skills and confidence. Additionally, I realized that building trust and rapport is essential in a mentoring relationship. Assuring the mentee of my ongoing support created a safe and supportive environment, which is crucial for effective mentoring. This experience reinforced the importance of empathy, active listening, and open communication in </w:t>
      </w:r>
      <w:r w:rsidR="007662A1" w:rsidRPr="0005272F">
        <w:rPr>
          <w:rFonts w:ascii="Calibri" w:eastAsia="Calibri" w:hAnsi="Calibri" w:cs="Calibri"/>
        </w:rPr>
        <w:t>mentoring. Moving</w:t>
      </w:r>
      <w:r w:rsidRPr="0005272F">
        <w:rPr>
          <w:rFonts w:ascii="Calibri" w:eastAsia="Calibri" w:hAnsi="Calibri" w:cs="Calibri"/>
        </w:rPr>
        <w:t xml:space="preserve"> forward, I plan to continue using open-ended questions and active listening in my mentoring sessions. I will focus on helping mentees identify the root causes of their problems and encourage them to develop their own solutions. I will also ensure that I provide ongoing support and reassurance to build trust and rapport.</w:t>
      </w:r>
    </w:p>
    <w:p w14:paraId="1449ABBD" w14:textId="5D695102" w:rsidR="26208202" w:rsidRPr="0005272F" w:rsidRDefault="26208202" w:rsidP="70EB0371">
      <w:pPr>
        <w:rPr>
          <w:rFonts w:ascii="Calibri" w:eastAsia="Calibri" w:hAnsi="Calibri" w:cs="Calibri"/>
        </w:rPr>
      </w:pPr>
      <w:r w:rsidRPr="0005272F">
        <w:rPr>
          <w:rFonts w:ascii="Calibri" w:eastAsia="Calibri" w:hAnsi="Calibri" w:cs="Calibri"/>
        </w:rPr>
        <w:t xml:space="preserve"> Furthermore, I will explore additional mentoring techniques and models to enhance my mentoring practice. By continuously reflecting on my experiences and incorporating new insights, I aim to become a more effective and impactful mentor.</w:t>
      </w:r>
    </w:p>
    <w:p w14:paraId="5A370FBF" w14:textId="3ABF6F05" w:rsidR="70EB0371" w:rsidRPr="0005272F" w:rsidRDefault="70EB0371" w:rsidP="70EB0371">
      <w:pPr>
        <w:rPr>
          <w:rFonts w:ascii="Calibri" w:eastAsia="Calibri" w:hAnsi="Calibri" w:cs="Calibri"/>
        </w:rPr>
      </w:pPr>
    </w:p>
    <w:p w14:paraId="60BF45ED" w14:textId="76B00CC6" w:rsidR="70EB0371" w:rsidRPr="0005272F" w:rsidRDefault="70EB0371" w:rsidP="70EB0371">
      <w:pPr>
        <w:rPr>
          <w:rFonts w:ascii="Calibri" w:eastAsia="Calibri" w:hAnsi="Calibri" w:cs="Calibri"/>
        </w:rPr>
      </w:pPr>
    </w:p>
    <w:p w14:paraId="77A3C21C" w14:textId="3071D6B7" w:rsidR="70EB0371" w:rsidRPr="0005272F" w:rsidRDefault="70EB0371" w:rsidP="70EB0371">
      <w:pPr>
        <w:rPr>
          <w:rFonts w:ascii="Calibri" w:eastAsia="Calibri" w:hAnsi="Calibri" w:cs="Calibri"/>
        </w:rPr>
      </w:pPr>
    </w:p>
    <w:p w14:paraId="755CA6E3" w14:textId="3AF65C3D" w:rsidR="70EB0371" w:rsidRPr="0005272F" w:rsidRDefault="70EB0371" w:rsidP="70EB0371">
      <w:pPr>
        <w:rPr>
          <w:rFonts w:ascii="Calibri" w:eastAsia="Calibri" w:hAnsi="Calibri" w:cs="Calibri"/>
        </w:rPr>
      </w:pPr>
    </w:p>
    <w:p w14:paraId="092D9596" w14:textId="36D23130" w:rsidR="70EB0371" w:rsidRPr="0005272F" w:rsidRDefault="70EB0371" w:rsidP="70EB0371">
      <w:pPr>
        <w:rPr>
          <w:rFonts w:ascii="Calibri" w:eastAsia="Calibri" w:hAnsi="Calibri" w:cs="Calibri"/>
        </w:rPr>
      </w:pPr>
    </w:p>
    <w:p w14:paraId="316A6CF1" w14:textId="476D4899" w:rsidR="70EB0371" w:rsidRPr="0005272F" w:rsidRDefault="70EB0371" w:rsidP="70EB0371">
      <w:pPr>
        <w:rPr>
          <w:rFonts w:ascii="Calibri" w:eastAsia="Calibri" w:hAnsi="Calibri" w:cs="Calibri"/>
        </w:rPr>
      </w:pPr>
    </w:p>
    <w:p w14:paraId="2954C1B2" w14:textId="1C5A1AE2" w:rsidR="48086B18" w:rsidRPr="0005272F" w:rsidRDefault="48086B18" w:rsidP="70EB0371">
      <w:pPr>
        <w:pStyle w:val="Cmsor1"/>
        <w:rPr>
          <w:rFonts w:ascii="Calibri" w:eastAsia="Calibri" w:hAnsi="Calibri" w:cs="Calibri"/>
          <w:b/>
          <w:bCs/>
        </w:rPr>
      </w:pPr>
      <w:bookmarkStart w:id="21" w:name="_Toc134526806"/>
      <w:bookmarkStart w:id="22" w:name="_Toc185158175"/>
      <w:r w:rsidRPr="0005272F">
        <w:lastRenderedPageBreak/>
        <w:t>Conclusion</w:t>
      </w:r>
      <w:bookmarkEnd w:id="21"/>
      <w:bookmarkEnd w:id="22"/>
    </w:p>
    <w:p w14:paraId="48C1D3C2" w14:textId="12BAE53D" w:rsidR="70EB0371" w:rsidRPr="0005272F" w:rsidRDefault="70EB0371" w:rsidP="70EB0371"/>
    <w:p w14:paraId="52B319DC" w14:textId="6B72FA92" w:rsidR="16B1AEE1" w:rsidRPr="0005272F" w:rsidRDefault="16B1AEE1" w:rsidP="70EB0371">
      <w:pPr>
        <w:rPr>
          <w:rFonts w:ascii="Calibri" w:eastAsia="Calibri" w:hAnsi="Calibri" w:cs="Calibri"/>
        </w:rPr>
      </w:pPr>
      <w:r w:rsidRPr="0005272F">
        <w:rPr>
          <w:rFonts w:ascii="Calibri" w:eastAsia="Calibri" w:hAnsi="Calibri" w:cs="Calibri"/>
        </w:rPr>
        <w:t xml:space="preserve">In this report, I have explored the concepts of coaching and mentoring, highlighting their definitions, purposes, and key attributes. Coaching is a goal-oriented process aimed at enhancing performance and skills, while mentoring is a broader developmental relationship focused on long-term personal and professional growth. The GROW model, developed by Sir John Whitmore, was critically </w:t>
      </w:r>
      <w:r w:rsidR="007662A1" w:rsidRPr="0005272F">
        <w:rPr>
          <w:rFonts w:ascii="Calibri" w:eastAsia="Calibri" w:hAnsi="Calibri" w:cs="Calibri"/>
        </w:rPr>
        <w:t>analysed</w:t>
      </w:r>
      <w:r w:rsidRPr="0005272F">
        <w:rPr>
          <w:rFonts w:ascii="Calibri" w:eastAsia="Calibri" w:hAnsi="Calibri" w:cs="Calibri"/>
        </w:rPr>
        <w:t xml:space="preserve"> for its structured approach to coaching, emphasizing </w:t>
      </w:r>
      <w:r w:rsidR="00104ADD" w:rsidRPr="0005272F">
        <w:rPr>
          <w:rFonts w:ascii="Calibri" w:eastAsia="Calibri" w:hAnsi="Calibri" w:cs="Calibri"/>
        </w:rPr>
        <w:t>goal setting</w:t>
      </w:r>
      <w:r w:rsidRPr="0005272F">
        <w:rPr>
          <w:rFonts w:ascii="Calibri" w:eastAsia="Calibri" w:hAnsi="Calibri" w:cs="Calibri"/>
        </w:rPr>
        <w:t>, reality assessment, option exploration, and commitment to action.</w:t>
      </w:r>
    </w:p>
    <w:p w14:paraId="7C6BF7C3" w14:textId="77FE28A7" w:rsidR="16B1AEE1" w:rsidRPr="0005272F" w:rsidRDefault="16B1AEE1" w:rsidP="70EB0371">
      <w:pPr>
        <w:rPr>
          <w:rFonts w:ascii="Calibri" w:eastAsia="Calibri" w:hAnsi="Calibri" w:cs="Calibri"/>
        </w:rPr>
      </w:pPr>
      <w:r w:rsidRPr="0005272F">
        <w:rPr>
          <w:rFonts w:ascii="Calibri" w:eastAsia="Calibri" w:hAnsi="Calibri" w:cs="Calibri"/>
        </w:rPr>
        <w:t>Key theories and literature referenced in this report include Whitmore's (</w:t>
      </w:r>
      <w:r w:rsidR="00A9239D" w:rsidRPr="0005272F">
        <w:rPr>
          <w:rFonts w:ascii="Calibri" w:eastAsia="Calibri" w:hAnsi="Calibri" w:cs="Calibri"/>
        </w:rPr>
        <w:t>2010</w:t>
      </w:r>
      <w:r w:rsidRPr="0005272F">
        <w:rPr>
          <w:rFonts w:ascii="Calibri" w:eastAsia="Calibri" w:hAnsi="Calibri" w:cs="Calibri"/>
        </w:rPr>
        <w:t xml:space="preserve">) "Coaching for Performance," Kram's (1985) "Mentoring at Work," and the GROW model. These sources provided a foundation for understanding the principles and practices of effective coaching </w:t>
      </w:r>
      <w:sdt>
        <w:sdtPr>
          <w:rPr>
            <w:rFonts w:ascii="Calibri" w:eastAsia="Calibri" w:hAnsi="Calibri" w:cs="Calibri"/>
          </w:rPr>
          <w:id w:val="-1934970634"/>
          <w:citation/>
        </w:sdtPr>
        <w:sdtEndPr/>
        <w:sdtContent>
          <w:r w:rsidR="00EB7748" w:rsidRPr="0005272F">
            <w:rPr>
              <w:rFonts w:ascii="Calibri" w:eastAsia="Calibri" w:hAnsi="Calibri" w:cs="Calibri"/>
            </w:rPr>
            <w:fldChar w:fldCharType="begin"/>
          </w:r>
          <w:r w:rsidR="00EB7748" w:rsidRPr="0005272F">
            <w:rPr>
              <w:rFonts w:ascii="Calibri" w:eastAsia="Calibri" w:hAnsi="Calibri" w:cs="Calibri"/>
            </w:rPr>
            <w:instrText xml:space="preserve"> CITATION Kra85 \l 1038 </w:instrText>
          </w:r>
          <w:r w:rsidR="00EB7748" w:rsidRPr="0005272F">
            <w:rPr>
              <w:rFonts w:ascii="Calibri" w:eastAsia="Calibri" w:hAnsi="Calibri" w:cs="Calibri"/>
            </w:rPr>
            <w:fldChar w:fldCharType="separate"/>
          </w:r>
          <w:r w:rsidR="00104ADD" w:rsidRPr="00104ADD">
            <w:rPr>
              <w:rFonts w:ascii="Calibri" w:eastAsia="Calibri" w:hAnsi="Calibri" w:cs="Calibri"/>
              <w:noProof/>
            </w:rPr>
            <w:t>(Kram, 1985)</w:t>
          </w:r>
          <w:r w:rsidR="00EB7748" w:rsidRPr="0005272F">
            <w:rPr>
              <w:rFonts w:ascii="Calibri" w:eastAsia="Calibri" w:hAnsi="Calibri" w:cs="Calibri"/>
            </w:rPr>
            <w:fldChar w:fldCharType="end"/>
          </w:r>
        </w:sdtContent>
      </w:sdt>
      <w:r w:rsidRPr="0005272F">
        <w:rPr>
          <w:rFonts w:ascii="Calibri" w:eastAsia="Calibri" w:hAnsi="Calibri" w:cs="Calibri"/>
        </w:rPr>
        <w:t>and mentoring.</w:t>
      </w:r>
    </w:p>
    <w:p w14:paraId="4C53C82D" w14:textId="0E32EB1A" w:rsidR="16B1AEE1" w:rsidRPr="0005272F" w:rsidRDefault="16B1AEE1" w:rsidP="70EB0371">
      <w:pPr>
        <w:rPr>
          <w:rFonts w:ascii="Calibri" w:eastAsia="Calibri" w:hAnsi="Calibri" w:cs="Calibri"/>
        </w:rPr>
      </w:pPr>
      <w:r w:rsidRPr="0005272F">
        <w:rPr>
          <w:rFonts w:ascii="Calibri" w:eastAsia="Calibri" w:hAnsi="Calibri" w:cs="Calibri"/>
        </w:rPr>
        <w:t>Reflecting on my experiences using Kolb's reflective model, I highlighted the importance of open-ended questions, patience, and focusing on the coachee's agenda. I also emphasized the value of not providing solutions but guiding the coachee to develop their own problem-solving strategies. The SOLER technique was applied to create a supportive and empathetic coaching environment.</w:t>
      </w:r>
    </w:p>
    <w:p w14:paraId="1607DA1A" w14:textId="0131AF1E" w:rsidR="16B1AEE1" w:rsidRPr="0005272F" w:rsidRDefault="16B1AEE1" w:rsidP="70EB0371">
      <w:pPr>
        <w:rPr>
          <w:rFonts w:ascii="Calibri" w:eastAsia="Calibri" w:hAnsi="Calibri" w:cs="Calibri"/>
        </w:rPr>
      </w:pPr>
      <w:r w:rsidRPr="0005272F">
        <w:rPr>
          <w:rFonts w:ascii="Calibri" w:eastAsia="Calibri" w:hAnsi="Calibri" w:cs="Calibri"/>
        </w:rPr>
        <w:t>My experience in the Coaching and Mentoring module, facilitated by Miss Nishi, was highly engaging and practical. The role plays and interactive sessions helped me develop a deeper understanding of the roles of a coach and mentor. This experience will inform my future work practice by reinforcing the importance of active listening, empathy, and empowering individuals to achieve their goals.</w:t>
      </w:r>
    </w:p>
    <w:p w14:paraId="4039A9E9" w14:textId="7BF150B4" w:rsidR="16B1AEE1" w:rsidRPr="0005272F" w:rsidRDefault="16B1AEE1" w:rsidP="70EB0371">
      <w:pPr>
        <w:rPr>
          <w:rFonts w:ascii="Calibri" w:eastAsia="Calibri" w:hAnsi="Calibri" w:cs="Calibri"/>
        </w:rPr>
      </w:pPr>
      <w:r w:rsidRPr="0005272F">
        <w:rPr>
          <w:rFonts w:ascii="Calibri" w:eastAsia="Calibri" w:hAnsi="Calibri" w:cs="Calibri"/>
        </w:rPr>
        <w:t>In conclusion, the insights gained from this report and my practical experiences will guide my approach to coaching and mentoring, ensuring that I continue to support and develop others effectively.</w:t>
      </w:r>
    </w:p>
    <w:p w14:paraId="57612901" w14:textId="310E80DA" w:rsidR="70EB0371" w:rsidRPr="0005272F" w:rsidRDefault="70EB0371" w:rsidP="70EB0371">
      <w:pPr>
        <w:rPr>
          <w:rFonts w:ascii="Calibri" w:eastAsia="Calibri" w:hAnsi="Calibri" w:cs="Calibri"/>
        </w:rPr>
      </w:pPr>
    </w:p>
    <w:p w14:paraId="62274113" w14:textId="345801BB" w:rsidR="70EB0371" w:rsidRDefault="70EB0371" w:rsidP="70EB0371">
      <w:pPr>
        <w:rPr>
          <w:rFonts w:ascii="Calibri" w:eastAsia="Calibri" w:hAnsi="Calibri" w:cs="Calibri"/>
        </w:rPr>
      </w:pPr>
    </w:p>
    <w:p w14:paraId="4A12B1F3" w14:textId="77777777" w:rsidR="00104ADD" w:rsidRDefault="00104ADD" w:rsidP="70EB0371">
      <w:pPr>
        <w:rPr>
          <w:rFonts w:ascii="Calibri" w:eastAsia="Calibri" w:hAnsi="Calibri" w:cs="Calibri"/>
        </w:rPr>
      </w:pPr>
    </w:p>
    <w:p w14:paraId="166F642F" w14:textId="77777777" w:rsidR="00335391" w:rsidRDefault="00335391" w:rsidP="70EB0371">
      <w:pPr>
        <w:rPr>
          <w:rFonts w:ascii="Calibri" w:eastAsia="Calibri" w:hAnsi="Calibri" w:cs="Calibri"/>
        </w:rPr>
      </w:pPr>
    </w:p>
    <w:p w14:paraId="57A007D0" w14:textId="77777777" w:rsidR="00335391" w:rsidRDefault="00335391" w:rsidP="70EB0371">
      <w:pPr>
        <w:rPr>
          <w:rFonts w:ascii="Calibri" w:eastAsia="Calibri" w:hAnsi="Calibri" w:cs="Calibri"/>
        </w:rPr>
      </w:pPr>
    </w:p>
    <w:p w14:paraId="3068D168" w14:textId="77777777" w:rsidR="00335391" w:rsidRDefault="00335391" w:rsidP="70EB0371">
      <w:pPr>
        <w:rPr>
          <w:rFonts w:ascii="Calibri" w:eastAsia="Calibri" w:hAnsi="Calibri" w:cs="Calibri"/>
        </w:rPr>
      </w:pPr>
    </w:p>
    <w:p w14:paraId="7EA64749" w14:textId="77777777" w:rsidR="00335391" w:rsidRDefault="00335391" w:rsidP="70EB0371">
      <w:pPr>
        <w:rPr>
          <w:rFonts w:ascii="Calibri" w:eastAsia="Calibri" w:hAnsi="Calibri" w:cs="Calibri"/>
        </w:rPr>
      </w:pPr>
    </w:p>
    <w:p w14:paraId="2D455071" w14:textId="77777777" w:rsidR="00335391" w:rsidRDefault="00335391" w:rsidP="70EB0371">
      <w:pPr>
        <w:rPr>
          <w:rFonts w:ascii="Calibri" w:eastAsia="Calibri" w:hAnsi="Calibri" w:cs="Calibri"/>
        </w:rPr>
      </w:pPr>
    </w:p>
    <w:p w14:paraId="43444D04" w14:textId="77777777" w:rsidR="00335391" w:rsidRDefault="00335391" w:rsidP="70EB0371">
      <w:pPr>
        <w:rPr>
          <w:rFonts w:ascii="Calibri" w:eastAsia="Calibri" w:hAnsi="Calibri" w:cs="Calibri"/>
        </w:rPr>
      </w:pPr>
    </w:p>
    <w:p w14:paraId="1E21AF72" w14:textId="0E817D17" w:rsidR="00335391" w:rsidRDefault="00335391" w:rsidP="00335391">
      <w:pPr>
        <w:pStyle w:val="Cmsor1"/>
        <w:rPr>
          <w:rFonts w:eastAsia="Calibri"/>
        </w:rPr>
      </w:pPr>
      <w:bookmarkStart w:id="23" w:name="_Toc185158176"/>
      <w:r>
        <w:rPr>
          <w:rFonts w:eastAsia="Calibri"/>
        </w:rPr>
        <w:lastRenderedPageBreak/>
        <w:t>Appendix</w:t>
      </w:r>
      <w:bookmarkEnd w:id="23"/>
    </w:p>
    <w:p w14:paraId="7CA2F9F7" w14:textId="77777777" w:rsidR="00335391" w:rsidRDefault="00335391" w:rsidP="70EB0371">
      <w:pPr>
        <w:rPr>
          <w:rFonts w:ascii="Calibri" w:eastAsia="Calibri" w:hAnsi="Calibri" w:cs="Calibri"/>
        </w:rPr>
      </w:pPr>
    </w:p>
    <w:p w14:paraId="4CA0B998" w14:textId="77777777" w:rsidR="00335391" w:rsidRDefault="00335391" w:rsidP="00335391">
      <w:pPr>
        <w:keepNext/>
      </w:pPr>
      <w:r>
        <w:rPr>
          <w:rFonts w:ascii="Calibri" w:eastAsia="Calibri" w:hAnsi="Calibri" w:cs="Calibri"/>
          <w:noProof/>
        </w:rPr>
        <w:drawing>
          <wp:inline distT="0" distB="0" distL="0" distR="0" wp14:anchorId="4E9A42AC" wp14:editId="134164BE">
            <wp:extent cx="5174166" cy="6698783"/>
            <wp:effectExtent l="0" t="0" r="7620" b="6985"/>
            <wp:docPr id="51592014" name="Kép 3" descr="A képen szöveg, képernyőkép, Párhuzamos, nyugta láthat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92014" name="Kép 3" descr="A képen szöveg, képernyőkép, Párhuzamos, nyugta látható"/>
                    <pic:cNvPicPr/>
                  </pic:nvPicPr>
                  <pic:blipFill>
                    <a:blip r:embed="rId9">
                      <a:extLst>
                        <a:ext uri="{28A0092B-C50C-407E-A947-70E740481C1C}">
                          <a14:useLocalDpi xmlns:a14="http://schemas.microsoft.com/office/drawing/2010/main" val="0"/>
                        </a:ext>
                      </a:extLst>
                    </a:blip>
                    <a:stretch>
                      <a:fillRect/>
                    </a:stretch>
                  </pic:blipFill>
                  <pic:spPr>
                    <a:xfrm>
                      <a:off x="0" y="0"/>
                      <a:ext cx="5174166" cy="6698783"/>
                    </a:xfrm>
                    <a:prstGeom prst="rect">
                      <a:avLst/>
                    </a:prstGeom>
                  </pic:spPr>
                </pic:pic>
              </a:graphicData>
            </a:graphic>
          </wp:inline>
        </w:drawing>
      </w:r>
    </w:p>
    <w:p w14:paraId="14335886" w14:textId="3CECB1CD" w:rsidR="001916DD" w:rsidRDefault="00335391" w:rsidP="00335391">
      <w:pPr>
        <w:pStyle w:val="Kpalrs"/>
        <w:rPr>
          <w:rFonts w:ascii="Calibri" w:eastAsia="Calibri" w:hAnsi="Calibri" w:cs="Calibri"/>
        </w:rPr>
      </w:pPr>
      <w:r>
        <w:rPr>
          <w:rFonts w:ascii="Calibri" w:eastAsia="Calibri" w:hAnsi="Calibri" w:cs="Calibri"/>
        </w:rPr>
        <w:fldChar w:fldCharType="begin"/>
      </w:r>
      <w:r>
        <w:rPr>
          <w:rFonts w:ascii="Calibri" w:eastAsia="Calibri" w:hAnsi="Calibri" w:cs="Calibri"/>
        </w:rPr>
        <w:instrText xml:space="preserve"> SEQ Feedback_form_from_Coaching_roleplay \* ARABIC </w:instrText>
      </w:r>
      <w:r>
        <w:rPr>
          <w:rFonts w:ascii="Calibri" w:eastAsia="Calibri" w:hAnsi="Calibri" w:cs="Calibri"/>
        </w:rPr>
        <w:fldChar w:fldCharType="separate"/>
      </w:r>
      <w:r>
        <w:rPr>
          <w:rFonts w:ascii="Calibri" w:eastAsia="Calibri" w:hAnsi="Calibri" w:cs="Calibri"/>
          <w:noProof/>
        </w:rPr>
        <w:t>1</w:t>
      </w:r>
      <w:r>
        <w:rPr>
          <w:rFonts w:ascii="Calibri" w:eastAsia="Calibri" w:hAnsi="Calibri" w:cs="Calibri"/>
        </w:rPr>
        <w:fldChar w:fldCharType="end"/>
      </w:r>
      <w:r>
        <w:t>. Feedback form</w:t>
      </w:r>
      <w:r w:rsidR="00922EB0">
        <w:t>/</w:t>
      </w:r>
      <w:r>
        <w:t xml:space="preserve"> Coaching roleplay</w:t>
      </w:r>
    </w:p>
    <w:p w14:paraId="52C18C67" w14:textId="77777777" w:rsidR="001916DD" w:rsidRDefault="001916DD" w:rsidP="70EB0371">
      <w:pPr>
        <w:rPr>
          <w:rFonts w:ascii="Calibri" w:eastAsia="Calibri" w:hAnsi="Calibri" w:cs="Calibri"/>
        </w:rPr>
      </w:pPr>
    </w:p>
    <w:p w14:paraId="79274AEA" w14:textId="77777777" w:rsidR="001916DD" w:rsidRDefault="001916DD" w:rsidP="70EB0371">
      <w:pPr>
        <w:rPr>
          <w:rFonts w:ascii="Calibri" w:eastAsia="Calibri" w:hAnsi="Calibri" w:cs="Calibri"/>
        </w:rPr>
      </w:pPr>
    </w:p>
    <w:p w14:paraId="72DD2F32" w14:textId="77777777" w:rsidR="001916DD" w:rsidRDefault="001916DD" w:rsidP="70EB0371">
      <w:pPr>
        <w:rPr>
          <w:rFonts w:ascii="Calibri" w:eastAsia="Calibri" w:hAnsi="Calibri" w:cs="Calibri"/>
        </w:rPr>
      </w:pPr>
    </w:p>
    <w:p w14:paraId="67CEF0A1" w14:textId="77777777" w:rsidR="00104ADD" w:rsidRPr="00104ADD" w:rsidRDefault="00104ADD" w:rsidP="00104ADD"/>
    <w:bookmarkStart w:id="24" w:name="_Toc185158177" w:displacedByCustomXml="next"/>
    <w:sdt>
      <w:sdtPr>
        <w:rPr>
          <w:rFonts w:asciiTheme="minorHAnsi" w:eastAsiaTheme="minorHAnsi" w:hAnsiTheme="minorHAnsi" w:cstheme="minorBidi"/>
          <w:color w:val="auto"/>
          <w:sz w:val="24"/>
          <w:szCs w:val="24"/>
        </w:rPr>
        <w:id w:val="574172069"/>
        <w:docPartObj>
          <w:docPartGallery w:val="Bibliographies"/>
          <w:docPartUnique/>
        </w:docPartObj>
      </w:sdtPr>
      <w:sdtEndPr/>
      <w:sdtContent>
        <w:p w14:paraId="48BC677C" w14:textId="6BFA16CD" w:rsidR="0087745C" w:rsidRPr="0005272F" w:rsidRDefault="00104ADD">
          <w:pPr>
            <w:pStyle w:val="Cmsor1"/>
          </w:pPr>
          <w:r>
            <w:t>References</w:t>
          </w:r>
          <w:bookmarkEnd w:id="24"/>
        </w:p>
        <w:sdt>
          <w:sdtPr>
            <w:id w:val="-573587230"/>
            <w:bibliography/>
          </w:sdtPr>
          <w:sdtEndPr/>
          <w:sdtContent>
            <w:p w14:paraId="6D8CEA53" w14:textId="77777777" w:rsidR="00104ADD" w:rsidRDefault="0087745C" w:rsidP="00104ADD">
              <w:pPr>
                <w:pStyle w:val="Irodalomjegyzk"/>
                <w:rPr>
                  <w:noProof/>
                </w:rPr>
              </w:pPr>
              <w:r w:rsidRPr="0005272F">
                <w:fldChar w:fldCharType="begin"/>
              </w:r>
              <w:r w:rsidRPr="0005272F">
                <w:instrText>BIBLIOGRAPHY</w:instrText>
              </w:r>
              <w:r w:rsidRPr="0005272F">
                <w:fldChar w:fldCharType="separate"/>
              </w:r>
              <w:r w:rsidR="00104ADD">
                <w:rPr>
                  <w:noProof/>
                </w:rPr>
                <w:t xml:space="preserve">Anon., n.d. </w:t>
              </w:r>
              <w:r w:rsidR="00104ADD">
                <w:rPr>
                  <w:i/>
                  <w:iCs/>
                  <w:noProof/>
                </w:rPr>
                <w:t xml:space="preserve">GLS Hungary. </w:t>
              </w:r>
              <w:r w:rsidR="00104ADD">
                <w:rPr>
                  <w:noProof/>
                </w:rPr>
                <w:t xml:space="preserve">[Online] </w:t>
              </w:r>
              <w:r w:rsidR="00104ADD">
                <w:rPr>
                  <w:noProof/>
                </w:rPr>
                <w:br/>
                <w:t xml:space="preserve">Available at: </w:t>
              </w:r>
              <w:r w:rsidR="00104ADD">
                <w:rPr>
                  <w:noProof/>
                  <w:u w:val="single"/>
                </w:rPr>
                <w:t>https://gls-group.com/HU/en/home/</w:t>
              </w:r>
              <w:r w:rsidR="00104ADD">
                <w:rPr>
                  <w:noProof/>
                </w:rPr>
                <w:br/>
                <w:t>[Accessed 11 12 2024].</w:t>
              </w:r>
            </w:p>
            <w:p w14:paraId="52066790" w14:textId="77777777" w:rsidR="00104ADD" w:rsidRDefault="00104ADD" w:rsidP="00104ADD">
              <w:pPr>
                <w:pStyle w:val="Irodalomjegyzk"/>
                <w:rPr>
                  <w:noProof/>
                </w:rPr>
              </w:pPr>
              <w:r>
                <w:rPr>
                  <w:noProof/>
                </w:rPr>
                <w:t xml:space="preserve">Baker, M. A., &amp; Robinson, J. S., 2016. </w:t>
              </w:r>
              <w:r>
                <w:rPr>
                  <w:i/>
                  <w:iCs/>
                  <w:noProof/>
                </w:rPr>
                <w:t xml:space="preserve">The Effects of Kolb's Experiential Learning Model on Successful Intelligence Students in Secondary Agriculture, </w:t>
              </w:r>
              <w:r>
                <w:rPr>
                  <w:noProof/>
                </w:rPr>
                <w:t>s.l.: Journal of Agricultural Education.</w:t>
              </w:r>
            </w:p>
            <w:p w14:paraId="5ABFF16D" w14:textId="77777777" w:rsidR="00104ADD" w:rsidRDefault="00104ADD" w:rsidP="00104ADD">
              <w:pPr>
                <w:pStyle w:val="Irodalomjegyzk"/>
                <w:rPr>
                  <w:noProof/>
                </w:rPr>
              </w:pPr>
              <w:r>
                <w:rPr>
                  <w:noProof/>
                </w:rPr>
                <w:t xml:space="preserve">DiGirolamo, J. A., Tkach, J. T., 2019. </w:t>
              </w:r>
              <w:r>
                <w:rPr>
                  <w:i/>
                  <w:iCs/>
                  <w:noProof/>
                </w:rPr>
                <w:t xml:space="preserve">AN EXPLORATION OF MANAGERS AND LEADERS USING COACHING SKILLS. </w:t>
              </w:r>
              <w:r>
                <w:rPr>
                  <w:noProof/>
                </w:rPr>
                <w:t xml:space="preserve">[Online] </w:t>
              </w:r>
              <w:r>
                <w:rPr>
                  <w:noProof/>
                </w:rPr>
                <w:br/>
                <w:t xml:space="preserve">Available at: </w:t>
              </w:r>
              <w:r>
                <w:rPr>
                  <w:noProof/>
                  <w:u w:val="single"/>
                </w:rPr>
                <w:t>https://psycnet.apa.org/fulltext/2019-23918-001.html</w:t>
              </w:r>
              <w:r>
                <w:rPr>
                  <w:noProof/>
                </w:rPr>
                <w:br/>
                <w:t>[Accessed 11 12 2024].</w:t>
              </w:r>
            </w:p>
            <w:p w14:paraId="109DD4F1" w14:textId="77777777" w:rsidR="00104ADD" w:rsidRDefault="00104ADD" w:rsidP="00104ADD">
              <w:pPr>
                <w:pStyle w:val="Irodalomjegyzk"/>
                <w:rPr>
                  <w:noProof/>
                </w:rPr>
              </w:pPr>
              <w:r>
                <w:rPr>
                  <w:noProof/>
                </w:rPr>
                <w:t xml:space="preserve">Garvey, B., Stokes, P., &amp; Megginson, D., 2014. </w:t>
              </w:r>
              <w:r>
                <w:rPr>
                  <w:i/>
                  <w:iCs/>
                  <w:noProof/>
                </w:rPr>
                <w:t xml:space="preserve">Coaching and Mentoring: Theory and Practice. </w:t>
              </w:r>
              <w:r>
                <w:rPr>
                  <w:noProof/>
                </w:rPr>
                <w:t>s.l.:SAGE Publications.</w:t>
              </w:r>
            </w:p>
            <w:p w14:paraId="11FEDC13" w14:textId="77777777" w:rsidR="00104ADD" w:rsidRDefault="00104ADD" w:rsidP="00104ADD">
              <w:pPr>
                <w:pStyle w:val="Irodalomjegyzk"/>
                <w:rPr>
                  <w:noProof/>
                </w:rPr>
              </w:pPr>
              <w:r>
                <w:rPr>
                  <w:noProof/>
                </w:rPr>
                <w:t xml:space="preserve">Grant, A. M., 2013. </w:t>
              </w:r>
              <w:r>
                <w:rPr>
                  <w:i/>
                  <w:iCs/>
                  <w:noProof/>
                </w:rPr>
                <w:t xml:space="preserve">The Efficacy of Executive Coaching in Times of Organisational Change. </w:t>
              </w:r>
              <w:r>
                <w:rPr>
                  <w:noProof/>
                </w:rPr>
                <w:t>s.l.:s.n.</w:t>
              </w:r>
            </w:p>
            <w:p w14:paraId="794D730E" w14:textId="77777777" w:rsidR="00104ADD" w:rsidRDefault="00104ADD" w:rsidP="00104ADD">
              <w:pPr>
                <w:pStyle w:val="Irodalomjegyzk"/>
                <w:rPr>
                  <w:noProof/>
                </w:rPr>
              </w:pPr>
              <w:r>
                <w:rPr>
                  <w:noProof/>
                </w:rPr>
                <w:t xml:space="preserve">Kram, K. E., 1985. </w:t>
              </w:r>
              <w:r>
                <w:rPr>
                  <w:i/>
                  <w:iCs/>
                  <w:noProof/>
                </w:rPr>
                <w:t xml:space="preserve">Mentoring at Work: Developmental Relationships in Organizational Life, </w:t>
              </w:r>
              <w:r>
                <w:rPr>
                  <w:noProof/>
                </w:rPr>
                <w:t>s.l.: University Press of America.</w:t>
              </w:r>
            </w:p>
            <w:p w14:paraId="2B43DC18" w14:textId="77777777" w:rsidR="00104ADD" w:rsidRDefault="00104ADD" w:rsidP="00104ADD">
              <w:pPr>
                <w:pStyle w:val="Irodalomjegyzk"/>
                <w:rPr>
                  <w:noProof/>
                </w:rPr>
              </w:pPr>
              <w:r>
                <w:rPr>
                  <w:noProof/>
                </w:rPr>
                <w:t xml:space="preserve">Panchal, S., Riddell, P., 2020. </w:t>
              </w:r>
              <w:r>
                <w:rPr>
                  <w:i/>
                  <w:iCs/>
                  <w:noProof/>
                </w:rPr>
                <w:t xml:space="preserve">The GROWS model: extending the GROW coaching model to support behavioural change, </w:t>
              </w:r>
              <w:r>
                <w:rPr>
                  <w:noProof/>
                </w:rPr>
                <w:t>s.l.: University of Reading.</w:t>
              </w:r>
            </w:p>
            <w:p w14:paraId="655F4FDF" w14:textId="77777777" w:rsidR="00104ADD" w:rsidRDefault="00104ADD" w:rsidP="00104ADD">
              <w:pPr>
                <w:pStyle w:val="Irodalomjegyzk"/>
                <w:rPr>
                  <w:noProof/>
                </w:rPr>
              </w:pPr>
              <w:r>
                <w:rPr>
                  <w:noProof/>
                </w:rPr>
                <w:t xml:space="preserve">Ragins, B. R., Kram, K. E., 2007. </w:t>
              </w:r>
              <w:r>
                <w:rPr>
                  <w:i/>
                  <w:iCs/>
                  <w:noProof/>
                </w:rPr>
                <w:t xml:space="preserve">The Handbook of Mentoring at Work: Theory, Research, and Practice. </w:t>
              </w:r>
              <w:r>
                <w:rPr>
                  <w:noProof/>
                </w:rPr>
                <w:t>s.l.:SAGE Publications.</w:t>
              </w:r>
            </w:p>
            <w:p w14:paraId="1487FEF9" w14:textId="77777777" w:rsidR="00104ADD" w:rsidRDefault="00104ADD" w:rsidP="00104ADD">
              <w:pPr>
                <w:pStyle w:val="Irodalomjegyzk"/>
                <w:rPr>
                  <w:noProof/>
                </w:rPr>
              </w:pPr>
              <w:r>
                <w:rPr>
                  <w:noProof/>
                </w:rPr>
                <w:t xml:space="preserve">Richter, S., van Zyl, L. E., Roll, L. C., Stander, M. W., 2021. </w:t>
              </w:r>
              <w:r>
                <w:rPr>
                  <w:i/>
                  <w:iCs/>
                  <w:noProof/>
                </w:rPr>
                <w:t xml:space="preserve">Positive Psychological Coaching Tools and Techniques: A Systematic Review and Classification., </w:t>
              </w:r>
              <w:r>
                <w:rPr>
                  <w:noProof/>
                </w:rPr>
                <w:t>s.l.: Frontiers in Psychiatry.</w:t>
              </w:r>
            </w:p>
            <w:p w14:paraId="404D4B95" w14:textId="77777777" w:rsidR="00104ADD" w:rsidRDefault="00104ADD" w:rsidP="00104ADD">
              <w:pPr>
                <w:pStyle w:val="Irodalomjegyzk"/>
                <w:rPr>
                  <w:noProof/>
                </w:rPr>
              </w:pPr>
              <w:r>
                <w:rPr>
                  <w:noProof/>
                </w:rPr>
                <w:t xml:space="preserve">Silva, M. J. P., 2014. </w:t>
              </w:r>
              <w:r>
                <w:rPr>
                  <w:i/>
                  <w:iCs/>
                  <w:noProof/>
                </w:rPr>
                <w:t xml:space="preserve">Effective/efficacious nonverbal communication in the classroom: the perception of the nursing lecturer. </w:t>
              </w:r>
              <w:r>
                <w:rPr>
                  <w:noProof/>
                </w:rPr>
                <w:t>s.l.:EEUSP.</w:t>
              </w:r>
            </w:p>
            <w:p w14:paraId="705964A6" w14:textId="77777777" w:rsidR="00104ADD" w:rsidRDefault="00104ADD" w:rsidP="00104ADD">
              <w:pPr>
                <w:pStyle w:val="Irodalomjegyzk"/>
                <w:rPr>
                  <w:noProof/>
                </w:rPr>
              </w:pPr>
              <w:r>
                <w:rPr>
                  <w:noProof/>
                </w:rPr>
                <w:t xml:space="preserve">Thipatdee, G., 2019. </w:t>
              </w:r>
              <w:r>
                <w:rPr>
                  <w:i/>
                  <w:iCs/>
                  <w:noProof/>
                </w:rPr>
                <w:t xml:space="preserve">The Development of Coaching and Mentoring Skills Through the GROW Technique for Student Teachers.. </w:t>
              </w:r>
              <w:r>
                <w:rPr>
                  <w:noProof/>
                </w:rPr>
                <w:t>s.l.:Journal of Education and Learning.</w:t>
              </w:r>
            </w:p>
            <w:p w14:paraId="3077261F" w14:textId="77777777" w:rsidR="00104ADD" w:rsidRDefault="00104ADD" w:rsidP="00104ADD">
              <w:pPr>
                <w:pStyle w:val="Irodalomjegyzk"/>
                <w:rPr>
                  <w:noProof/>
                </w:rPr>
              </w:pPr>
              <w:r>
                <w:rPr>
                  <w:noProof/>
                </w:rPr>
                <w:t xml:space="preserve">Whitmore, J., 2010. </w:t>
              </w:r>
              <w:r>
                <w:rPr>
                  <w:i/>
                  <w:iCs/>
                  <w:noProof/>
                </w:rPr>
                <w:t xml:space="preserve">Coaching for Performance.. </w:t>
              </w:r>
              <w:r>
                <w:rPr>
                  <w:noProof/>
                </w:rPr>
                <w:t>s.l.:John Murray Press.</w:t>
              </w:r>
            </w:p>
            <w:p w14:paraId="65FE49CD" w14:textId="77777777" w:rsidR="00104ADD" w:rsidRDefault="00104ADD" w:rsidP="00104ADD">
              <w:pPr>
                <w:pStyle w:val="Irodalomjegyzk"/>
                <w:rPr>
                  <w:noProof/>
                </w:rPr>
              </w:pPr>
              <w:r>
                <w:rPr>
                  <w:noProof/>
                </w:rPr>
                <w:t xml:space="preserve">Wilson, C., 2018. </w:t>
              </w:r>
              <w:r>
                <w:rPr>
                  <w:i/>
                  <w:iCs/>
                  <w:noProof/>
                </w:rPr>
                <w:t xml:space="preserve">The GROW Coaching Model., </w:t>
              </w:r>
              <w:r>
                <w:rPr>
                  <w:noProof/>
                </w:rPr>
                <w:t>s.l.: Culture at Work.</w:t>
              </w:r>
            </w:p>
            <w:p w14:paraId="7EDAD756" w14:textId="7E99B671" w:rsidR="0087745C" w:rsidRPr="0005272F" w:rsidRDefault="0087745C" w:rsidP="00104ADD">
              <w:r w:rsidRPr="0005272F">
                <w:rPr>
                  <w:b/>
                  <w:bCs/>
                </w:rPr>
                <w:fldChar w:fldCharType="end"/>
              </w:r>
            </w:p>
          </w:sdtContent>
        </w:sdt>
      </w:sdtContent>
    </w:sdt>
    <w:p w14:paraId="109895ED" w14:textId="77777777" w:rsidR="0087745C" w:rsidRPr="0005272F" w:rsidRDefault="0087745C" w:rsidP="0087745C"/>
    <w:p w14:paraId="494D543E" w14:textId="2D3CF542" w:rsidR="000A46E0" w:rsidRPr="000A46E0" w:rsidRDefault="000A46E0" w:rsidP="000A46E0"/>
    <w:sectPr w:rsidR="000A46E0" w:rsidRPr="000A46E0" w:rsidSect="00961D41">
      <w:footerReference w:type="default" r:id="rId10"/>
      <w:foot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366C7B" w14:textId="77777777" w:rsidR="008738C5" w:rsidRPr="0005272F" w:rsidRDefault="008738C5" w:rsidP="008738C5">
      <w:pPr>
        <w:spacing w:after="0" w:line="240" w:lineRule="auto"/>
      </w:pPr>
      <w:r w:rsidRPr="0005272F">
        <w:separator/>
      </w:r>
    </w:p>
  </w:endnote>
  <w:endnote w:type="continuationSeparator" w:id="0">
    <w:p w14:paraId="4FDCD069" w14:textId="77777777" w:rsidR="008738C5" w:rsidRPr="0005272F" w:rsidRDefault="008738C5" w:rsidP="008738C5">
      <w:pPr>
        <w:spacing w:after="0" w:line="240" w:lineRule="auto"/>
      </w:pPr>
      <w:r w:rsidRPr="0005272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8150012"/>
      <w:docPartObj>
        <w:docPartGallery w:val="Page Numbers (Bottom of Page)"/>
        <w:docPartUnique/>
      </w:docPartObj>
    </w:sdtPr>
    <w:sdtEndPr/>
    <w:sdtContent>
      <w:p w14:paraId="61DC31CF" w14:textId="0DB61DDE" w:rsidR="002138C3" w:rsidRDefault="002138C3">
        <w:pPr>
          <w:pStyle w:val="llb"/>
        </w:pPr>
        <w:r>
          <w:fldChar w:fldCharType="begin"/>
        </w:r>
        <w:r>
          <w:instrText>PAGE   \* MERGEFORMAT</w:instrText>
        </w:r>
        <w:r>
          <w:fldChar w:fldCharType="separate"/>
        </w:r>
        <w:r>
          <w:rPr>
            <w:lang w:val="hu-HU"/>
          </w:rPr>
          <w:t>2</w:t>
        </w:r>
        <w:r>
          <w:fldChar w:fldCharType="end"/>
        </w:r>
      </w:p>
    </w:sdtContent>
  </w:sdt>
  <w:p w14:paraId="34C0DF6F" w14:textId="77777777" w:rsidR="002138C3" w:rsidRDefault="002138C3">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A64832" w14:textId="77777777" w:rsidR="002138C3" w:rsidRDefault="002138C3">
    <w:pPr>
      <w:pStyle w:val="llb"/>
    </w:pPr>
  </w:p>
  <w:p w14:paraId="1BCD40E1" w14:textId="77777777" w:rsidR="002429B4" w:rsidRDefault="002429B4">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55A0C6" w14:textId="77777777" w:rsidR="008738C5" w:rsidRPr="0005272F" w:rsidRDefault="008738C5" w:rsidP="008738C5">
      <w:pPr>
        <w:spacing w:after="0" w:line="240" w:lineRule="auto"/>
      </w:pPr>
      <w:r w:rsidRPr="0005272F">
        <w:separator/>
      </w:r>
    </w:p>
  </w:footnote>
  <w:footnote w:type="continuationSeparator" w:id="0">
    <w:p w14:paraId="2ECE0D51" w14:textId="77777777" w:rsidR="008738C5" w:rsidRPr="0005272F" w:rsidRDefault="008738C5" w:rsidP="008738C5">
      <w:pPr>
        <w:spacing w:after="0" w:line="240" w:lineRule="auto"/>
      </w:pPr>
      <w:r w:rsidRPr="0005272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75119A"/>
    <w:multiLevelType w:val="multilevel"/>
    <w:tmpl w:val="DBC0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E8382A"/>
    <w:multiLevelType w:val="multilevel"/>
    <w:tmpl w:val="CFAEC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7708427">
    <w:abstractNumId w:val="1"/>
  </w:num>
  <w:num w:numId="2" w16cid:durableId="975836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CEE58A"/>
    <w:rsid w:val="0005272F"/>
    <w:rsid w:val="000A46E0"/>
    <w:rsid w:val="000C11C9"/>
    <w:rsid w:val="00104ADD"/>
    <w:rsid w:val="001916DD"/>
    <w:rsid w:val="002138C3"/>
    <w:rsid w:val="002429B4"/>
    <w:rsid w:val="00335391"/>
    <w:rsid w:val="003B0E6F"/>
    <w:rsid w:val="003F02AB"/>
    <w:rsid w:val="0041F79C"/>
    <w:rsid w:val="004C5093"/>
    <w:rsid w:val="00543CA8"/>
    <w:rsid w:val="00590908"/>
    <w:rsid w:val="005F0A4C"/>
    <w:rsid w:val="006432CA"/>
    <w:rsid w:val="006F5B47"/>
    <w:rsid w:val="007662A1"/>
    <w:rsid w:val="00834195"/>
    <w:rsid w:val="0086247B"/>
    <w:rsid w:val="008738C5"/>
    <w:rsid w:val="0087745C"/>
    <w:rsid w:val="008920CC"/>
    <w:rsid w:val="00922EB0"/>
    <w:rsid w:val="00961D41"/>
    <w:rsid w:val="00A020A5"/>
    <w:rsid w:val="00A311D7"/>
    <w:rsid w:val="00A9239D"/>
    <w:rsid w:val="00AE7F6C"/>
    <w:rsid w:val="00B6733B"/>
    <w:rsid w:val="00B81C26"/>
    <w:rsid w:val="00C2115A"/>
    <w:rsid w:val="00C902AD"/>
    <w:rsid w:val="00CB70DF"/>
    <w:rsid w:val="00CCDE33"/>
    <w:rsid w:val="00D71FD4"/>
    <w:rsid w:val="00DA43A6"/>
    <w:rsid w:val="00DF5CAA"/>
    <w:rsid w:val="00E24AB3"/>
    <w:rsid w:val="00E5419C"/>
    <w:rsid w:val="00EB7748"/>
    <w:rsid w:val="00F315A8"/>
    <w:rsid w:val="00F40715"/>
    <w:rsid w:val="00F47D0F"/>
    <w:rsid w:val="00FC4195"/>
    <w:rsid w:val="039F6B66"/>
    <w:rsid w:val="053F6975"/>
    <w:rsid w:val="05E2FB8B"/>
    <w:rsid w:val="0649FA19"/>
    <w:rsid w:val="082695B9"/>
    <w:rsid w:val="0A380DDA"/>
    <w:rsid w:val="0B0EED7B"/>
    <w:rsid w:val="0B674E48"/>
    <w:rsid w:val="12FED784"/>
    <w:rsid w:val="13525BB5"/>
    <w:rsid w:val="1355FBDB"/>
    <w:rsid w:val="16B1AEE1"/>
    <w:rsid w:val="170746BB"/>
    <w:rsid w:val="177B06F5"/>
    <w:rsid w:val="190BF15E"/>
    <w:rsid w:val="1941CDFF"/>
    <w:rsid w:val="1A04DD56"/>
    <w:rsid w:val="1AACDB39"/>
    <w:rsid w:val="1C261029"/>
    <w:rsid w:val="1D7D4E41"/>
    <w:rsid w:val="1F40B66D"/>
    <w:rsid w:val="20C692B5"/>
    <w:rsid w:val="21EE93B0"/>
    <w:rsid w:val="2238A23E"/>
    <w:rsid w:val="232F0F27"/>
    <w:rsid w:val="23A8D369"/>
    <w:rsid w:val="248B2938"/>
    <w:rsid w:val="26208202"/>
    <w:rsid w:val="26FBBD04"/>
    <w:rsid w:val="27502AB4"/>
    <w:rsid w:val="297D1BFC"/>
    <w:rsid w:val="2CC4390B"/>
    <w:rsid w:val="3269E955"/>
    <w:rsid w:val="34B23CF7"/>
    <w:rsid w:val="361A0C37"/>
    <w:rsid w:val="3892AA73"/>
    <w:rsid w:val="39F99277"/>
    <w:rsid w:val="3E45667A"/>
    <w:rsid w:val="400DAE62"/>
    <w:rsid w:val="45611527"/>
    <w:rsid w:val="46A5D35D"/>
    <w:rsid w:val="48086B18"/>
    <w:rsid w:val="4A2E19E9"/>
    <w:rsid w:val="4A5FA330"/>
    <w:rsid w:val="4B4594A0"/>
    <w:rsid w:val="4C110464"/>
    <w:rsid w:val="508D7404"/>
    <w:rsid w:val="50A6A201"/>
    <w:rsid w:val="5224DCD2"/>
    <w:rsid w:val="52C8A206"/>
    <w:rsid w:val="54FAD7F4"/>
    <w:rsid w:val="5556D328"/>
    <w:rsid w:val="569E1471"/>
    <w:rsid w:val="58C85E10"/>
    <w:rsid w:val="5C8F57A6"/>
    <w:rsid w:val="5FF559C1"/>
    <w:rsid w:val="60A8663C"/>
    <w:rsid w:val="616EA7CD"/>
    <w:rsid w:val="6280A720"/>
    <w:rsid w:val="6449D110"/>
    <w:rsid w:val="646889CB"/>
    <w:rsid w:val="65161832"/>
    <w:rsid w:val="674CEFBE"/>
    <w:rsid w:val="67B055AD"/>
    <w:rsid w:val="6A370B21"/>
    <w:rsid w:val="6ADB2C60"/>
    <w:rsid w:val="6BE1CC22"/>
    <w:rsid w:val="6ED333FC"/>
    <w:rsid w:val="6FA67799"/>
    <w:rsid w:val="70EB0371"/>
    <w:rsid w:val="71D19D80"/>
    <w:rsid w:val="722F84E6"/>
    <w:rsid w:val="724D6A55"/>
    <w:rsid w:val="74CEE58A"/>
    <w:rsid w:val="7678C0A0"/>
    <w:rsid w:val="78912FB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EE58A"/>
  <w15:chartTrackingRefBased/>
  <w15:docId w15:val="{12E22859-7313-44ED-B5E4-6CA3CD470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hu-HU"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70EB0371"/>
    <w:rPr>
      <w:lang w:val="en-GB"/>
    </w:rPr>
  </w:style>
  <w:style w:type="paragraph" w:styleId="Cmsor1">
    <w:name w:val="heading 1"/>
    <w:basedOn w:val="Norml"/>
    <w:next w:val="Norml"/>
    <w:link w:val="Cmsor1Char"/>
    <w:uiPriority w:val="9"/>
    <w:qFormat/>
    <w:rsid w:val="70EB0371"/>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Cmsor2">
    <w:name w:val="heading 2"/>
    <w:basedOn w:val="Norml"/>
    <w:next w:val="Norml"/>
    <w:link w:val="Cmsor2Char"/>
    <w:uiPriority w:val="9"/>
    <w:unhideWhenUsed/>
    <w:qFormat/>
    <w:rsid w:val="70EB0371"/>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Cmsor3">
    <w:name w:val="heading 3"/>
    <w:basedOn w:val="Norml"/>
    <w:next w:val="Norml"/>
    <w:uiPriority w:val="9"/>
    <w:unhideWhenUsed/>
    <w:qFormat/>
    <w:rsid w:val="70EB0371"/>
    <w:pPr>
      <w:keepNext/>
      <w:keepLines/>
      <w:spacing w:before="40" w:after="0"/>
      <w:outlineLvl w:val="2"/>
    </w:pPr>
    <w:rPr>
      <w:rFonts w:asciiTheme="majorHAnsi" w:eastAsiaTheme="majorEastAsia" w:hAnsiTheme="majorHAnsi" w:cstheme="majorBidi"/>
      <w:color w:val="0A2F40"/>
    </w:rPr>
  </w:style>
  <w:style w:type="paragraph" w:styleId="Cmsor4">
    <w:name w:val="heading 4"/>
    <w:basedOn w:val="Norml"/>
    <w:next w:val="Norml"/>
    <w:link w:val="Cmsor4Char"/>
    <w:uiPriority w:val="9"/>
    <w:unhideWhenUsed/>
    <w:qFormat/>
    <w:rsid w:val="70EB0371"/>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Cmsor5">
    <w:name w:val="heading 5"/>
    <w:basedOn w:val="Norml"/>
    <w:next w:val="Norml"/>
    <w:uiPriority w:val="9"/>
    <w:unhideWhenUsed/>
    <w:qFormat/>
    <w:rsid w:val="70EB0371"/>
    <w:pPr>
      <w:keepNext/>
      <w:keepLines/>
      <w:spacing w:before="40" w:after="0"/>
      <w:outlineLvl w:val="4"/>
    </w:pPr>
    <w:rPr>
      <w:rFonts w:asciiTheme="majorHAnsi" w:eastAsiaTheme="majorEastAsia" w:hAnsiTheme="majorHAnsi" w:cstheme="majorBidi"/>
      <w:color w:val="0F4761" w:themeColor="accent1" w:themeShade="BF"/>
    </w:rPr>
  </w:style>
  <w:style w:type="paragraph" w:styleId="Cmsor6">
    <w:name w:val="heading 6"/>
    <w:basedOn w:val="Norml"/>
    <w:next w:val="Norml"/>
    <w:uiPriority w:val="9"/>
    <w:unhideWhenUsed/>
    <w:qFormat/>
    <w:rsid w:val="70EB0371"/>
    <w:pPr>
      <w:keepNext/>
      <w:keepLines/>
      <w:spacing w:before="40" w:after="0"/>
      <w:outlineLvl w:val="5"/>
    </w:pPr>
    <w:rPr>
      <w:rFonts w:asciiTheme="majorHAnsi" w:eastAsiaTheme="majorEastAsia" w:hAnsiTheme="majorHAnsi" w:cstheme="majorBidi"/>
      <w:color w:val="0A2F40"/>
    </w:rPr>
  </w:style>
  <w:style w:type="paragraph" w:styleId="Cmsor7">
    <w:name w:val="heading 7"/>
    <w:basedOn w:val="Norml"/>
    <w:next w:val="Norml"/>
    <w:uiPriority w:val="9"/>
    <w:unhideWhenUsed/>
    <w:qFormat/>
    <w:rsid w:val="70EB0371"/>
    <w:pPr>
      <w:keepNext/>
      <w:keepLines/>
      <w:spacing w:before="40" w:after="0"/>
      <w:outlineLvl w:val="6"/>
    </w:pPr>
    <w:rPr>
      <w:rFonts w:asciiTheme="majorHAnsi" w:eastAsiaTheme="majorEastAsia" w:hAnsiTheme="majorHAnsi" w:cstheme="majorBidi"/>
      <w:i/>
      <w:iCs/>
      <w:color w:val="0A2F40"/>
    </w:rPr>
  </w:style>
  <w:style w:type="paragraph" w:styleId="Cmsor8">
    <w:name w:val="heading 8"/>
    <w:basedOn w:val="Norml"/>
    <w:next w:val="Norml"/>
    <w:uiPriority w:val="9"/>
    <w:unhideWhenUsed/>
    <w:qFormat/>
    <w:rsid w:val="70EB0371"/>
    <w:pPr>
      <w:keepNext/>
      <w:keepLines/>
      <w:spacing w:before="40" w:after="0"/>
      <w:outlineLvl w:val="7"/>
    </w:pPr>
    <w:rPr>
      <w:rFonts w:asciiTheme="majorHAnsi" w:eastAsiaTheme="majorEastAsia" w:hAnsiTheme="majorHAnsi" w:cstheme="majorBidi"/>
      <w:color w:val="272727"/>
      <w:sz w:val="21"/>
      <w:szCs w:val="21"/>
    </w:rPr>
  </w:style>
  <w:style w:type="paragraph" w:styleId="Cmsor9">
    <w:name w:val="heading 9"/>
    <w:basedOn w:val="Norml"/>
    <w:next w:val="Norml"/>
    <w:uiPriority w:val="9"/>
    <w:unhideWhenUsed/>
    <w:qFormat/>
    <w:rsid w:val="70EB0371"/>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next w:val="Norml"/>
    <w:uiPriority w:val="10"/>
    <w:qFormat/>
    <w:rsid w:val="70EB0371"/>
    <w:pPr>
      <w:spacing w:after="0" w:line="240" w:lineRule="auto"/>
      <w:contextualSpacing/>
    </w:pPr>
    <w:rPr>
      <w:rFonts w:asciiTheme="majorHAnsi" w:eastAsiaTheme="majorEastAsia" w:hAnsiTheme="majorHAnsi" w:cstheme="majorBidi"/>
      <w:sz w:val="56"/>
      <w:szCs w:val="56"/>
    </w:rPr>
  </w:style>
  <w:style w:type="paragraph" w:styleId="Alcm">
    <w:name w:val="Subtitle"/>
    <w:basedOn w:val="Norml"/>
    <w:next w:val="Norml"/>
    <w:uiPriority w:val="11"/>
    <w:qFormat/>
    <w:rsid w:val="70EB0371"/>
    <w:rPr>
      <w:rFonts w:eastAsiaTheme="minorEastAsia"/>
      <w:color w:val="5A5A5A"/>
    </w:rPr>
  </w:style>
  <w:style w:type="paragraph" w:styleId="Idzet">
    <w:name w:val="Quote"/>
    <w:basedOn w:val="Norml"/>
    <w:next w:val="Norml"/>
    <w:uiPriority w:val="29"/>
    <w:qFormat/>
    <w:rsid w:val="70EB0371"/>
    <w:pPr>
      <w:spacing w:before="200"/>
      <w:ind w:left="864" w:right="864"/>
      <w:jc w:val="center"/>
    </w:pPr>
    <w:rPr>
      <w:i/>
      <w:iCs/>
      <w:color w:val="404040" w:themeColor="text1" w:themeTint="BF"/>
    </w:rPr>
  </w:style>
  <w:style w:type="paragraph" w:styleId="Kiemeltidzet">
    <w:name w:val="Intense Quote"/>
    <w:basedOn w:val="Norml"/>
    <w:next w:val="Norml"/>
    <w:uiPriority w:val="30"/>
    <w:qFormat/>
    <w:rsid w:val="70EB0371"/>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paragraph" w:styleId="Listaszerbekezds">
    <w:name w:val="List Paragraph"/>
    <w:basedOn w:val="Norml"/>
    <w:uiPriority w:val="34"/>
    <w:qFormat/>
    <w:rsid w:val="70EB0371"/>
    <w:pPr>
      <w:ind w:left="720"/>
      <w:contextualSpacing/>
    </w:pPr>
  </w:style>
  <w:style w:type="paragraph" w:styleId="TJ1">
    <w:name w:val="toc 1"/>
    <w:basedOn w:val="Norml"/>
    <w:next w:val="Norml"/>
    <w:uiPriority w:val="39"/>
    <w:unhideWhenUsed/>
    <w:rsid w:val="70EB0371"/>
    <w:pPr>
      <w:spacing w:after="100"/>
    </w:pPr>
  </w:style>
  <w:style w:type="paragraph" w:styleId="TJ2">
    <w:name w:val="toc 2"/>
    <w:basedOn w:val="Norml"/>
    <w:next w:val="Norml"/>
    <w:uiPriority w:val="39"/>
    <w:unhideWhenUsed/>
    <w:rsid w:val="70EB0371"/>
    <w:pPr>
      <w:spacing w:after="100"/>
      <w:ind w:left="220"/>
    </w:pPr>
  </w:style>
  <w:style w:type="paragraph" w:styleId="TJ3">
    <w:name w:val="toc 3"/>
    <w:basedOn w:val="Norml"/>
    <w:next w:val="Norml"/>
    <w:uiPriority w:val="39"/>
    <w:unhideWhenUsed/>
    <w:rsid w:val="70EB0371"/>
    <w:pPr>
      <w:spacing w:after="100"/>
      <w:ind w:left="440"/>
    </w:pPr>
  </w:style>
  <w:style w:type="paragraph" w:styleId="TJ4">
    <w:name w:val="toc 4"/>
    <w:basedOn w:val="Norml"/>
    <w:next w:val="Norml"/>
    <w:uiPriority w:val="39"/>
    <w:unhideWhenUsed/>
    <w:rsid w:val="70EB0371"/>
    <w:pPr>
      <w:spacing w:after="100"/>
      <w:ind w:left="660"/>
    </w:pPr>
  </w:style>
  <w:style w:type="paragraph" w:styleId="TJ5">
    <w:name w:val="toc 5"/>
    <w:basedOn w:val="Norml"/>
    <w:next w:val="Norml"/>
    <w:uiPriority w:val="39"/>
    <w:unhideWhenUsed/>
    <w:rsid w:val="70EB0371"/>
    <w:pPr>
      <w:spacing w:after="100"/>
      <w:ind w:left="880"/>
    </w:pPr>
  </w:style>
  <w:style w:type="paragraph" w:styleId="TJ6">
    <w:name w:val="toc 6"/>
    <w:basedOn w:val="Norml"/>
    <w:next w:val="Norml"/>
    <w:uiPriority w:val="39"/>
    <w:unhideWhenUsed/>
    <w:rsid w:val="70EB0371"/>
    <w:pPr>
      <w:spacing w:after="100"/>
      <w:ind w:left="1100"/>
    </w:pPr>
  </w:style>
  <w:style w:type="paragraph" w:styleId="TJ7">
    <w:name w:val="toc 7"/>
    <w:basedOn w:val="Norml"/>
    <w:next w:val="Norml"/>
    <w:uiPriority w:val="39"/>
    <w:unhideWhenUsed/>
    <w:rsid w:val="70EB0371"/>
    <w:pPr>
      <w:spacing w:after="100"/>
      <w:ind w:left="1320"/>
    </w:pPr>
  </w:style>
  <w:style w:type="paragraph" w:styleId="TJ8">
    <w:name w:val="toc 8"/>
    <w:basedOn w:val="Norml"/>
    <w:next w:val="Norml"/>
    <w:uiPriority w:val="39"/>
    <w:unhideWhenUsed/>
    <w:rsid w:val="70EB0371"/>
    <w:pPr>
      <w:spacing w:after="100"/>
      <w:ind w:left="1540"/>
    </w:pPr>
  </w:style>
  <w:style w:type="paragraph" w:styleId="TJ9">
    <w:name w:val="toc 9"/>
    <w:basedOn w:val="Norml"/>
    <w:next w:val="Norml"/>
    <w:uiPriority w:val="39"/>
    <w:unhideWhenUsed/>
    <w:rsid w:val="70EB0371"/>
    <w:pPr>
      <w:spacing w:after="100"/>
      <w:ind w:left="1760"/>
    </w:pPr>
  </w:style>
  <w:style w:type="paragraph" w:styleId="Vgjegyzetszvege">
    <w:name w:val="endnote text"/>
    <w:basedOn w:val="Norml"/>
    <w:uiPriority w:val="99"/>
    <w:semiHidden/>
    <w:unhideWhenUsed/>
    <w:rsid w:val="70EB0371"/>
    <w:pPr>
      <w:spacing w:after="0" w:line="240" w:lineRule="auto"/>
    </w:pPr>
    <w:rPr>
      <w:sz w:val="20"/>
      <w:szCs w:val="20"/>
    </w:rPr>
  </w:style>
  <w:style w:type="paragraph" w:styleId="llb">
    <w:name w:val="footer"/>
    <w:basedOn w:val="Norml"/>
    <w:link w:val="llbChar"/>
    <w:uiPriority w:val="99"/>
    <w:unhideWhenUsed/>
    <w:rsid w:val="70EB0371"/>
    <w:pPr>
      <w:tabs>
        <w:tab w:val="center" w:pos="4680"/>
        <w:tab w:val="right" w:pos="9360"/>
      </w:tabs>
      <w:spacing w:after="0" w:line="240" w:lineRule="auto"/>
    </w:pPr>
  </w:style>
  <w:style w:type="paragraph" w:styleId="Lbjegyzetszveg">
    <w:name w:val="footnote text"/>
    <w:basedOn w:val="Norml"/>
    <w:uiPriority w:val="99"/>
    <w:semiHidden/>
    <w:unhideWhenUsed/>
    <w:rsid w:val="70EB0371"/>
    <w:pPr>
      <w:spacing w:after="0" w:line="240" w:lineRule="auto"/>
    </w:pPr>
    <w:rPr>
      <w:sz w:val="20"/>
      <w:szCs w:val="20"/>
    </w:rPr>
  </w:style>
  <w:style w:type="paragraph" w:styleId="lfej">
    <w:name w:val="header"/>
    <w:basedOn w:val="Norml"/>
    <w:uiPriority w:val="99"/>
    <w:unhideWhenUsed/>
    <w:rsid w:val="70EB0371"/>
    <w:pPr>
      <w:tabs>
        <w:tab w:val="center" w:pos="4680"/>
        <w:tab w:val="right" w:pos="9360"/>
      </w:tabs>
      <w:spacing w:after="0" w:line="240" w:lineRule="auto"/>
    </w:pPr>
  </w:style>
  <w:style w:type="table" w:styleId="Rcsostblzat">
    <w:name w:val="Table Grid"/>
    <w:basedOn w:val="Normltblzat"/>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msor4Char">
    <w:name w:val="Címsor 4 Char"/>
    <w:basedOn w:val="Bekezdsalapbettpusa"/>
    <w:link w:val="Cmsor4"/>
    <w:uiPriority w:val="9"/>
    <w:rPr>
      <w:rFonts w:asciiTheme="majorHAnsi" w:eastAsiaTheme="majorEastAsia" w:hAnsiTheme="majorHAnsi" w:cstheme="majorBidi"/>
      <w:i/>
      <w:iCs/>
      <w:color w:val="0F4761" w:themeColor="accent1" w:themeShade="BF"/>
    </w:rPr>
  </w:style>
  <w:style w:type="character" w:styleId="Hiperhivatkozs">
    <w:name w:val="Hyperlink"/>
    <w:basedOn w:val="Bekezdsalapbettpusa"/>
    <w:uiPriority w:val="99"/>
    <w:unhideWhenUsed/>
    <w:rPr>
      <w:color w:val="467886" w:themeColor="hyperlink"/>
      <w:u w:val="single"/>
    </w:rPr>
  </w:style>
  <w:style w:type="character" w:customStyle="1" w:styleId="Cmsor1Char">
    <w:name w:val="Címsor 1 Char"/>
    <w:basedOn w:val="Bekezdsalapbettpusa"/>
    <w:link w:val="Cmsor1"/>
    <w:uiPriority w:val="9"/>
    <w:rPr>
      <w:rFonts w:asciiTheme="majorHAnsi" w:eastAsiaTheme="majorEastAsia" w:hAnsiTheme="majorHAnsi" w:cstheme="majorBidi"/>
      <w:color w:val="0F4761" w:themeColor="accent1" w:themeShade="BF"/>
      <w:sz w:val="32"/>
      <w:szCs w:val="32"/>
    </w:rPr>
  </w:style>
  <w:style w:type="character" w:customStyle="1" w:styleId="Cmsor2Char">
    <w:name w:val="Címsor 2 Char"/>
    <w:basedOn w:val="Bekezdsalapbettpusa"/>
    <w:link w:val="Cmsor2"/>
    <w:uiPriority w:val="9"/>
    <w:rPr>
      <w:rFonts w:asciiTheme="majorHAnsi" w:eastAsiaTheme="majorEastAsia" w:hAnsiTheme="majorHAnsi" w:cstheme="majorBidi"/>
      <w:color w:val="0F4761" w:themeColor="accent1" w:themeShade="BF"/>
      <w:sz w:val="26"/>
      <w:szCs w:val="26"/>
    </w:rPr>
  </w:style>
  <w:style w:type="paragraph" w:styleId="Irodalomjegyzk">
    <w:name w:val="Bibliography"/>
    <w:basedOn w:val="Norml"/>
    <w:next w:val="Norml"/>
    <w:uiPriority w:val="37"/>
    <w:unhideWhenUsed/>
    <w:rsid w:val="00590908"/>
  </w:style>
  <w:style w:type="character" w:customStyle="1" w:styleId="llbChar">
    <w:name w:val="Élőláb Char"/>
    <w:basedOn w:val="Bekezdsalapbettpusa"/>
    <w:link w:val="llb"/>
    <w:uiPriority w:val="99"/>
    <w:rsid w:val="002138C3"/>
    <w:rPr>
      <w:lang w:val="en-GB"/>
    </w:rPr>
  </w:style>
  <w:style w:type="paragraph" w:styleId="Kpalrs">
    <w:name w:val="caption"/>
    <w:basedOn w:val="Norml"/>
    <w:next w:val="Norml"/>
    <w:uiPriority w:val="35"/>
    <w:unhideWhenUsed/>
    <w:qFormat/>
    <w:rsid w:val="00335391"/>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6233">
      <w:bodyDiv w:val="1"/>
      <w:marLeft w:val="0"/>
      <w:marRight w:val="0"/>
      <w:marTop w:val="0"/>
      <w:marBottom w:val="0"/>
      <w:divBdr>
        <w:top w:val="none" w:sz="0" w:space="0" w:color="auto"/>
        <w:left w:val="none" w:sz="0" w:space="0" w:color="auto"/>
        <w:bottom w:val="none" w:sz="0" w:space="0" w:color="auto"/>
        <w:right w:val="none" w:sz="0" w:space="0" w:color="auto"/>
      </w:divBdr>
    </w:div>
    <w:div w:id="207453285">
      <w:bodyDiv w:val="1"/>
      <w:marLeft w:val="0"/>
      <w:marRight w:val="0"/>
      <w:marTop w:val="0"/>
      <w:marBottom w:val="0"/>
      <w:divBdr>
        <w:top w:val="none" w:sz="0" w:space="0" w:color="auto"/>
        <w:left w:val="none" w:sz="0" w:space="0" w:color="auto"/>
        <w:bottom w:val="none" w:sz="0" w:space="0" w:color="auto"/>
        <w:right w:val="none" w:sz="0" w:space="0" w:color="auto"/>
      </w:divBdr>
    </w:div>
    <w:div w:id="513694608">
      <w:bodyDiv w:val="1"/>
      <w:marLeft w:val="0"/>
      <w:marRight w:val="0"/>
      <w:marTop w:val="0"/>
      <w:marBottom w:val="0"/>
      <w:divBdr>
        <w:top w:val="none" w:sz="0" w:space="0" w:color="auto"/>
        <w:left w:val="none" w:sz="0" w:space="0" w:color="auto"/>
        <w:bottom w:val="none" w:sz="0" w:space="0" w:color="auto"/>
        <w:right w:val="none" w:sz="0" w:space="0" w:color="auto"/>
      </w:divBdr>
    </w:div>
    <w:div w:id="575941616">
      <w:bodyDiv w:val="1"/>
      <w:marLeft w:val="0"/>
      <w:marRight w:val="0"/>
      <w:marTop w:val="0"/>
      <w:marBottom w:val="0"/>
      <w:divBdr>
        <w:top w:val="none" w:sz="0" w:space="0" w:color="auto"/>
        <w:left w:val="none" w:sz="0" w:space="0" w:color="auto"/>
        <w:bottom w:val="none" w:sz="0" w:space="0" w:color="auto"/>
        <w:right w:val="none" w:sz="0" w:space="0" w:color="auto"/>
      </w:divBdr>
    </w:div>
    <w:div w:id="592515536">
      <w:bodyDiv w:val="1"/>
      <w:marLeft w:val="0"/>
      <w:marRight w:val="0"/>
      <w:marTop w:val="0"/>
      <w:marBottom w:val="0"/>
      <w:divBdr>
        <w:top w:val="none" w:sz="0" w:space="0" w:color="auto"/>
        <w:left w:val="none" w:sz="0" w:space="0" w:color="auto"/>
        <w:bottom w:val="none" w:sz="0" w:space="0" w:color="auto"/>
        <w:right w:val="none" w:sz="0" w:space="0" w:color="auto"/>
      </w:divBdr>
    </w:div>
    <w:div w:id="637147341">
      <w:bodyDiv w:val="1"/>
      <w:marLeft w:val="0"/>
      <w:marRight w:val="0"/>
      <w:marTop w:val="0"/>
      <w:marBottom w:val="0"/>
      <w:divBdr>
        <w:top w:val="none" w:sz="0" w:space="0" w:color="auto"/>
        <w:left w:val="none" w:sz="0" w:space="0" w:color="auto"/>
        <w:bottom w:val="none" w:sz="0" w:space="0" w:color="auto"/>
        <w:right w:val="none" w:sz="0" w:space="0" w:color="auto"/>
      </w:divBdr>
    </w:div>
    <w:div w:id="663164551">
      <w:bodyDiv w:val="1"/>
      <w:marLeft w:val="0"/>
      <w:marRight w:val="0"/>
      <w:marTop w:val="0"/>
      <w:marBottom w:val="0"/>
      <w:divBdr>
        <w:top w:val="none" w:sz="0" w:space="0" w:color="auto"/>
        <w:left w:val="none" w:sz="0" w:space="0" w:color="auto"/>
        <w:bottom w:val="none" w:sz="0" w:space="0" w:color="auto"/>
        <w:right w:val="none" w:sz="0" w:space="0" w:color="auto"/>
      </w:divBdr>
    </w:div>
    <w:div w:id="679084549">
      <w:bodyDiv w:val="1"/>
      <w:marLeft w:val="0"/>
      <w:marRight w:val="0"/>
      <w:marTop w:val="0"/>
      <w:marBottom w:val="0"/>
      <w:divBdr>
        <w:top w:val="none" w:sz="0" w:space="0" w:color="auto"/>
        <w:left w:val="none" w:sz="0" w:space="0" w:color="auto"/>
        <w:bottom w:val="none" w:sz="0" w:space="0" w:color="auto"/>
        <w:right w:val="none" w:sz="0" w:space="0" w:color="auto"/>
      </w:divBdr>
    </w:div>
    <w:div w:id="732242310">
      <w:bodyDiv w:val="1"/>
      <w:marLeft w:val="0"/>
      <w:marRight w:val="0"/>
      <w:marTop w:val="0"/>
      <w:marBottom w:val="0"/>
      <w:divBdr>
        <w:top w:val="none" w:sz="0" w:space="0" w:color="auto"/>
        <w:left w:val="none" w:sz="0" w:space="0" w:color="auto"/>
        <w:bottom w:val="none" w:sz="0" w:space="0" w:color="auto"/>
        <w:right w:val="none" w:sz="0" w:space="0" w:color="auto"/>
      </w:divBdr>
    </w:div>
    <w:div w:id="745537594">
      <w:bodyDiv w:val="1"/>
      <w:marLeft w:val="0"/>
      <w:marRight w:val="0"/>
      <w:marTop w:val="0"/>
      <w:marBottom w:val="0"/>
      <w:divBdr>
        <w:top w:val="none" w:sz="0" w:space="0" w:color="auto"/>
        <w:left w:val="none" w:sz="0" w:space="0" w:color="auto"/>
        <w:bottom w:val="none" w:sz="0" w:space="0" w:color="auto"/>
        <w:right w:val="none" w:sz="0" w:space="0" w:color="auto"/>
      </w:divBdr>
    </w:div>
    <w:div w:id="746806409">
      <w:bodyDiv w:val="1"/>
      <w:marLeft w:val="0"/>
      <w:marRight w:val="0"/>
      <w:marTop w:val="0"/>
      <w:marBottom w:val="0"/>
      <w:divBdr>
        <w:top w:val="none" w:sz="0" w:space="0" w:color="auto"/>
        <w:left w:val="none" w:sz="0" w:space="0" w:color="auto"/>
        <w:bottom w:val="none" w:sz="0" w:space="0" w:color="auto"/>
        <w:right w:val="none" w:sz="0" w:space="0" w:color="auto"/>
      </w:divBdr>
    </w:div>
    <w:div w:id="792215703">
      <w:bodyDiv w:val="1"/>
      <w:marLeft w:val="0"/>
      <w:marRight w:val="0"/>
      <w:marTop w:val="0"/>
      <w:marBottom w:val="0"/>
      <w:divBdr>
        <w:top w:val="none" w:sz="0" w:space="0" w:color="auto"/>
        <w:left w:val="none" w:sz="0" w:space="0" w:color="auto"/>
        <w:bottom w:val="none" w:sz="0" w:space="0" w:color="auto"/>
        <w:right w:val="none" w:sz="0" w:space="0" w:color="auto"/>
      </w:divBdr>
    </w:div>
    <w:div w:id="829633453">
      <w:bodyDiv w:val="1"/>
      <w:marLeft w:val="0"/>
      <w:marRight w:val="0"/>
      <w:marTop w:val="0"/>
      <w:marBottom w:val="0"/>
      <w:divBdr>
        <w:top w:val="none" w:sz="0" w:space="0" w:color="auto"/>
        <w:left w:val="none" w:sz="0" w:space="0" w:color="auto"/>
        <w:bottom w:val="none" w:sz="0" w:space="0" w:color="auto"/>
        <w:right w:val="none" w:sz="0" w:space="0" w:color="auto"/>
      </w:divBdr>
    </w:div>
    <w:div w:id="897517089">
      <w:bodyDiv w:val="1"/>
      <w:marLeft w:val="0"/>
      <w:marRight w:val="0"/>
      <w:marTop w:val="0"/>
      <w:marBottom w:val="0"/>
      <w:divBdr>
        <w:top w:val="none" w:sz="0" w:space="0" w:color="auto"/>
        <w:left w:val="none" w:sz="0" w:space="0" w:color="auto"/>
        <w:bottom w:val="none" w:sz="0" w:space="0" w:color="auto"/>
        <w:right w:val="none" w:sz="0" w:space="0" w:color="auto"/>
      </w:divBdr>
    </w:div>
    <w:div w:id="1080832478">
      <w:bodyDiv w:val="1"/>
      <w:marLeft w:val="0"/>
      <w:marRight w:val="0"/>
      <w:marTop w:val="0"/>
      <w:marBottom w:val="0"/>
      <w:divBdr>
        <w:top w:val="none" w:sz="0" w:space="0" w:color="auto"/>
        <w:left w:val="none" w:sz="0" w:space="0" w:color="auto"/>
        <w:bottom w:val="none" w:sz="0" w:space="0" w:color="auto"/>
        <w:right w:val="none" w:sz="0" w:space="0" w:color="auto"/>
      </w:divBdr>
    </w:div>
    <w:div w:id="1115322973">
      <w:bodyDiv w:val="1"/>
      <w:marLeft w:val="0"/>
      <w:marRight w:val="0"/>
      <w:marTop w:val="0"/>
      <w:marBottom w:val="0"/>
      <w:divBdr>
        <w:top w:val="none" w:sz="0" w:space="0" w:color="auto"/>
        <w:left w:val="none" w:sz="0" w:space="0" w:color="auto"/>
        <w:bottom w:val="none" w:sz="0" w:space="0" w:color="auto"/>
        <w:right w:val="none" w:sz="0" w:space="0" w:color="auto"/>
      </w:divBdr>
    </w:div>
    <w:div w:id="1126658712">
      <w:bodyDiv w:val="1"/>
      <w:marLeft w:val="0"/>
      <w:marRight w:val="0"/>
      <w:marTop w:val="0"/>
      <w:marBottom w:val="0"/>
      <w:divBdr>
        <w:top w:val="none" w:sz="0" w:space="0" w:color="auto"/>
        <w:left w:val="none" w:sz="0" w:space="0" w:color="auto"/>
        <w:bottom w:val="none" w:sz="0" w:space="0" w:color="auto"/>
        <w:right w:val="none" w:sz="0" w:space="0" w:color="auto"/>
      </w:divBdr>
    </w:div>
    <w:div w:id="1140027646">
      <w:bodyDiv w:val="1"/>
      <w:marLeft w:val="0"/>
      <w:marRight w:val="0"/>
      <w:marTop w:val="0"/>
      <w:marBottom w:val="0"/>
      <w:divBdr>
        <w:top w:val="none" w:sz="0" w:space="0" w:color="auto"/>
        <w:left w:val="none" w:sz="0" w:space="0" w:color="auto"/>
        <w:bottom w:val="none" w:sz="0" w:space="0" w:color="auto"/>
        <w:right w:val="none" w:sz="0" w:space="0" w:color="auto"/>
      </w:divBdr>
    </w:div>
    <w:div w:id="1229532801">
      <w:bodyDiv w:val="1"/>
      <w:marLeft w:val="0"/>
      <w:marRight w:val="0"/>
      <w:marTop w:val="0"/>
      <w:marBottom w:val="0"/>
      <w:divBdr>
        <w:top w:val="none" w:sz="0" w:space="0" w:color="auto"/>
        <w:left w:val="none" w:sz="0" w:space="0" w:color="auto"/>
        <w:bottom w:val="none" w:sz="0" w:space="0" w:color="auto"/>
        <w:right w:val="none" w:sz="0" w:space="0" w:color="auto"/>
      </w:divBdr>
    </w:div>
    <w:div w:id="1284650866">
      <w:bodyDiv w:val="1"/>
      <w:marLeft w:val="0"/>
      <w:marRight w:val="0"/>
      <w:marTop w:val="0"/>
      <w:marBottom w:val="0"/>
      <w:divBdr>
        <w:top w:val="none" w:sz="0" w:space="0" w:color="auto"/>
        <w:left w:val="none" w:sz="0" w:space="0" w:color="auto"/>
        <w:bottom w:val="none" w:sz="0" w:space="0" w:color="auto"/>
        <w:right w:val="none" w:sz="0" w:space="0" w:color="auto"/>
      </w:divBdr>
    </w:div>
    <w:div w:id="1297833111">
      <w:bodyDiv w:val="1"/>
      <w:marLeft w:val="0"/>
      <w:marRight w:val="0"/>
      <w:marTop w:val="0"/>
      <w:marBottom w:val="0"/>
      <w:divBdr>
        <w:top w:val="none" w:sz="0" w:space="0" w:color="auto"/>
        <w:left w:val="none" w:sz="0" w:space="0" w:color="auto"/>
        <w:bottom w:val="none" w:sz="0" w:space="0" w:color="auto"/>
        <w:right w:val="none" w:sz="0" w:space="0" w:color="auto"/>
      </w:divBdr>
    </w:div>
    <w:div w:id="1566448849">
      <w:bodyDiv w:val="1"/>
      <w:marLeft w:val="0"/>
      <w:marRight w:val="0"/>
      <w:marTop w:val="0"/>
      <w:marBottom w:val="0"/>
      <w:divBdr>
        <w:top w:val="none" w:sz="0" w:space="0" w:color="auto"/>
        <w:left w:val="none" w:sz="0" w:space="0" w:color="auto"/>
        <w:bottom w:val="none" w:sz="0" w:space="0" w:color="auto"/>
        <w:right w:val="none" w:sz="0" w:space="0" w:color="auto"/>
      </w:divBdr>
    </w:div>
    <w:div w:id="1622109242">
      <w:bodyDiv w:val="1"/>
      <w:marLeft w:val="0"/>
      <w:marRight w:val="0"/>
      <w:marTop w:val="0"/>
      <w:marBottom w:val="0"/>
      <w:divBdr>
        <w:top w:val="none" w:sz="0" w:space="0" w:color="auto"/>
        <w:left w:val="none" w:sz="0" w:space="0" w:color="auto"/>
        <w:bottom w:val="none" w:sz="0" w:space="0" w:color="auto"/>
        <w:right w:val="none" w:sz="0" w:space="0" w:color="auto"/>
      </w:divBdr>
    </w:div>
    <w:div w:id="1703242743">
      <w:bodyDiv w:val="1"/>
      <w:marLeft w:val="0"/>
      <w:marRight w:val="0"/>
      <w:marTop w:val="0"/>
      <w:marBottom w:val="0"/>
      <w:divBdr>
        <w:top w:val="none" w:sz="0" w:space="0" w:color="auto"/>
        <w:left w:val="none" w:sz="0" w:space="0" w:color="auto"/>
        <w:bottom w:val="none" w:sz="0" w:space="0" w:color="auto"/>
        <w:right w:val="none" w:sz="0" w:space="0" w:color="auto"/>
      </w:divBdr>
    </w:div>
    <w:div w:id="1819032640">
      <w:bodyDiv w:val="1"/>
      <w:marLeft w:val="0"/>
      <w:marRight w:val="0"/>
      <w:marTop w:val="0"/>
      <w:marBottom w:val="0"/>
      <w:divBdr>
        <w:top w:val="none" w:sz="0" w:space="0" w:color="auto"/>
        <w:left w:val="none" w:sz="0" w:space="0" w:color="auto"/>
        <w:bottom w:val="none" w:sz="0" w:space="0" w:color="auto"/>
        <w:right w:val="none" w:sz="0" w:space="0" w:color="auto"/>
      </w:divBdr>
    </w:div>
    <w:div w:id="1847014952">
      <w:bodyDiv w:val="1"/>
      <w:marLeft w:val="0"/>
      <w:marRight w:val="0"/>
      <w:marTop w:val="0"/>
      <w:marBottom w:val="0"/>
      <w:divBdr>
        <w:top w:val="none" w:sz="0" w:space="0" w:color="auto"/>
        <w:left w:val="none" w:sz="0" w:space="0" w:color="auto"/>
        <w:bottom w:val="none" w:sz="0" w:space="0" w:color="auto"/>
        <w:right w:val="none" w:sz="0" w:space="0" w:color="auto"/>
      </w:divBdr>
    </w:div>
    <w:div w:id="212619156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Whi10</b:Tag>
    <b:SourceType>Book</b:SourceType>
    <b:Guid>{65CFBA10-A94A-4ADD-B499-0D58C0DC41C1}</b:Guid>
    <b:LCID>en-GB</b:LCID>
    <b:Author>
      <b:Author>
        <b:NameList>
          <b:Person>
            <b:Last>Whitmore</b:Last>
            <b:First>J.</b:First>
          </b:Person>
        </b:NameList>
      </b:Author>
    </b:Author>
    <b:Title>Coaching for Performance.</b:Title>
    <b:Year>2010</b:Year>
    <b:Publisher>John Murray Press</b:Publisher>
    <b:YearAccessed>2024</b:YearAccessed>
    <b:MonthAccessed>12</b:MonthAccessed>
    <b:DayAccessed>11</b:DayAccessed>
    <b:URL>https://www.perlego.com/book/3178865/coaching-for-performance-the-principles-and-practice-of-coaching-and-leadership-fully-revised-25th-anniversary-edition-pdf</b:URL>
    <b:RefOrder>2</b:RefOrder>
  </b:Source>
  <b:Source>
    <b:Tag>Kra85</b:Tag>
    <b:SourceType>Report</b:SourceType>
    <b:Guid>{0E588B3C-6872-4570-B7CF-D916FD4F09B1}</b:Guid>
    <b:Title>Mentoring at Work: Developmental Relationships in Organizational Life</b:Title>
    <b:Year>1985</b:Year>
    <b:Publisher>University Press of America</b:Publisher>
    <b:LCID>en-GB</b:LCID>
    <b:Author>
      <b:Author>
        <b:NameList>
          <b:Person>
            <b:Last>Kram</b:Last>
            <b:First>K.</b:First>
            <b:Middle>E.</b:Middle>
          </b:Person>
        </b:NameList>
      </b:Author>
    </b:Author>
    <b:YearAccessed>2024</b:YearAccessed>
    <b:MonthAccessed>12</b:MonthAccessed>
    <b:DayAccessed>11</b:DayAccessed>
    <b:URL>https://www.researchgate.net/publication/232463073_Mentoring_at_Work_Developmental_Relationships_in_Organisational_Life</b:URL>
    <b:RefOrder>1</b:RefOrder>
  </b:Source>
  <b:Source>
    <b:Tag>Gra13</b:Tag>
    <b:SourceType>Book</b:SourceType>
    <b:Guid>{60192046-0756-4FB1-B858-6C349A918F7F}</b:Guid>
    <b:Title>The Efficacy of Executive Coaching in Times of Organisational Change</b:Title>
    <b:Year>2013</b:Year>
    <b:LCID>en-GB</b:LCID>
    <b:Author>
      <b:Author>
        <b:NameList>
          <b:Person>
            <b:Last>Grant</b:Last>
            <b:First>A.</b:First>
            <b:Middle>M.</b:Middle>
          </b:Person>
        </b:NameList>
      </b:Author>
    </b:Author>
    <b:Pages>258-280</b:Pages>
    <b:YearAccessed>2024</b:YearAccessed>
    <b:MonthAccessed>12</b:MonthAccessed>
    <b:DayAccessed>11</b:DayAccessed>
    <b:URL>https://www.tandfonline.com/doi/full/10.1080/14697017.2013.805159?scroll=top&amp;needAccess=true#abstract</b:URL>
    <b:RefOrder>3</b:RefOrder>
  </b:Source>
  <b:Source>
    <b:Tag>Rag07</b:Tag>
    <b:SourceType>Book</b:SourceType>
    <b:Guid>{BF70CB23-1DF9-41A2-B22C-56DB6A28B5CC}</b:Guid>
    <b:LCID>en-GB</b:LCID>
    <b:Title>The Handbook of Mentoring at Work: Theory, Research, and Practice</b:Title>
    <b:Year>2007</b:Year>
    <b:Publisher>SAGE Publications</b:Publisher>
    <b:Author>
      <b:Author>
        <b:Corporate>Ragins, B. R., Kram, K. E.</b:Corporate>
      </b:Author>
    </b:Author>
    <b:YearAccessed>2024</b:YearAccessed>
    <b:MonthAccessed>12</b:MonthAccessed>
    <b:DayAccessed>11</b:DayAccessed>
    <b:URL>https://www.researchgate.net/publication/255662364_The_Handbook_of_Mentoring_at_Work</b:URL>
    <b:RefOrder>4</b:RefOrder>
  </b:Source>
  <b:Source>
    <b:Tag>GLS24</b:Tag>
    <b:SourceType>InternetSite</b:SourceType>
    <b:Guid>{3870E353-1AF9-489A-B384-4DE0EF6EB7B2}</b:Guid>
    <b:Title>GLS Hungary</b:Title>
    <b:LCID>en-GB</b:LCID>
    <b:YearAccessed>2024</b:YearAccessed>
    <b:MonthAccessed>12</b:MonthAccessed>
    <b:DayAccessed>11</b:DayAccessed>
    <b:URL>https://gls-group.com/HU/en/home/</b:URL>
    <b:RefOrder>5</b:RefOrder>
  </b:Source>
  <b:Source>
    <b:Tag>Wil18</b:Tag>
    <b:SourceType>Report</b:SourceType>
    <b:Guid>{1B3FE110-DFEA-49E9-AB72-5EBBCBE4EB91}</b:Guid>
    <b:LCID>en-GB</b:LCID>
    <b:Author>
      <b:Author>
        <b:NameList>
          <b:Person>
            <b:Last>Wilson</b:Last>
            <b:First>C.</b:First>
          </b:Person>
        </b:NameList>
      </b:Author>
    </b:Author>
    <b:Title>The GROW Coaching Model.</b:Title>
    <b:Year>2018</b:Year>
    <b:Publisher>Culture at Work</b:Publisher>
    <b:YearAccessed>2024</b:YearAccessed>
    <b:MonthAccessed>12</b:MonthAccessed>
    <b:DayAccessed>11</b:DayAccessed>
    <b:URL>https://www.academia.edu/36101606/THE_GROW_COACHING_MODEL</b:URL>
    <b:RefOrder>6</b:RefOrder>
  </b:Source>
  <b:Source>
    <b:Tag>Thi19</b:Tag>
    <b:SourceType>Book</b:SourceType>
    <b:Guid>{11845714-393A-4639-B788-B0FE8B83C68C}</b:Guid>
    <b:LCID>en-GB</b:LCID>
    <b:Title>The Development of Coaching and Mentoring Skills Through the GROW Technique for Student Teachers.</b:Title>
    <b:Year>2019</b:Year>
    <b:Publisher>Journal of Education and Learning</b:Publisher>
    <b:Author>
      <b:Author>
        <b:NameList>
          <b:Person>
            <b:Last>Thipatdee</b:Last>
            <b:First>G.</b:First>
          </b:Person>
        </b:NameList>
      </b:Author>
    </b:Author>
    <b:Pages>168-174</b:Pages>
    <b:YearAccessed>2024</b:YearAccessed>
    <b:MonthAccessed>12</b:MonthAccessed>
    <b:DayAccessed>11</b:DayAccessed>
    <b:URL>https://files.eric.ed.gov/fulltext/EJ1229276.pdf</b:URL>
    <b:RefOrder>7</b:RefOrder>
  </b:Source>
  <b:Source>
    <b:Tag>Gar14</b:Tag>
    <b:SourceType>Book</b:SourceType>
    <b:Guid>{7FC2E3A1-93AF-4358-9A8D-5A40DD3E6FE6}</b:Guid>
    <b:Author>
      <b:Author>
        <b:Corporate>Garvey, B., Stokes, P., &amp; Megginson, D.</b:Corporate>
      </b:Author>
    </b:Author>
    <b:Title>Coaching and Mentoring: Theory and Practice</b:Title>
    <b:Year>2014</b:Year>
    <b:Publisher>SAGE Publications</b:Publisher>
    <b:YearAccessed>2024</b:YearAccessed>
    <b:MonthAccessed>12</b:MonthAccessed>
    <b:DayAccessed>11</b:DayAccessed>
    <b:URL>https://books.google.co.uk/books?id=oq05AwAAQBAJ&amp;printsec=frontcover&amp;hl=hu&amp;source=gbs_ge_summary_r&amp;cad=0#v=onepage&amp;q&amp;f=false</b:URL>
    <b:LCID>en-GB</b:LCID>
    <b:RefOrder>8</b:RefOrder>
  </b:Source>
  <b:Source>
    <b:Tag>Ric21</b:Tag>
    <b:SourceType>Report</b:SourceType>
    <b:Guid>{927BA78C-F81B-4808-BEDD-EB5DB5B8FB77}</b:Guid>
    <b:Title>Positive Psychological Coaching Tools and Techniques: A Systematic Review and Classification.</b:Title>
    <b:Year>2021</b:Year>
    <b:Publisher>Frontiers in Psychiatry</b:Publisher>
    <b:Author>
      <b:Author>
        <b:Corporate>Richter, S., van Zyl, L. E., Roll, L. C., Stander, M. W.</b:Corporate>
      </b:Author>
    </b:Author>
    <b:YearAccessed>2024</b:YearAccessed>
    <b:MonthAccessed>12</b:MonthAccessed>
    <b:DayAccessed>11</b:DayAccessed>
    <b:URL>https://www.frontiersin.org/journals/psychiatry/articles/10.3389/fpsyt.2021.667200/full</b:URL>
    <b:LCID>en-GB</b:LCID>
    <b:RefOrder>9</b:RefOrder>
  </b:Source>
  <b:Source>
    <b:Tag>Bak16</b:Tag>
    <b:SourceType>Report</b:SourceType>
    <b:Guid>{6060CEFD-084F-480D-BC14-A26AAA249F71}</b:Guid>
    <b:Author>
      <b:Author>
        <b:Corporate>Baker, M. A., &amp; Robinson, J. S.</b:Corporate>
      </b:Author>
    </b:Author>
    <b:Title>The Effects of Kolb's Experiential Learning Model on Successful Intelligence Students in Secondary Agriculture</b:Title>
    <b:Year>2016</b:Year>
    <b:Publisher>Journal of Agricultural Education</b:Publisher>
    <b:YearAccessed>2024</b:YearAccessed>
    <b:MonthAccessed>12</b:MonthAccessed>
    <b:DayAccessed>11</b:DayAccessed>
    <b:URL>https://files.eric.ed.gov/fulltext/EJ1123045.pdf</b:URL>
    <b:LCID>en-GB</b:LCID>
    <b:RefOrder>10</b:RefOrder>
  </b:Source>
  <b:Source>
    <b:Tag>Pan20</b:Tag>
    <b:SourceType>Report</b:SourceType>
    <b:Guid>{2D143D4E-8302-41A3-9B6C-335986FE8BF3}</b:Guid>
    <b:Title>The GROWS model: extending the GROW coaching model to support behavioural change</b:Title>
    <b:Year>2020</b:Year>
    <b:YearAccessed>2024</b:YearAccessed>
    <b:MonthAccessed>12</b:MonthAccessed>
    <b:DayAccessed>11</b:DayAccessed>
    <b:URL>https://centaur.reading.ac.uk/104381/1/Final%20Revision%20-%20Panchal%20and%20Riddell%20Research%20Paper_27th%20Feb%202020%5B1%5D.pdf</b:URL>
    <b:Author>
      <b:Author>
        <b:Corporate>Panchal, S., Riddell, P.</b:Corporate>
      </b:Author>
    </b:Author>
    <b:Publisher>University of Reading</b:Publisher>
    <b:Pages>12-25</b:Pages>
    <b:LCID>en-GB</b:LCID>
    <b:RefOrder>11</b:RefOrder>
  </b:Source>
  <b:Source>
    <b:Tag>Sil14</b:Tag>
    <b:SourceType>Book</b:SourceType>
    <b:Guid>{F954E2C8-7160-4A0A-AE90-4F9A7C6948D7}</b:Guid>
    <b:Title>Effective/efficacious nonverbal communication in the classroom: the perception of the nursing lecturer</b:Title>
    <b:Year>2014</b:Year>
    <b:Publisher>EEUSP</b:Publisher>
    <b:Author>
      <b:Author>
        <b:NameList>
          <b:Person>
            <b:Last>Silva</b:Last>
            <b:First>M.</b:First>
            <b:Middle>J. P.</b:Middle>
          </b:Person>
        </b:NameList>
      </b:Author>
    </b:Author>
    <b:Pages>862-870</b:Pages>
    <b:YearAccessed>2024</b:YearAccessed>
    <b:MonthAccessed>12</b:MonthAccessed>
    <b:DayAccessed>11</b:DayAccessed>
    <b:URL>https://www.researchgate.net/publication/286101885_Effectiveefficacious_nonverbal_communication_in_the_classroom_The_perception_of_the_nursing_lecturer</b:URL>
    <b:LCID>en-GB</b:LCID>
    <b:RefOrder>12</b:RefOrder>
  </b:Source>
  <b:Source>
    <b:Tag>DiG19</b:Tag>
    <b:SourceType>InternetSite</b:SourceType>
    <b:Guid>{B5980333-A3FE-40CD-9DB9-7A1821B0B039}</b:Guid>
    <b:LCID>en-GB</b:LCID>
    <b:Author>
      <b:Author>
        <b:Corporate>DiGirolamo, J. A., Tkach, J. T.</b:Corporate>
      </b:Author>
    </b:Author>
    <b:Title>AN EXPLORATION OF MANAGERS AND LEADERS USING COACHING SKILLS</b:Title>
    <b:Year>2019</b:Year>
    <b:YearAccessed>2024</b:YearAccessed>
    <b:MonthAccessed>12</b:MonthAccessed>
    <b:DayAccessed>11</b:DayAccessed>
    <b:URL>https://psycnet.apa.org/fulltext/2019-23918-001.html</b:URL>
    <b:RefOrder>13</b:RefOrder>
  </b:Source>
</b:Sources>
</file>

<file path=customXml/itemProps1.xml><?xml version="1.0" encoding="utf-8"?>
<ds:datastoreItem xmlns:ds="http://schemas.openxmlformats.org/officeDocument/2006/customXml" ds:itemID="{3AD5EFC6-D7D7-48F7-9586-B494160D9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2708</Words>
  <Characters>18693</Characters>
  <Application>Microsoft Office Word</Application>
  <DocSecurity>0</DocSecurity>
  <Lines>155</Lines>
  <Paragraphs>42</Paragraphs>
  <ScaleCrop>false</ScaleCrop>
  <Company/>
  <LinksUpToDate>false</LinksUpToDate>
  <CharactersWithSpaces>21359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Attila Kelemen</dc:creator>
  <cp:keywords/>
  <dc:description/>
  <cp:lastModifiedBy>Attila Kelemen</cp:lastModifiedBy>
  <cp:revision>3</cp:revision>
  <dcterms:created xsi:type="dcterms:W3CDTF">2024-12-15T12:30:00Z</dcterms:created>
  <dcterms:modified xsi:type="dcterms:W3CDTF">2024-12-15T12:32:00Z</dcterms:modified>
</cp:coreProperties>
</file>