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spacing w:line="360" w:lineRule="auto"/>
        <w:jc w:val="both"/>
        <w:rPr>
          <w:rFonts w:ascii="Times New Roman" w:cs="Times New Roman" w:hAnsi="Times New Roman" w:eastAsia="Times New Roman"/>
          <w:sz w:val="24"/>
          <w:szCs w:val="24"/>
          <w:u w:val="single"/>
        </w:rPr>
      </w:pPr>
    </w:p>
    <w:p>
      <w:pPr>
        <w:pStyle w:val="Body B"/>
        <w:spacing w:line="360" w:lineRule="auto"/>
        <w:jc w:val="both"/>
      </w:pPr>
      <w:r>
        <w:rPr>
          <w:rtl w:val="0"/>
          <w:lang w:val="en-US"/>
        </w:rPr>
        <w:t xml:space="preserve">According to Nurse (1999) the topic of bilingualism is shrouded in debate and is difficult to define in one definitive way, as individuals develop in their own unique way.  (Bloomfield, 1933) believes that a person should have a </w:t>
      </w:r>
      <w:r>
        <w:rPr>
          <w:rFonts w:hAnsi="Times New Roman" w:hint="default"/>
          <w:rtl w:val="0"/>
          <w:lang w:val="en-US"/>
        </w:rPr>
        <w:t>‘</w:t>
      </w:r>
      <w:r>
        <w:rPr>
          <w:rtl w:val="0"/>
          <w:lang w:val="en-US"/>
        </w:rPr>
        <w:t>native like</w:t>
      </w:r>
      <w:r>
        <w:rPr>
          <w:rFonts w:hAnsi="Times New Roman" w:hint="default"/>
          <w:rtl w:val="0"/>
          <w:lang w:val="fr-FR"/>
        </w:rPr>
        <w:t xml:space="preserve">’ </w:t>
      </w:r>
      <w:r>
        <w:rPr>
          <w:rtl w:val="0"/>
          <w:lang w:val="en-US"/>
        </w:rPr>
        <w:t>control of two or more languages to be defined as a true bilingual.  Baker (2000) agrees to some degree that anyone that can speak two languages is bilingual although people</w:t>
      </w:r>
      <w:r>
        <w:rPr>
          <w:rFonts w:hAnsi="Times New Roman" w:hint="default"/>
          <w:rtl w:val="0"/>
          <w:lang w:val="fr-FR"/>
        </w:rPr>
        <w:t>’</w:t>
      </w:r>
      <w:r>
        <w:rPr>
          <w:rtl w:val="0"/>
          <w:lang w:val="en-US"/>
        </w:rPr>
        <w:t>s abilities do differ and vary in strengths. Although Macnamara (1969) disagrees and comments that someone is bilingual if they have a grasp of one of the four modalities; which are speaking, writing, listening and reading in a second language.</w:t>
      </w:r>
      <w:r>
        <w:rPr>
          <w:rtl w:val="0"/>
          <w:lang w:val="en-US"/>
        </w:rPr>
        <w:t xml:space="preserve">  (Lightbown and Spada, 2013:214) </w:t>
      </w:r>
      <w:r>
        <w:rPr>
          <w:rtl w:val="0"/>
          <w:lang w:val="en-US"/>
        </w:rPr>
        <w:t>disagree and believe that it should not be measured in an individual</w:t>
      </w:r>
      <w:r>
        <w:rPr>
          <w:rFonts w:hAnsi="Times New Roman" w:hint="default"/>
          <w:rtl w:val="0"/>
          <w:lang w:val="fr-FR"/>
        </w:rPr>
        <w:t>’</w:t>
      </w:r>
      <w:r>
        <w:rPr>
          <w:rtl w:val="0"/>
          <w:lang w:val="en-US"/>
        </w:rPr>
        <w:t xml:space="preserve">s proficiency in a language. </w:t>
      </w:r>
    </w:p>
    <w:p>
      <w:pPr>
        <w:pStyle w:val="Body B"/>
        <w:spacing w:line="360" w:lineRule="auto"/>
        <w:jc w:val="both"/>
      </w:pPr>
    </w:p>
    <w:p>
      <w:pPr>
        <w:pStyle w:val="Body B"/>
        <w:spacing w:line="360" w:lineRule="auto"/>
        <w:jc w:val="both"/>
      </w:pPr>
      <w:r>
        <w:rPr>
          <w:rtl w:val="0"/>
          <w:lang w:val="en-US"/>
        </w:rPr>
        <w:t>Although Welsh is the oldest language in Great Britain, only 20.8% of the Welsh population speak Welsh, according to the results of the 2001 Census. However, the amounts of people learning the Welsh language are continuing to rise (Rappoteur Group on Bilingualism, 2010). There are 582,000 people over the age of three years old speaking Welsh therefore</w:t>
      </w:r>
      <w:r>
        <w:rPr>
          <w:rtl w:val="0"/>
          <w:lang w:val="en-US"/>
        </w:rPr>
        <w:t>,</w:t>
      </w:r>
      <w:r>
        <w:rPr>
          <w:rtl w:val="0"/>
          <w:lang w:val="en-US"/>
        </w:rPr>
        <w:t xml:space="preserve"> it is a natural daily occurrence in Wales. Mudiad Meithrin promotes the development of the Welsh language from an early age in their nursery settings and through training programs (Mudiad Meithrin, no date: Wales Online, 2010). Under Article 30 of the United Nations Convention on the Rights of the Child it states that children are entitled to learn and use their preferred language (Children</w:t>
      </w:r>
      <w:r>
        <w:rPr>
          <w:rFonts w:hAnsi="Times New Roman" w:hint="default"/>
          <w:rtl w:val="0"/>
          <w:lang w:val="en-US"/>
        </w:rPr>
        <w:t>’</w:t>
      </w:r>
      <w:r>
        <w:rPr>
          <w:rtl w:val="0"/>
          <w:lang w:val="en-US"/>
        </w:rPr>
        <w:t>s Rights Wales, 2016).  According to David and Nurse it is important that settings have language policies to protect children's rights such as the right to use their own language</w:t>
      </w:r>
      <w:r>
        <w:rPr>
          <w:rtl w:val="0"/>
          <w:lang w:val="en-US"/>
        </w:rPr>
        <w:t>.</w:t>
      </w:r>
      <w:r>
        <w:rPr>
          <w:rtl w:val="0"/>
          <w:lang w:val="en-US"/>
        </w:rPr>
        <w:t xml:space="preserve"> </w:t>
      </w:r>
      <w:r>
        <w:rPr>
          <w:rtl w:val="0"/>
          <w:lang w:val="en-US"/>
        </w:rPr>
        <w:t>D</w:t>
      </w:r>
      <w:r>
        <w:rPr>
          <w:rtl w:val="0"/>
          <w:lang w:val="en-US"/>
        </w:rPr>
        <w:t>uring the activity, use of the child</w:t>
      </w:r>
      <w:r>
        <w:rPr>
          <w:rFonts w:hAnsi="Times New Roman" w:hint="default"/>
          <w:rtl w:val="0"/>
          <w:lang w:val="fr-FR"/>
        </w:rPr>
        <w:t>’</w:t>
      </w:r>
      <w:r>
        <w:rPr>
          <w:rtl w:val="0"/>
          <w:lang w:val="en-US"/>
        </w:rPr>
        <w:t xml:space="preserve">s mother tongue was used to praise so that they knew positive feedback was given to them, which will result in building confidence.  The Welsh language is an important and compulsory part of education up to the age of sixteen year old in all schools in Wales. (CymruCymraeg, 2014: CPC, 2017) Following an inspection in 2009 by the Welsh Government, an interesting finding was uncovered, that the closer Welsh people live to England, the less likely they are to consider themselves Welsh (Wales Online, 2010).  The Assembly for Wales strongly believes that everyone should feel a part of Wales and they are keen to provide opportunities and experiences to children to promote and develop bilingualism keeping the language and heritage alive (Welsh Assembly Government, 2008).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According to Bruner (1996), being raised in a multilingual area impacts on improving brain development therefore; it will make it easier for children and young people to master languages.  In addition to this, the surrounding people help children to form reasons for things that improve their understanding of the world therefore, the adults role is to use the languages  proving to others that languages are worthy of learning (Bruner,1996).  According to Baker (1998) negative attitude towards bilingualism came from old theory that was created between average people who believed that too much information would put pressure on the brain.  However, being bilingual has proven beneficial to health in later years as it can delay the onset of dementia and help people recover faster from a stroke (Jones, 2018).  One of the biggest challenges of being bilingual is other attitudes towards second language although Montessori</w:t>
      </w:r>
      <w:r>
        <w:rPr>
          <w:rFonts w:hAnsi="Times New Roman" w:hint="default"/>
          <w:sz w:val="24"/>
          <w:szCs w:val="24"/>
          <w:rtl w:val="0"/>
          <w:lang w:val="en-US"/>
        </w:rPr>
        <w:t>’</w:t>
      </w:r>
      <w:r>
        <w:rPr>
          <w:rFonts w:ascii="Times New Roman"/>
          <w:sz w:val="24"/>
          <w:szCs w:val="24"/>
          <w:rtl w:val="0"/>
          <w:lang w:val="en-US"/>
        </w:rPr>
        <w:t xml:space="preserve">s research shows that babies are born ready to learn and absorb languages </w:t>
      </w:r>
      <w:r>
        <w:rPr>
          <w:rFonts w:hAnsi="Times New Roman" w:hint="default"/>
          <w:sz w:val="24"/>
          <w:szCs w:val="24"/>
          <w:rtl w:val="0"/>
          <w:lang w:val="en-US"/>
        </w:rPr>
        <w:t>​​</w:t>
      </w:r>
      <w:r>
        <w:rPr>
          <w:rFonts w:ascii="Times New Roman"/>
          <w:sz w:val="24"/>
          <w:szCs w:val="24"/>
          <w:rtl w:val="0"/>
          <w:lang w:val="en-US"/>
        </w:rPr>
        <w:t>in order to communicate with others (David, 1999: Baker 1988: Montessori cited Emily, 2003).</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According to Welsh Government the most natural way for children to learn Welsh as their additional language (WAL) is through active play, singing and listening to rhymes in their second language whilst having fun.  The more pleasurable the experience of learning to socialise in a new language the less daunting it will be to engage in learning (NALDIC, 2012).  For the children to be able to learn a new vocabulary then the activities should be planned with using two languages in mind to ensure understanding. Children should gradually learn the language.  Adults should be aware that when they talk to children they should make sure that they use simple vocabulary and should praise them for their effort. This will improve children</w:t>
      </w:r>
      <w:r>
        <w:rPr>
          <w:rFonts w:hAnsi="Times New Roman" w:hint="default"/>
          <w:sz w:val="24"/>
          <w:szCs w:val="24"/>
          <w:rtl w:val="0"/>
          <w:lang w:val="en-US"/>
        </w:rPr>
        <w:t>’</w:t>
      </w:r>
      <w:r>
        <w:rPr>
          <w:rFonts w:ascii="Times New Roman"/>
          <w:sz w:val="24"/>
          <w:szCs w:val="24"/>
          <w:rtl w:val="0"/>
          <w:lang w:val="en-US"/>
        </w:rPr>
        <w:t>s self-confidence.  It</w:t>
      </w:r>
      <w:r>
        <w:rPr>
          <w:rFonts w:hAnsi="Times New Roman" w:hint="default"/>
          <w:sz w:val="24"/>
          <w:szCs w:val="24"/>
          <w:rtl w:val="0"/>
          <w:lang w:val="en-US"/>
        </w:rPr>
        <w:t>’</w:t>
      </w:r>
      <w:r>
        <w:rPr>
          <w:rFonts w:ascii="Times New Roman"/>
          <w:sz w:val="24"/>
          <w:szCs w:val="24"/>
          <w:rtl w:val="0"/>
          <w:lang w:val="en-US"/>
        </w:rPr>
        <w:t>s important to remember that children do need the opportunity to listen, understand and are able to discuss in their second language before moving forward to improve their reading and writing skills therefore, the environment around them should be rich in both languages and lively (Welsh Government Assembly, 2008).</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tl w:val="0"/>
        </w:rPr>
      </w:pPr>
      <w:r>
        <w:rPr>
          <w:rFonts w:ascii="Times New Roman"/>
          <w:sz w:val="24"/>
          <w:szCs w:val="24"/>
          <w:rtl w:val="0"/>
          <w:lang w:val="en-US"/>
        </w:rPr>
        <w:t xml:space="preserve">By being bilingual you are likely to be more flexible in accepting other people, which will reduce discrimination and racism in communities (David a Nurse 1999: The Kingman Report 1988). </w:t>
      </w:r>
      <w:r>
        <w:rPr>
          <w:rFonts w:ascii="Times New Roman"/>
          <w:sz w:val="24"/>
          <w:szCs w:val="24"/>
          <w:rtl w:val="0"/>
          <w:lang w:val="en-US"/>
        </w:rPr>
        <w:t xml:space="preserve">They will appreciate their language as a means of identity in addition to communication with others (Jago, young children learning, 1999: Baker, 1988).  It is also believed that bilingual people are better at problem solving because they tend to think widely than monolinguals.  They also have the skill to listen, understand, store, remember and the ability to reinforce information and facts that they learnt out of context (Hakunta, Baker 1998: David a Nurse 1999). </w:t>
      </w:r>
      <w:r>
        <w:rPr>
          <w:rFonts w:ascii="Times New Roman"/>
          <w:sz w:val="24"/>
          <w:szCs w:val="24"/>
          <w:rtl w:val="0"/>
          <w:lang w:val="en-US"/>
        </w:rPr>
        <w:t xml:space="preserve"> Study shows that there is no evidence that  bilingual or multilingual children will result in having behavioural difficulties (McLeod et al, 2015). </w:t>
      </w:r>
      <w:r>
        <w:rPr>
          <w:rFonts w:ascii="Times New Roman"/>
          <w:sz w:val="24"/>
          <w:szCs w:val="24"/>
          <w:rtl w:val="0"/>
          <w:lang w:val="en-US"/>
        </w:rPr>
        <w:t xml:space="preserve"> According to the Cox Report 1988 (young children leaning, 1999) bilingual children should be seen as an advantage to the classroom because they are able to share their skills with others.  Vygotsky</w:t>
      </w:r>
      <w:r>
        <w:rPr>
          <w:rFonts w:hAnsi="Times New Roman" w:hint="default"/>
          <w:sz w:val="24"/>
          <w:szCs w:val="24"/>
          <w:rtl w:val="0"/>
          <w:lang w:val="en-US"/>
        </w:rPr>
        <w:t>’</w:t>
      </w:r>
      <w:r>
        <w:rPr>
          <w:rFonts w:ascii="Times New Roman"/>
          <w:sz w:val="24"/>
          <w:szCs w:val="24"/>
          <w:rtl w:val="0"/>
          <w:lang w:val="en-US"/>
        </w:rPr>
        <w:t>s (no date) theory supports this by believing that children learn from each other. However, Baker believed that the advantages here were only obvious when children were fluent in their languages, which took time, persistence and repetition</w:t>
      </w:r>
      <w:r>
        <w:rPr>
          <w:rFonts w:asci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According to Taylor and Harris (2014) the role of the practitioners is to carry out activities with children in order to improve their development and enable them to reach their full potential.  You can enhance this by using bilingual resources. Bilingual language and literacy resources should be included in every activity.  Additionally, when practitioners discuss with children during an activity they are promoting language development and are improving their understanding by combining the two languages. Practitioners can broaden the children's understanding by asking open questions that link to an activity to give the children an opportunity to combine the languages (Sherwoon, 2014:Taylor and Harris, 2014).  According to Vygotsky (1999), the role of the adult is to understand each individual's level of development in order to plan and prepare them for the proximal development zone ensuring that children reach their full potential.  According to Sherwoon (2014) the role of the adult is to keep the children interested ensuring full participation in the learning and that language is enjoyed and developed.  It is important to remember that parents are the first educators in the lives of children so it is important that parental involvement in the linguistic and educational development should continue in the home.  The practitioner</w:t>
      </w:r>
      <w:r>
        <w:rPr>
          <w:rFonts w:hAnsi="Times New Roman" w:hint="default"/>
          <w:sz w:val="24"/>
          <w:szCs w:val="24"/>
          <w:rtl w:val="0"/>
          <w:lang w:val="en-US"/>
        </w:rPr>
        <w:t>’</w:t>
      </w:r>
      <w:r>
        <w:rPr>
          <w:rFonts w:ascii="Times New Roman"/>
          <w:sz w:val="24"/>
          <w:szCs w:val="24"/>
          <w:rtl w:val="0"/>
          <w:lang w:val="en-US"/>
        </w:rPr>
        <w:t>s role is to improve the parents or carers confidence without putting too much pressure on them to use the language.  They also need to learn the language in a natural and incidental way as part of the child</w:t>
      </w:r>
      <w:r>
        <w:rPr>
          <w:rFonts w:hAnsi="Times New Roman" w:hint="default"/>
          <w:sz w:val="24"/>
          <w:szCs w:val="24"/>
          <w:rtl w:val="0"/>
          <w:lang w:val="en-US"/>
        </w:rPr>
        <w:t>’</w:t>
      </w:r>
      <w:r>
        <w:rPr>
          <w:rFonts w:ascii="Times New Roman"/>
          <w:sz w:val="24"/>
          <w:szCs w:val="24"/>
          <w:rtl w:val="0"/>
          <w:lang w:val="en-US"/>
        </w:rPr>
        <w:t>s everyday life.  It is important that practitioners are confident and are using every opportunity to discuss the child</w:t>
      </w:r>
      <w:r>
        <w:rPr>
          <w:rFonts w:hAnsi="Times New Roman" w:hint="default"/>
          <w:sz w:val="24"/>
          <w:szCs w:val="24"/>
          <w:rtl w:val="0"/>
          <w:lang w:val="en-US"/>
        </w:rPr>
        <w:t>’</w:t>
      </w:r>
      <w:r>
        <w:rPr>
          <w:rFonts w:ascii="Times New Roman"/>
          <w:sz w:val="24"/>
          <w:szCs w:val="24"/>
          <w:rtl w:val="0"/>
          <w:lang w:val="en-US"/>
        </w:rPr>
        <w:t>s second language.  This will help to improve the child</w:t>
      </w:r>
      <w:r>
        <w:rPr>
          <w:rFonts w:hAnsi="Times New Roman" w:hint="default"/>
          <w:sz w:val="24"/>
          <w:szCs w:val="24"/>
          <w:rtl w:val="0"/>
          <w:lang w:val="en-US"/>
        </w:rPr>
        <w:t>’</w:t>
      </w:r>
      <w:r>
        <w:rPr>
          <w:rFonts w:ascii="Times New Roman"/>
          <w:sz w:val="24"/>
          <w:szCs w:val="24"/>
          <w:rtl w:val="0"/>
          <w:lang w:val="en-US"/>
        </w:rPr>
        <w:t xml:space="preserve">s attitude towards learning new languages.  The role of the practitioners is to ensure that all activities and tasks benefit the child's development and that they have opportunities to develop to their full potential, such as opportunities to communicate in both languages </w:t>
      </w:r>
      <w:r>
        <w:rPr>
          <w:rFonts w:hAnsi="Times New Roman" w:hint="default"/>
          <w:sz w:val="24"/>
          <w:szCs w:val="24"/>
          <w:rtl w:val="0"/>
          <w:lang w:val="en-US"/>
        </w:rPr>
        <w:t>​​</w:t>
      </w:r>
      <w:r>
        <w:rPr>
          <w:rFonts w:ascii="Times New Roman"/>
          <w:sz w:val="24"/>
          <w:szCs w:val="24"/>
          <w:rtl w:val="0"/>
          <w:lang w:val="en-US"/>
        </w:rPr>
        <w:t>with their friends/peers in the enabling environment of their choice (National Numeracy, 2012; Jones, N. (2012);  Cwricwlwm Cymru, 2015: Department for Children, 2015).</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According to Galloway (1996) there is a less positive effect on the development of children's bilingualism if they come from a family where five or more siblings are present in the home, this may be due to not having fair opportunities to discuss and develop communication skills at an early age.  </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Wadge and Prosser 1973; 1982  study</w:t>
      </w:r>
      <w:r>
        <w:rPr>
          <w:rFonts w:hAnsi="Times New Roman" w:hint="default"/>
          <w:sz w:val="24"/>
          <w:szCs w:val="24"/>
          <w:rtl w:val="0"/>
          <w:lang w:val="en-US"/>
        </w:rPr>
        <w:t>’</w:t>
      </w:r>
      <w:r>
        <w:rPr>
          <w:rFonts w:ascii="Times New Roman"/>
          <w:sz w:val="24"/>
          <w:szCs w:val="24"/>
          <w:rtl w:val="0"/>
          <w:lang w:val="en-US"/>
        </w:rPr>
        <w:t>s  shows that the effect of this is exacerbated if there is one parent who is present in the home, as there is little order and rules to follow, additionally if there is no time and opportunities for the children to communicate directly with the parent. Galloway and Edwards say that children receive the opportunities they miss out at home in early year</w:t>
      </w:r>
      <w:r>
        <w:rPr>
          <w:rFonts w:hAnsi="Times New Roman" w:hint="default"/>
          <w:sz w:val="24"/>
          <w:szCs w:val="24"/>
          <w:rtl w:val="0"/>
          <w:lang w:val="en-US"/>
        </w:rPr>
        <w:t>’</w:t>
      </w:r>
      <w:r>
        <w:rPr>
          <w:rFonts w:ascii="Times New Roman"/>
          <w:sz w:val="24"/>
          <w:szCs w:val="24"/>
          <w:rtl w:val="0"/>
          <w:lang w:val="en-US"/>
        </w:rPr>
        <w:t xml:space="preserve">s settings. As practitioners recognise the family life of the children, they need to plan and organise activities and experiences to improve the individual's development so that everyone receives fair opportunities. Settings have to keep up to date with books and resources that interest the children in order to gage an interest they can improve their language development independently, as well as a class, in order to reach their full potential. The activity focused on the celebration of March 1st, which is St Davids Day as celebrating festivals is a way of identifying your identity and understanding your cultures which give children a sense of pride in being able to use their country's language (Galloway a Edwards, 1996).  According to Bullock Report 1975 (young children learning, 1999) it is wrong to be disrespectful to the homely backgrounds and culture of children and young people and therefore the language of the home should be celebrated in addition to being used in context with language within the school to ensure understanding.  According to Jago, with support during the early years, the Government results show that there is a positive impact on children's development in all languages </w:t>
      </w:r>
      <w:r>
        <w:rPr>
          <w:rFonts w:hAnsi="Times New Roman" w:hint="default"/>
          <w:sz w:val="24"/>
          <w:szCs w:val="24"/>
          <w:rtl w:val="0"/>
          <w:lang w:val="en-US"/>
        </w:rPr>
        <w:t>​​</w:t>
      </w:r>
      <w:r>
        <w:rPr>
          <w:rFonts w:ascii="Times New Roman"/>
          <w:sz w:val="24"/>
          <w:szCs w:val="24"/>
          <w:rtl w:val="0"/>
          <w:lang w:val="en-US"/>
        </w:rPr>
        <w:t>when they are bilingual.  This will impact on their academic success and future employment.</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p>
    <w:p>
      <w:pPr>
        <w:pStyle w:val="Body A"/>
        <w:spacing w:line="360" w:lineRule="auto"/>
        <w:jc w:val="both"/>
        <w:rPr>
          <w:rFonts w:ascii="Times New Roman" w:cs="Times New Roman" w:hAnsi="Times New Roman" w:eastAsia="Times New Roman"/>
          <w:sz w:val="24"/>
          <w:szCs w:val="24"/>
          <w:u w:val="single"/>
        </w:rPr>
      </w:pPr>
      <w:r>
        <w:rPr>
          <w:rFonts w:ascii="Times New Roman"/>
          <w:sz w:val="24"/>
          <w:szCs w:val="24"/>
          <w:u w:val="single"/>
          <w:rtl w:val="0"/>
          <w:lang w:val="en-US"/>
        </w:rPr>
        <w:t>References</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Absorbent Mind, Raising Children with Montessori</w:t>
      </w:r>
      <w:r>
        <w:rPr>
          <w:rFonts w:hAnsi="Times New Roman" w:hint="default"/>
          <w:sz w:val="24"/>
          <w:szCs w:val="24"/>
          <w:rtl w:val="0"/>
          <w:lang w:val="en-US"/>
        </w:rPr>
        <w:t>’</w:t>
      </w:r>
      <w:r>
        <w:rPr>
          <w:rFonts w:ascii="Times New Roman"/>
          <w:sz w:val="24"/>
          <w:szCs w:val="24"/>
          <w:rtl w:val="0"/>
          <w:lang w:val="en-US"/>
        </w:rPr>
        <w:t xml:space="preserve">s Wisdom, Emily. (2003) </w:t>
      </w:r>
      <w:r>
        <w:rPr>
          <w:rFonts w:hAnsi="Times New Roman" w:hint="default"/>
          <w:sz w:val="24"/>
          <w:szCs w:val="24"/>
          <w:rtl w:val="0"/>
          <w:lang w:val="en-US"/>
        </w:rPr>
        <w:t>‘</w:t>
      </w:r>
      <w:r>
        <w:rPr>
          <w:rFonts w:ascii="Times New Roman"/>
          <w:sz w:val="24"/>
          <w:szCs w:val="24"/>
          <w:rtl w:val="0"/>
          <w:lang w:val="en-US"/>
        </w:rPr>
        <w:t>Why your Child</w:t>
      </w:r>
      <w:r>
        <w:rPr>
          <w:rFonts w:hAnsi="Times New Roman" w:hint="default"/>
          <w:sz w:val="24"/>
          <w:szCs w:val="24"/>
          <w:rtl w:val="0"/>
          <w:lang w:val="en-US"/>
        </w:rPr>
        <w:t>’</w:t>
      </w:r>
      <w:r>
        <w:rPr>
          <w:rFonts w:ascii="Times New Roman"/>
          <w:sz w:val="24"/>
          <w:szCs w:val="24"/>
          <w:rtl w:val="0"/>
          <w:lang w:val="en-US"/>
        </w:rPr>
        <w:t>s Brain is like a Sponge</w:t>
      </w:r>
      <w:r>
        <w:rPr>
          <w:rFonts w:hAnsi="Times New Roman" w:hint="default"/>
          <w:sz w:val="24"/>
          <w:szCs w:val="24"/>
          <w:rtl w:val="0"/>
          <w:lang w:val="en-US"/>
        </w:rPr>
        <w:t xml:space="preserve">’  </w:t>
      </w:r>
      <w:r>
        <w:rPr>
          <w:rFonts w:ascii="Times New Roman"/>
          <w:sz w:val="24"/>
          <w:szCs w:val="24"/>
          <w:rtl w:val="0"/>
          <w:lang w:val="en-US"/>
        </w:rPr>
        <w:t xml:space="preserve">Available at: </w:t>
      </w:r>
      <w:bookmarkStart w:name="_GoBack" w:id="0"/>
      <w:hyperlink r:id="rId4" w:history="1">
        <w:r>
          <w:rPr>
            <w:rFonts w:ascii="Times New Roman"/>
            <w:color w:val="0070c0"/>
            <w:sz w:val="24"/>
            <w:szCs w:val="24"/>
            <w:u w:val="single" w:color="000000"/>
            <w:rtl w:val="0"/>
            <w:lang w:val="en-US"/>
          </w:rPr>
          <w:t>http://ageofmontessori.org/</w:t>
        </w:r>
        <w:bookmarkEnd w:id="0"/>
      </w:hyperlink>
      <w:r>
        <w:rPr>
          <w:rFonts w:ascii="Times New Roman"/>
          <w:sz w:val="24"/>
          <w:szCs w:val="24"/>
          <w:rtl w:val="0"/>
          <w:lang w:val="en-US"/>
        </w:rPr>
        <w:t xml:space="preserve"> (Accessed: 1st April 2019).</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Baker, C. (1998) </w:t>
      </w:r>
      <w:r>
        <w:rPr>
          <w:rFonts w:ascii="Times New Roman"/>
          <w:i w:val="1"/>
          <w:iCs w:val="1"/>
          <w:sz w:val="24"/>
          <w:szCs w:val="24"/>
          <w:rtl w:val="0"/>
          <w:lang w:val="en-US"/>
        </w:rPr>
        <w:t xml:space="preserve">Dwyeithrwydd:Darluniau, Dychmygion a Dyfaliadau. </w:t>
      </w:r>
      <w:r>
        <w:rPr>
          <w:rFonts w:ascii="Times New Roman"/>
          <w:sz w:val="24"/>
          <w:szCs w:val="24"/>
          <w:rtl w:val="0"/>
          <w:lang w:val="en-US"/>
        </w:rPr>
        <w:t>Bangor:Canolfan astudiaehtau iaith.</w:t>
      </w:r>
    </w:p>
    <w:p>
      <w:pPr>
        <w:pStyle w:val="Body B"/>
        <w:spacing w:line="360" w:lineRule="auto"/>
        <w:jc w:val="both"/>
      </w:pPr>
      <w:r>
        <w:rPr>
          <w:rtl w:val="0"/>
          <w:lang w:val="en-US"/>
        </w:rPr>
        <w:t xml:space="preserve">Baker, C. (2000) </w:t>
      </w:r>
      <w:r>
        <w:rPr>
          <w:i w:val="1"/>
          <w:iCs w:val="1"/>
          <w:rtl w:val="0"/>
          <w:lang w:val="en-US"/>
        </w:rPr>
        <w:t>The Care and Education of young bilinguals.</w:t>
      </w:r>
      <w:r>
        <w:rPr>
          <w:rtl w:val="0"/>
          <w:lang w:val="en-US"/>
        </w:rPr>
        <w:t xml:space="preserve"> Great Britain: Cambrian Printers ltd.</w:t>
      </w:r>
    </w:p>
    <w:p>
      <w:pPr>
        <w:pStyle w:val="Body B"/>
        <w:spacing w:line="360" w:lineRule="auto"/>
        <w:jc w:val="both"/>
      </w:pPr>
      <w:r>
        <w:rPr>
          <w:rtl w:val="0"/>
          <w:lang w:val="nl-NL"/>
        </w:rPr>
        <w:t xml:space="preserve">Bloomfield (1933) </w:t>
      </w:r>
      <w:r>
        <w:rPr>
          <w:rFonts w:hAnsi="Times New Roman" w:hint="default"/>
          <w:rtl w:val="0"/>
          <w:lang w:val="fr-FR"/>
        </w:rPr>
        <w:t>’</w:t>
      </w:r>
      <w:r>
        <w:rPr>
          <w:rtl w:val="0"/>
          <w:lang w:val="en-US"/>
        </w:rPr>
        <w:t>Bilingualism:concepts and definitions</w:t>
      </w:r>
      <w:r>
        <w:rPr>
          <w:rFonts w:hAnsi="Times New Roman" w:hint="default"/>
          <w:rtl w:val="0"/>
          <w:lang w:val="fr-FR"/>
        </w:rPr>
        <w:t>’</w:t>
      </w:r>
      <w:r>
        <w:rPr>
          <w:rtl w:val="0"/>
          <w:lang w:val="en-US"/>
        </w:rPr>
        <w:t xml:space="preserve">, in Appel, R and Muysken, P. (2005).  </w:t>
      </w:r>
      <w:r>
        <w:rPr>
          <w:i w:val="1"/>
          <w:iCs w:val="1"/>
          <w:rtl w:val="0"/>
          <w:lang w:val="en-US"/>
        </w:rPr>
        <w:t xml:space="preserve">Language Contact and Bilingualism. </w:t>
      </w:r>
      <w:r>
        <w:rPr>
          <w:rtl w:val="0"/>
          <w:lang w:val="nl-NL"/>
        </w:rPr>
        <w:t>Amsterdam: Amsterdam University Press.</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Bruner, J.  (1996) </w:t>
      </w:r>
      <w:r>
        <w:rPr>
          <w:rFonts w:ascii="Times New Roman"/>
          <w:i w:val="1"/>
          <w:iCs w:val="1"/>
          <w:sz w:val="24"/>
          <w:szCs w:val="24"/>
          <w:rtl w:val="0"/>
          <w:lang w:val="en-US"/>
        </w:rPr>
        <w:t xml:space="preserve">The Culture of Education.  </w:t>
      </w:r>
      <w:r>
        <w:rPr>
          <w:rFonts w:ascii="Times New Roman"/>
          <w:sz w:val="24"/>
          <w:szCs w:val="24"/>
          <w:rtl w:val="0"/>
          <w:lang w:val="en-US"/>
        </w:rPr>
        <w:t>America:Havard College.</w:t>
      </w:r>
    </w:p>
    <w:p>
      <w:pPr>
        <w:pStyle w:val="Body B"/>
        <w:spacing w:line="360" w:lineRule="auto"/>
        <w:jc w:val="both"/>
      </w:pPr>
      <w:r>
        <w:rPr>
          <w:rtl w:val="0"/>
          <w:lang w:val="en-US"/>
        </w:rPr>
        <w:t>Children</w:t>
      </w:r>
      <w:r>
        <w:rPr>
          <w:rFonts w:hAnsi="Times New Roman" w:hint="default"/>
          <w:rtl w:val="0"/>
          <w:lang w:val="en-US"/>
        </w:rPr>
        <w:t>’</w:t>
      </w:r>
      <w:r>
        <w:rPr>
          <w:rtl w:val="0"/>
          <w:lang w:val="en-US"/>
        </w:rPr>
        <w:t xml:space="preserve">s Rights Wales, (2016). Rights. Available at: </w:t>
      </w:r>
      <w:hyperlink r:id="rId5" w:history="1">
        <w:r>
          <w:rPr>
            <w:rStyle w:val="Hyperlink.1"/>
            <w:color w:val="0070c0"/>
            <w:u w:val="single" w:color="000000"/>
            <w:rtl w:val="0"/>
            <w:lang w:val="en-US"/>
          </w:rPr>
          <w:t>http://childrensrights.wales/index.php/right</w:t>
        </w:r>
      </w:hyperlink>
      <w:r>
        <w:rPr>
          <w:color w:val="0070c0"/>
          <w:u w:color="000000"/>
          <w:rtl w:val="0"/>
          <w:lang w:val="en-US"/>
        </w:rPr>
        <w:t xml:space="preserve"> </w:t>
      </w:r>
      <w:r>
        <w:rPr>
          <w:rtl w:val="0"/>
          <w:lang w:val="en-US"/>
        </w:rPr>
        <w:t>(Accessed:  23</w:t>
      </w:r>
      <w:r>
        <w:rPr>
          <w:vertAlign w:val="superscript"/>
          <w:rtl w:val="0"/>
          <w:lang w:val="en-US"/>
        </w:rPr>
        <w:t>rd</w:t>
      </w:r>
      <w:r>
        <w:rPr>
          <w:rtl w:val="0"/>
          <w:lang w:val="en-US"/>
        </w:rPr>
        <w:t xml:space="preserve"> March 2019).</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Cwricwlwm Cymru, (2015) </w:t>
      </w:r>
      <w:r>
        <w:rPr>
          <w:rFonts w:hAnsi="Times New Roman" w:hint="default"/>
          <w:sz w:val="24"/>
          <w:szCs w:val="24"/>
          <w:rtl w:val="0"/>
          <w:lang w:val="en-US"/>
        </w:rPr>
        <w:t>‘</w:t>
      </w:r>
      <w:r>
        <w:rPr>
          <w:rFonts w:ascii="Times New Roman"/>
          <w:sz w:val="24"/>
          <w:szCs w:val="24"/>
          <w:rtl w:val="0"/>
          <w:lang w:val="en-US"/>
        </w:rPr>
        <w:t>Framwaith y Cyfnod Sylfaen</w:t>
      </w:r>
      <w:r>
        <w:rPr>
          <w:rFonts w:hAnsi="Times New Roman" w:hint="default"/>
          <w:sz w:val="24"/>
          <w:szCs w:val="24"/>
          <w:rtl w:val="0"/>
          <w:lang w:val="en-US"/>
        </w:rPr>
        <w:t xml:space="preserve">’ </w:t>
      </w:r>
      <w:r>
        <w:rPr>
          <w:rFonts w:ascii="Times New Roman"/>
          <w:sz w:val="24"/>
          <w:szCs w:val="24"/>
          <w:rtl w:val="0"/>
          <w:lang w:val="en-US"/>
        </w:rPr>
        <w:t xml:space="preserve">Available at: </w:t>
      </w:r>
      <w:hyperlink r:id="rId6" w:history="1">
        <w:r>
          <w:rPr>
            <w:rStyle w:val="Hyperlink.0"/>
            <w:rFonts w:ascii="Times New Roman"/>
            <w:color w:val="0070c0"/>
            <w:sz w:val="24"/>
            <w:szCs w:val="24"/>
            <w:u w:val="single" w:color="000000"/>
            <w:rtl w:val="0"/>
            <w:lang w:val="en-US"/>
          </w:rPr>
          <w:t>https://learning.gov.wales/</w:t>
        </w:r>
      </w:hyperlink>
      <w:r>
        <w:rPr>
          <w:rFonts w:ascii="Times New Roman"/>
          <w:color w:val="0070c0"/>
          <w:sz w:val="24"/>
          <w:szCs w:val="24"/>
          <w:u w:color="000000"/>
          <w:rtl w:val="0"/>
          <w:lang w:val="en-US"/>
        </w:rPr>
        <w:t xml:space="preserve"> </w:t>
      </w:r>
      <w:r>
        <w:rPr>
          <w:rFonts w:ascii="Times New Roman"/>
          <w:sz w:val="24"/>
          <w:szCs w:val="24"/>
          <w:rtl w:val="0"/>
          <w:lang w:val="en-US"/>
        </w:rPr>
        <w:t>(Accessed: 31st March 2019).</w:t>
      </w:r>
    </w:p>
    <w:p>
      <w:pPr>
        <w:pStyle w:val="Body B"/>
        <w:spacing w:line="360" w:lineRule="auto"/>
        <w:jc w:val="both"/>
        <w:rPr>
          <w:i w:val="1"/>
          <w:iCs w:val="1"/>
        </w:rPr>
      </w:pPr>
      <w:r>
        <w:rPr>
          <w:rtl w:val="0"/>
          <w:lang w:val="en-US"/>
        </w:rPr>
        <w:t xml:space="preserve">David, T. and Nurse, A.et al. (1999) </w:t>
      </w:r>
      <w:r>
        <w:rPr>
          <w:i w:val="1"/>
          <w:iCs w:val="1"/>
          <w:rtl w:val="0"/>
          <w:lang w:val="en-US"/>
        </w:rPr>
        <w:t xml:space="preserve">young children learning. </w:t>
      </w:r>
      <w:r>
        <w:rPr>
          <w:rtl w:val="0"/>
          <w:lang w:val="en-US"/>
        </w:rPr>
        <w:t>London: Sage</w:t>
      </w:r>
      <w:r>
        <w:rPr>
          <w:i w:val="1"/>
          <w:iCs w:val="1"/>
          <w:rtl w:val="0"/>
          <w:lang w:val="en-US"/>
        </w:rPr>
        <w:t>.</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Davies, N.  (2012) </w:t>
      </w:r>
      <w:r>
        <w:rPr>
          <w:rFonts w:hAnsi="Times New Roman" w:hint="default"/>
          <w:sz w:val="24"/>
          <w:szCs w:val="24"/>
          <w:rtl w:val="0"/>
          <w:lang w:val="en-US"/>
        </w:rPr>
        <w:t>‘</w:t>
      </w:r>
      <w:r>
        <w:rPr>
          <w:rFonts w:ascii="Times New Roman"/>
          <w:sz w:val="24"/>
          <w:szCs w:val="24"/>
          <w:rtl w:val="0"/>
          <w:lang w:val="en-US"/>
        </w:rPr>
        <w:t>The EAL learner</w:t>
      </w:r>
      <w:r>
        <w:rPr>
          <w:rFonts w:hAnsi="Times New Roman" w:hint="default"/>
          <w:sz w:val="24"/>
          <w:szCs w:val="24"/>
          <w:rtl w:val="0"/>
          <w:lang w:val="en-US"/>
        </w:rPr>
        <w:t>’</w:t>
      </w:r>
      <w:r>
        <w:rPr>
          <w:rFonts w:ascii="Times New Roman"/>
          <w:sz w:val="24"/>
          <w:szCs w:val="24"/>
          <w:rtl w:val="0"/>
          <w:lang w:val="en-US"/>
        </w:rPr>
        <w:t>s task</w:t>
      </w:r>
      <w:r>
        <w:rPr>
          <w:rFonts w:hAnsi="Times New Roman" w:hint="default"/>
          <w:sz w:val="24"/>
          <w:szCs w:val="24"/>
          <w:rtl w:val="0"/>
          <w:lang w:val="en-US"/>
        </w:rPr>
        <w:t xml:space="preserve">’ </w:t>
      </w:r>
      <w:r>
        <w:rPr>
          <w:rFonts w:ascii="Times New Roman"/>
          <w:sz w:val="24"/>
          <w:szCs w:val="24"/>
          <w:rtl w:val="0"/>
          <w:lang w:val="en-US"/>
        </w:rPr>
        <w:t xml:space="preserve">Available at: </w:t>
      </w:r>
      <w:hyperlink r:id="rId7" w:history="1">
        <w:r>
          <w:rPr>
            <w:rStyle w:val="Hyperlink.0"/>
            <w:rFonts w:ascii="Times New Roman"/>
            <w:color w:val="0070c0"/>
            <w:sz w:val="24"/>
            <w:szCs w:val="24"/>
            <w:u w:val="single" w:color="000000"/>
            <w:rtl w:val="0"/>
            <w:lang w:val="en-US"/>
          </w:rPr>
          <w:t>https://www.naldic.org.uk/eal-teaching-and-learning/outline-guidance/task/</w:t>
        </w:r>
      </w:hyperlink>
      <w:r>
        <w:rPr>
          <w:rFonts w:ascii="Times New Roman"/>
          <w:sz w:val="24"/>
          <w:szCs w:val="24"/>
          <w:rtl w:val="0"/>
          <w:lang w:val="en-US"/>
        </w:rPr>
        <w:t xml:space="preserve"> (Accessed on: 3rd April 2019).</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Department for Children, Education, lifelong Learning and skills (2015) </w:t>
      </w:r>
      <w:r>
        <w:rPr>
          <w:rFonts w:hAnsi="Times New Roman" w:hint="default"/>
          <w:sz w:val="24"/>
          <w:szCs w:val="24"/>
          <w:rtl w:val="0"/>
          <w:lang w:val="en-US"/>
        </w:rPr>
        <w:t>‘</w:t>
      </w:r>
      <w:r>
        <w:rPr>
          <w:rFonts w:ascii="Times New Roman"/>
          <w:sz w:val="24"/>
          <w:szCs w:val="24"/>
          <w:rtl w:val="0"/>
          <w:lang w:val="en-US"/>
        </w:rPr>
        <w:t>Super Generalised Clipped Boundries in Wales</w:t>
      </w:r>
      <w:r>
        <w:rPr>
          <w:rFonts w:hAnsi="Times New Roman" w:hint="default"/>
          <w:sz w:val="24"/>
          <w:szCs w:val="24"/>
          <w:rtl w:val="0"/>
          <w:lang w:val="en-US"/>
        </w:rPr>
        <w:t xml:space="preserve">’ </w:t>
      </w:r>
      <w:r>
        <w:rPr>
          <w:rFonts w:ascii="Times New Roman"/>
          <w:sz w:val="24"/>
          <w:szCs w:val="24"/>
          <w:rtl w:val="0"/>
          <w:lang w:val="en-US"/>
        </w:rPr>
        <w:t>Available at:</w:t>
      </w:r>
      <w:r>
        <w:rPr>
          <w:rFonts w:ascii="Times New Roman"/>
          <w:color w:val="0070c0"/>
          <w:sz w:val="24"/>
          <w:szCs w:val="24"/>
          <w:u w:color="000000"/>
          <w:rtl w:val="0"/>
          <w:lang w:val="en-US"/>
        </w:rPr>
        <w:t xml:space="preserve"> </w:t>
      </w:r>
      <w:hyperlink r:id="rId8" w:history="1">
        <w:r>
          <w:rPr>
            <w:rStyle w:val="Hyperlink.0"/>
            <w:rFonts w:ascii="Times New Roman"/>
            <w:color w:val="0070c0"/>
            <w:sz w:val="24"/>
            <w:szCs w:val="24"/>
            <w:u w:val="single" w:color="000000"/>
            <w:rtl w:val="0"/>
            <w:lang w:val="en-US"/>
          </w:rPr>
          <w:t>data.gov.uk</w:t>
        </w:r>
      </w:hyperlink>
      <w:r>
        <w:rPr>
          <w:rFonts w:ascii="Times New Roman"/>
          <w:sz w:val="24"/>
          <w:szCs w:val="24"/>
          <w:rtl w:val="0"/>
          <w:lang w:val="en-US"/>
        </w:rPr>
        <w:t xml:space="preserve"> (Accessed: 31st March 2019).</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Galloway, D. and Edwards, A. (1996) </w:t>
      </w:r>
      <w:r>
        <w:rPr>
          <w:rFonts w:ascii="Times New Roman"/>
          <w:i w:val="1"/>
          <w:iCs w:val="1"/>
          <w:sz w:val="24"/>
          <w:szCs w:val="24"/>
          <w:rtl w:val="0"/>
          <w:lang w:val="en-US"/>
        </w:rPr>
        <w:t xml:space="preserve">Primary School Teaching &amp; Educational Psychology.  </w:t>
      </w:r>
      <w:r>
        <w:rPr>
          <w:rFonts w:ascii="Times New Roman"/>
          <w:sz w:val="24"/>
          <w:szCs w:val="24"/>
          <w:rtl w:val="0"/>
          <w:lang w:val="en-US"/>
        </w:rPr>
        <w:t>Essex:Pearson Education.</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Instructional Design, (no date) </w:t>
      </w:r>
      <w:r>
        <w:rPr>
          <w:rFonts w:hAnsi="Times New Roman" w:hint="default"/>
          <w:sz w:val="24"/>
          <w:szCs w:val="24"/>
          <w:rtl w:val="0"/>
          <w:lang w:val="en-US"/>
        </w:rPr>
        <w:t>‘</w:t>
      </w:r>
      <w:r>
        <w:rPr>
          <w:rFonts w:ascii="Times New Roman"/>
          <w:sz w:val="24"/>
          <w:szCs w:val="24"/>
          <w:rtl w:val="0"/>
          <w:lang w:val="en-US"/>
        </w:rPr>
        <w:t>Social Development Theory: (Lev Vygotsky)</w:t>
      </w:r>
      <w:r>
        <w:rPr>
          <w:rFonts w:hAnsi="Times New Roman" w:hint="default"/>
          <w:sz w:val="24"/>
          <w:szCs w:val="24"/>
          <w:rtl w:val="0"/>
          <w:lang w:val="en-US"/>
        </w:rPr>
        <w:t xml:space="preserve">’ </w:t>
      </w:r>
      <w:r>
        <w:rPr>
          <w:rFonts w:ascii="Times New Roman"/>
          <w:sz w:val="24"/>
          <w:szCs w:val="24"/>
          <w:rtl w:val="0"/>
          <w:lang w:val="en-US"/>
        </w:rPr>
        <w:t xml:space="preserve">Available at: </w:t>
      </w:r>
      <w:hyperlink r:id="rId9" w:history="1">
        <w:r>
          <w:rPr>
            <w:rStyle w:val="Hyperlink.0"/>
            <w:rFonts w:ascii="Times New Roman"/>
            <w:color w:val="0070c0"/>
            <w:sz w:val="24"/>
            <w:szCs w:val="24"/>
            <w:u w:val="single" w:color="000000"/>
            <w:rtl w:val="0"/>
            <w:lang w:val="en-US"/>
          </w:rPr>
          <w:t>https://instructionaldesign.org/</w:t>
        </w:r>
      </w:hyperlink>
      <w:r>
        <w:rPr>
          <w:rFonts w:ascii="Times New Roman"/>
          <w:sz w:val="24"/>
          <w:szCs w:val="24"/>
          <w:rtl w:val="0"/>
          <w:lang w:val="en-US"/>
        </w:rPr>
        <w:t xml:space="preserve"> (Accessed:19th March 2019).</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Jones, T.  (2018) </w:t>
      </w:r>
      <w:r>
        <w:rPr>
          <w:rFonts w:hAnsi="Times New Roman" w:hint="default"/>
          <w:sz w:val="24"/>
          <w:szCs w:val="24"/>
          <w:rtl w:val="0"/>
          <w:lang w:val="en-US"/>
        </w:rPr>
        <w:t>‘</w:t>
      </w:r>
      <w:r>
        <w:rPr>
          <w:rFonts w:ascii="Times New Roman"/>
          <w:sz w:val="24"/>
          <w:szCs w:val="24"/>
          <w:rtl w:val="0"/>
          <w:lang w:val="en-US"/>
        </w:rPr>
        <w:t>The joys and benefits of bilingualism</w:t>
      </w:r>
      <w:r>
        <w:rPr>
          <w:rFonts w:hAnsi="Times New Roman" w:hint="default"/>
          <w:sz w:val="24"/>
          <w:szCs w:val="24"/>
          <w:rtl w:val="0"/>
          <w:lang w:val="en-US"/>
        </w:rPr>
        <w:t>’</w:t>
      </w:r>
      <w:r>
        <w:rPr>
          <w:rFonts w:ascii="Times New Roman"/>
          <w:sz w:val="24"/>
          <w:szCs w:val="24"/>
          <w:rtl w:val="0"/>
          <w:lang w:val="en-US"/>
        </w:rPr>
        <w:t xml:space="preserve">, </w:t>
      </w:r>
      <w:r>
        <w:rPr>
          <w:rFonts w:ascii="Times New Roman"/>
          <w:i w:val="1"/>
          <w:iCs w:val="1"/>
          <w:sz w:val="24"/>
          <w:szCs w:val="24"/>
          <w:rtl w:val="0"/>
          <w:lang w:val="en-US"/>
        </w:rPr>
        <w:t xml:space="preserve">The Guardian, </w:t>
      </w:r>
      <w:r>
        <w:rPr>
          <w:rFonts w:ascii="Times New Roman"/>
          <w:sz w:val="24"/>
          <w:szCs w:val="24"/>
          <w:rtl w:val="0"/>
          <w:lang w:val="en-US"/>
        </w:rPr>
        <w:t xml:space="preserve">21st January.  Available at: </w:t>
      </w:r>
      <w:hyperlink r:id="rId10" w:history="1">
        <w:r>
          <w:rPr>
            <w:rStyle w:val="Hyperlink.0"/>
            <w:rFonts w:ascii="Times New Roman"/>
            <w:color w:val="0070c0"/>
            <w:sz w:val="24"/>
            <w:szCs w:val="24"/>
            <w:u w:val="single" w:color="000000"/>
            <w:rtl w:val="0"/>
            <w:lang w:val="en-US"/>
          </w:rPr>
          <w:t>https://www.theguradian.com/commentisfree/2018/jan/21/the-joys-and-benefits-of-bilingualism</w:t>
        </w:r>
      </w:hyperlink>
      <w:r>
        <w:rPr>
          <w:rFonts w:ascii="Times New Roman"/>
          <w:color w:val="0070c0"/>
          <w:sz w:val="24"/>
          <w:szCs w:val="24"/>
          <w:u w:color="000000"/>
          <w:rtl w:val="0"/>
          <w:lang w:val="en-US"/>
        </w:rPr>
        <w:t xml:space="preserve"> </w:t>
      </w:r>
      <w:r>
        <w:rPr>
          <w:rFonts w:ascii="Times New Roman"/>
          <w:sz w:val="24"/>
          <w:szCs w:val="24"/>
          <w:rtl w:val="0"/>
          <w:lang w:val="en-US"/>
        </w:rPr>
        <w:t>(Accessed: 3rd April 2019).</w:t>
      </w:r>
    </w:p>
    <w:p>
      <w:pPr>
        <w:pStyle w:val="Body B"/>
        <w:spacing w:line="360" w:lineRule="auto"/>
        <w:jc w:val="both"/>
        <w:rPr>
          <w:rtl w:val="0"/>
          <w:lang w:val="nl-NL"/>
        </w:rPr>
      </w:pPr>
      <w:r>
        <w:rPr>
          <w:rtl w:val="0"/>
          <w:lang w:val="en-US"/>
        </w:rPr>
        <w:t xml:space="preserve">Macnamara (1969) </w:t>
      </w:r>
      <w:r>
        <w:rPr>
          <w:rFonts w:hAnsi="Times New Roman" w:hint="default"/>
          <w:rtl w:val="0"/>
          <w:lang w:val="fr-FR"/>
        </w:rPr>
        <w:t>’</w:t>
      </w:r>
      <w:r>
        <w:rPr>
          <w:rtl w:val="0"/>
          <w:lang w:val="en-US"/>
        </w:rPr>
        <w:t>Bilingualism:concepts and definitions</w:t>
      </w:r>
      <w:r>
        <w:rPr>
          <w:rFonts w:hAnsi="Times New Roman" w:hint="default"/>
          <w:rtl w:val="0"/>
          <w:lang w:val="fr-FR"/>
        </w:rPr>
        <w:t>’</w:t>
      </w:r>
      <w:r>
        <w:rPr>
          <w:rtl w:val="0"/>
          <w:lang w:val="en-US"/>
        </w:rPr>
        <w:t xml:space="preserve">, in Appel, R and Muysken, P. (2005).  </w:t>
      </w:r>
      <w:r>
        <w:rPr>
          <w:i w:val="1"/>
          <w:iCs w:val="1"/>
          <w:rtl w:val="0"/>
          <w:lang w:val="en-US"/>
        </w:rPr>
        <w:t xml:space="preserve">Language Contact and Bilingualism. </w:t>
      </w:r>
      <w:r>
        <w:rPr>
          <w:rtl w:val="0"/>
          <w:lang w:val="nl-NL"/>
        </w:rPr>
        <w:t>Amsterdam: Amsterdam University Press.</w:t>
      </w:r>
    </w:p>
    <w:p>
      <w:pPr>
        <w:pStyle w:val="Body B"/>
        <w:spacing w:line="360" w:lineRule="auto"/>
        <w:jc w:val="both"/>
        <w:rPr>
          <w:color w:val="489bc9"/>
        </w:rPr>
      </w:pPr>
      <w:r>
        <w:rPr>
          <w:rtl w:val="0"/>
          <w:lang w:val="nl-NL"/>
        </w:rPr>
        <w:t xml:space="preserve">McLeod, S.  (2015) </w:t>
      </w:r>
      <w:r>
        <w:rPr>
          <w:i w:val="1"/>
          <w:iCs w:val="1"/>
          <w:rtl w:val="0"/>
          <w:lang w:val="nl-NL"/>
        </w:rPr>
        <w:t xml:space="preserve">Early Childhood Research Quality.  </w:t>
      </w:r>
      <w:r>
        <w:rPr>
          <w:rtl w:val="0"/>
          <w:lang w:val="nl-NL"/>
        </w:rPr>
        <w:t xml:space="preserve">Available at: </w:t>
      </w:r>
      <w:r>
        <w:rPr>
          <w:color w:val="489bc9"/>
          <w:rtl w:val="0"/>
          <w:lang w:val="nl-NL"/>
        </w:rPr>
        <w:t>file:///Users/osiboy/Downloads/McLoed%20et%20al..pd</w:t>
      </w:r>
      <w:r>
        <w:rPr>
          <w:color w:val="489bc9"/>
          <w:rtl w:val="0"/>
          <w:lang w:val="nl-NL"/>
        </w:rPr>
        <w:t xml:space="preserve">f.  </w:t>
      </w:r>
      <w:r>
        <w:rPr>
          <w:rtl w:val="0"/>
          <w:lang w:val="nl-NL"/>
        </w:rPr>
        <w:t>(Accessed: 4th April 2019).</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National Numeracy (2012) </w:t>
      </w:r>
      <w:r>
        <w:rPr>
          <w:rFonts w:hAnsi="Times New Roman" w:hint="default"/>
          <w:sz w:val="24"/>
          <w:szCs w:val="24"/>
          <w:rtl w:val="0"/>
          <w:lang w:val="en-US"/>
        </w:rPr>
        <w:t>‘</w:t>
      </w:r>
      <w:r>
        <w:rPr>
          <w:rFonts w:ascii="Times New Roman"/>
          <w:sz w:val="24"/>
          <w:szCs w:val="24"/>
          <w:rtl w:val="0"/>
          <w:lang w:val="en-US"/>
        </w:rPr>
        <w:t>Let</w:t>
      </w:r>
      <w:r>
        <w:rPr>
          <w:rFonts w:hAnsi="Times New Roman" w:hint="default"/>
          <w:sz w:val="24"/>
          <w:szCs w:val="24"/>
          <w:rtl w:val="0"/>
          <w:lang w:val="en-US"/>
        </w:rPr>
        <w:t>’</w:t>
      </w:r>
      <w:r>
        <w:rPr>
          <w:rFonts w:ascii="Times New Roman"/>
          <w:sz w:val="24"/>
          <w:szCs w:val="24"/>
          <w:rtl w:val="0"/>
          <w:lang w:val="en-US"/>
        </w:rPr>
        <w:t>s Read them a story-The parent factor in education</w:t>
      </w:r>
      <w:r>
        <w:rPr>
          <w:rFonts w:hAnsi="Times New Roman" w:hint="default"/>
          <w:sz w:val="24"/>
          <w:szCs w:val="24"/>
          <w:rtl w:val="0"/>
          <w:lang w:val="en-US"/>
        </w:rPr>
        <w:t xml:space="preserve">’ </w:t>
      </w:r>
      <w:r>
        <w:rPr>
          <w:rFonts w:ascii="Times New Roman"/>
          <w:sz w:val="24"/>
          <w:szCs w:val="24"/>
          <w:rtl w:val="0"/>
          <w:lang w:val="en-US"/>
        </w:rPr>
        <w:t xml:space="preserve">Available at: </w:t>
      </w:r>
      <w:hyperlink r:id="rId11" w:history="1">
        <w:r>
          <w:rPr>
            <w:rStyle w:val="Hyperlink.0"/>
            <w:rFonts w:ascii="Times New Roman"/>
            <w:color w:val="0070c0"/>
            <w:sz w:val="24"/>
            <w:szCs w:val="24"/>
            <w:u w:val="single" w:color="000000"/>
            <w:rtl w:val="0"/>
            <w:lang w:val="en-US"/>
          </w:rPr>
          <w:t>https://www.nationalnumeracy.org.uk</w:t>
        </w:r>
      </w:hyperlink>
      <w:r>
        <w:rPr>
          <w:rFonts w:ascii="Times New Roman"/>
          <w:sz w:val="24"/>
          <w:szCs w:val="24"/>
          <w:rtl w:val="0"/>
          <w:lang w:val="en-US"/>
        </w:rPr>
        <w:t xml:space="preserve"> (Accessed: 31st March 2019).</w:t>
      </w:r>
    </w:p>
    <w:p>
      <w:pPr>
        <w:pStyle w:val="Body B"/>
        <w:spacing w:line="360" w:lineRule="auto"/>
        <w:jc w:val="both"/>
      </w:pPr>
      <w:r>
        <w:rPr>
          <w:rtl w:val="0"/>
          <w:lang w:val="fr-FR"/>
        </w:rPr>
        <w:t>Rappoteur Group on Bilingualism, (2010)</w:t>
      </w:r>
      <w:r>
        <w:rPr>
          <w:rFonts w:hAnsi="Times New Roman" w:hint="default"/>
          <w:rtl w:val="0"/>
          <w:lang w:val="fr-FR"/>
        </w:rPr>
        <w:t>’</w:t>
      </w:r>
      <w:r>
        <w:rPr>
          <w:rtl w:val="0"/>
          <w:lang w:val="en-US"/>
        </w:rPr>
        <w:t>WELSH SECOND LANGUAGE</w:t>
      </w:r>
      <w:r>
        <w:rPr>
          <w:rFonts w:hAnsi="Times New Roman" w:hint="default"/>
          <w:rtl w:val="0"/>
          <w:lang w:val="fr-FR"/>
        </w:rPr>
        <w:t xml:space="preserve">’ </w:t>
      </w:r>
      <w:r>
        <w:rPr>
          <w:rtl w:val="0"/>
          <w:lang w:val="en-US"/>
        </w:rPr>
        <w:t>Available at:http://www.assembly.wales (Accessed 27</w:t>
      </w:r>
      <w:r>
        <w:rPr>
          <w:vertAlign w:val="superscript"/>
          <w:rtl w:val="0"/>
          <w:lang w:val="en-US"/>
        </w:rPr>
        <w:t>th</w:t>
      </w:r>
      <w:r>
        <w:rPr>
          <w:rtl w:val="0"/>
          <w:lang w:val="en-US"/>
        </w:rPr>
        <w:t xml:space="preserve"> March 2019).</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Taylor, H. and Harris, A. (2014) </w:t>
      </w:r>
      <w:r>
        <w:rPr>
          <w:rFonts w:ascii="Times New Roman"/>
          <w:i w:val="1"/>
          <w:iCs w:val="1"/>
          <w:sz w:val="24"/>
          <w:szCs w:val="24"/>
          <w:rtl w:val="0"/>
          <w:lang w:val="en-US"/>
        </w:rPr>
        <w:t xml:space="preserve">Learning and Teaching Mathematics 0-8. </w:t>
      </w:r>
      <w:r>
        <w:rPr>
          <w:rFonts w:ascii="Times New Roman"/>
          <w:sz w:val="24"/>
          <w:szCs w:val="24"/>
          <w:rtl w:val="0"/>
          <w:lang w:val="en-US"/>
        </w:rPr>
        <w:t xml:space="preserve">London:Sage. </w:t>
      </w:r>
    </w:p>
    <w:p>
      <w:pPr>
        <w:pStyle w:val="Body B"/>
        <w:spacing w:line="360" w:lineRule="auto"/>
        <w:jc w:val="both"/>
      </w:pPr>
      <w:r>
        <w:rPr>
          <w:rtl w:val="0"/>
          <w:lang w:val="es-ES_tradnl"/>
        </w:rPr>
        <w:t xml:space="preserve">Wales Online, (2010) </w:t>
      </w:r>
      <w:r>
        <w:rPr>
          <w:rFonts w:hAnsi="Times New Roman" w:hint="default"/>
          <w:rtl w:val="0"/>
          <w:lang w:val="en-US"/>
        </w:rPr>
        <w:t>‘</w:t>
      </w:r>
      <w:r>
        <w:rPr>
          <w:rtl w:val="0"/>
          <w:lang w:val="en-US"/>
        </w:rPr>
        <w:t>Mapping Welsh Identity: How Welsh is your area?</w:t>
      </w:r>
      <w:r>
        <w:rPr>
          <w:rFonts w:hAnsi="Times New Roman" w:hint="default"/>
          <w:rtl w:val="0"/>
          <w:lang w:val="fr-FR"/>
        </w:rPr>
        <w:t xml:space="preserve">’ </w:t>
      </w:r>
      <w:r>
        <w:rPr>
          <w:rtl w:val="0"/>
          <w:lang w:val="fr-FR"/>
        </w:rPr>
        <w:t xml:space="preserve">Available at: </w:t>
      </w:r>
      <w:hyperlink r:id="rId12" w:history="1">
        <w:r>
          <w:rPr>
            <w:rStyle w:val="Hyperlink.2"/>
            <w:color w:val="0070c0"/>
            <w:sz w:val="24"/>
            <w:szCs w:val="24"/>
            <w:u w:val="single" w:color="0070c0"/>
            <w:rtl w:val="0"/>
            <w:lang w:val="de-DE"/>
          </w:rPr>
          <w:t>http://www.walesonline.co.uk</w:t>
        </w:r>
      </w:hyperlink>
      <w:r>
        <w:rPr>
          <w:rtl w:val="0"/>
          <w:lang w:val="en-US"/>
        </w:rPr>
        <w:t xml:space="preserve"> (Accessed 27</w:t>
      </w:r>
      <w:r>
        <w:rPr>
          <w:vertAlign w:val="superscript"/>
          <w:rtl w:val="0"/>
          <w:lang w:val="en-US"/>
        </w:rPr>
        <w:t>th</w:t>
      </w:r>
      <w:r>
        <w:rPr>
          <w:rtl w:val="0"/>
          <w:lang w:val="en-US"/>
        </w:rPr>
        <w:t xml:space="preserve"> March 2019).</w:t>
      </w:r>
    </w:p>
    <w:p>
      <w:pPr>
        <w:pStyle w:val="Body A"/>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Welsh Government Assembly, (2008) </w:t>
      </w:r>
      <w:r>
        <w:rPr>
          <w:rFonts w:hAnsi="Times New Roman" w:hint="default"/>
          <w:sz w:val="24"/>
          <w:szCs w:val="24"/>
          <w:rtl w:val="0"/>
          <w:lang w:val="en-US"/>
        </w:rPr>
        <w:t>‘</w:t>
      </w:r>
      <w:r>
        <w:rPr>
          <w:rFonts w:ascii="Times New Roman"/>
          <w:sz w:val="24"/>
          <w:szCs w:val="24"/>
          <w:rtl w:val="0"/>
          <w:lang w:val="en-US"/>
        </w:rPr>
        <w:t>Datblygu</w:t>
      </w:r>
      <w:r>
        <w:rPr>
          <w:rFonts w:hAnsi="Times New Roman" w:hint="default"/>
          <w:sz w:val="24"/>
          <w:szCs w:val="24"/>
          <w:rtl w:val="0"/>
          <w:lang w:val="en-US"/>
        </w:rPr>
        <w:t>’</w:t>
      </w:r>
      <w:r>
        <w:rPr>
          <w:rFonts w:ascii="Times New Roman"/>
          <w:sz w:val="24"/>
          <w:szCs w:val="24"/>
          <w:rtl w:val="0"/>
          <w:lang w:val="en-US"/>
        </w:rPr>
        <w:t>r Gymraeg</w:t>
      </w:r>
      <w:r>
        <w:rPr>
          <w:rFonts w:hAnsi="Times New Roman" w:hint="default"/>
          <w:sz w:val="24"/>
          <w:szCs w:val="24"/>
          <w:rtl w:val="0"/>
          <w:lang w:val="en-US"/>
        </w:rPr>
        <w:t xml:space="preserve">’ </w:t>
      </w:r>
      <w:r>
        <w:rPr>
          <w:rFonts w:ascii="Times New Roman"/>
          <w:sz w:val="24"/>
          <w:szCs w:val="24"/>
          <w:rtl w:val="0"/>
          <w:lang w:val="en-US"/>
        </w:rPr>
        <w:t xml:space="preserve">Available at: </w:t>
      </w:r>
      <w:hyperlink r:id="rId13" w:history="1">
        <w:r>
          <w:rPr>
            <w:rStyle w:val="Hyperlink.0"/>
            <w:rFonts w:ascii="Times New Roman"/>
            <w:color w:val="0070c0"/>
            <w:sz w:val="24"/>
            <w:szCs w:val="24"/>
            <w:u w:val="single" w:color="000000"/>
            <w:rtl w:val="0"/>
            <w:lang w:val="en-US"/>
          </w:rPr>
          <w:t>https://llyw.cymru/sites/default/files/publications/2018-04/datblygu-r-gymraeg.pdf</w:t>
        </w:r>
      </w:hyperlink>
      <w:r>
        <w:rPr>
          <w:rFonts w:ascii="Times New Roman"/>
          <w:sz w:val="24"/>
          <w:szCs w:val="24"/>
          <w:rtl w:val="0"/>
          <w:lang w:val="en-US"/>
        </w:rPr>
        <w:t xml:space="preserve"> (Accessed: 23rd March 2019). </w:t>
      </w:r>
    </w:p>
    <w:p>
      <w:pPr>
        <w:pStyle w:val="Body B"/>
        <w:spacing w:line="360" w:lineRule="auto"/>
        <w:jc w:val="both"/>
      </w:pPr>
      <w:r>
        <w:rPr>
          <w:rtl w:val="0"/>
          <w:lang w:val="en-US"/>
        </w:rPr>
        <w:t xml:space="preserve">Welsh Government Assembly, (2008) </w:t>
      </w:r>
      <w:r>
        <w:rPr>
          <w:rFonts w:hAnsi="Times New Roman" w:hint="default"/>
          <w:rtl w:val="0"/>
          <w:lang w:val="en-US"/>
        </w:rPr>
        <w:t>‘</w:t>
      </w:r>
      <w:r>
        <w:rPr>
          <w:rtl w:val="0"/>
          <w:lang w:val="en-US"/>
        </w:rPr>
        <w:t>Datblygu</w:t>
      </w:r>
      <w:r>
        <w:rPr>
          <w:rFonts w:hAnsi="Times New Roman" w:hint="default"/>
          <w:rtl w:val="0"/>
          <w:lang w:val="fr-FR"/>
        </w:rPr>
        <w:t>’</w:t>
      </w:r>
      <w:r>
        <w:rPr>
          <w:rtl w:val="0"/>
          <w:lang w:val="en-US"/>
        </w:rPr>
        <w:t>r Gymraeg</w:t>
      </w:r>
      <w:r>
        <w:rPr>
          <w:rFonts w:hAnsi="Times New Roman" w:hint="default"/>
          <w:rtl w:val="0"/>
          <w:lang w:val="fr-FR"/>
        </w:rPr>
        <w:t xml:space="preserve">’ </w:t>
      </w:r>
      <w:r>
        <w:rPr>
          <w:rtl w:val="0"/>
          <w:lang w:val="fr-FR"/>
        </w:rPr>
        <w:t xml:space="preserve">Available at: </w:t>
      </w:r>
      <w:hyperlink r:id="rId14" w:history="1">
        <w:r>
          <w:rPr>
            <w:rStyle w:val="Hyperlink.3"/>
            <w:color w:val="0070c0"/>
            <w:sz w:val="24"/>
            <w:szCs w:val="24"/>
            <w:u w:val="single" w:color="0070c0"/>
            <w:rtl w:val="0"/>
            <w:lang w:val="en-US"/>
          </w:rPr>
          <w:t>www.gov.wales</w:t>
        </w:r>
      </w:hyperlink>
      <w:r>
        <w:rPr>
          <w:rtl w:val="0"/>
          <w:lang w:val="en-US"/>
        </w:rPr>
        <w:t xml:space="preserve"> (Accessed: 23</w:t>
      </w:r>
      <w:r>
        <w:rPr>
          <w:vertAlign w:val="superscript"/>
          <w:rtl w:val="0"/>
          <w:lang w:val="en-US"/>
        </w:rPr>
        <w:t>rd</w:t>
      </w:r>
      <w:r>
        <w:rPr>
          <w:rtl w:val="0"/>
          <w:lang w:val="en-US"/>
        </w:rPr>
        <w:t xml:space="preserve"> March 2019).</w:t>
      </w:r>
    </w:p>
    <w:p>
      <w:pPr>
        <w:pStyle w:val="Body A"/>
        <w:spacing w:line="360" w:lineRule="auto"/>
        <w:jc w:val="both"/>
      </w:pPr>
    </w:p>
    <w:p>
      <w:pPr>
        <w:pStyle w:val="Body A"/>
        <w:spacing w:line="360" w:lineRule="auto"/>
        <w:jc w:val="both"/>
      </w:pPr>
    </w:p>
    <w:p>
      <w:pPr>
        <w:pStyle w:val="Body A"/>
        <w:spacing w:line="360" w:lineRule="auto"/>
        <w:jc w:val="both"/>
      </w:pPr>
    </w:p>
    <w:p>
      <w:pPr>
        <w:pStyle w:val="Body A"/>
        <w:spacing w:line="360" w:lineRule="auto"/>
        <w:jc w:val="both"/>
      </w:pPr>
    </w:p>
    <w:p>
      <w:pPr>
        <w:pStyle w:val="Body A"/>
        <w:spacing w:line="360" w:lineRule="auto"/>
        <w:jc w:val="both"/>
      </w:pPr>
      <w:r/>
    </w:p>
    <w:sectPr>
      <w:headerReference w:type="default" r:id="rId15"/>
      <w:footerReference w:type="default" r:id="rId1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jc w:val="center"/>
    </w:pPr>
    <w:r>
      <w:rPr>
        <w:rtl w:val="0"/>
      </w:rPr>
      <w:fldChar w:fldCharType="begin" w:fldLock="0"/>
    </w:r>
    <w:r>
      <w:rPr>
        <w:rtl w:val="0"/>
      </w:rPr>
      <w:t xml:space="preserve"> PAGE </w:t>
    </w:r>
    <w:r>
      <w:rPr>
        <w:rtl w:val="0"/>
      </w:rPr>
      <w:fldChar w:fldCharType="separate" w:fldLock="0"/>
    </w:r>
    <w:r>
      <w:rPr>
        <w:rtl w:val="0"/>
      </w:rPr>
      <w:t>6</w:t>
    </w:r>
    <w:r>
      <w:rPr>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A"/>
      <w:tabs>
        <w:tab w:val="center" w:pos="4819"/>
        <w:tab w:val="right" w:pos="9612"/>
        <w:tab w:val="clear" w:pos="9020"/>
      </w:tabs>
    </w:pPr>
    <w:r>
      <w:rPr>
        <w:rtl w:val="0"/>
        <w:lang w:val="en-US"/>
      </w:rPr>
      <w:t>1804771</w:t>
      <w:tab/>
      <w:t>EAEE4</w:t>
    </w:r>
    <w:r>
      <w:rPr>
        <w:rtl w:val="0"/>
        <w:lang w:val="en-US"/>
      </w:rPr>
      <w:t>006/C</w:t>
    </w:r>
    <w:r>
      <w:rPr>
        <w:rtl w:val="0"/>
      </w:rPr>
      <w:tab/>
      <w:t>Word Count  16</w:t>
    </w:r>
    <w:r>
      <w:rPr>
        <w:rtl w:val="0"/>
        <w:lang w:val="en-US"/>
      </w:rPr>
      <w:t>10</w:t>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A">
    <w:name w:val="Header &amp; Footer A"/>
    <w:next w:val="Header &amp; Footer A"/>
    <w:pPr>
      <w:keepNext w:val="0"/>
      <w:keepLines w:val="0"/>
      <w:pageBreakBefore w:val="0"/>
      <w:widowControl w:val="1"/>
      <w:pBdr>
        <w:top w:val="nil"/>
        <w:left w:val="nil"/>
        <w:bottom w:val="nil"/>
        <w:right w:val="nil"/>
      </w:pBdr>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footer">
    <w:name w:val="footer"/>
    <w:next w:val="footer"/>
    <w:pPr>
      <w:keepNext w:val="0"/>
      <w:keepLines w:val="0"/>
      <w:pageBreakBefore w:val="0"/>
      <w:widowControl w:val="1"/>
      <w:pBdr>
        <w:top w:val="nil"/>
        <w:left w:val="nil"/>
        <w:bottom w:val="nil"/>
        <w:right w:val="nil"/>
      </w:pBdr>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A">
    <w:name w:val="Body A"/>
    <w:next w:val="Body A"/>
    <w:pPr>
      <w:keepNext w:val="0"/>
      <w:keepLines w:val="0"/>
      <w:pageBreakBefore w:val="0"/>
      <w:widowControl w:val="1"/>
      <w:pBdr>
        <w:top w:val="nil"/>
        <w:left w:val="nil"/>
        <w:bottom w:val="nil"/>
        <w:right w:val="nil"/>
      </w:pBdr>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B">
    <w:name w:val="Body B"/>
    <w:next w:val="Body B"/>
    <w:pPr>
      <w:keepNext w:val="0"/>
      <w:keepLines w:val="0"/>
      <w:pageBreakBefore w:val="0"/>
      <w:widowControl w:val="1"/>
      <w:pBdr>
        <w:top w:val="nil"/>
        <w:left w:val="nil"/>
        <w:bottom w:val="nil"/>
        <w:right w:val="nil"/>
      </w:pBdr>
      <w:shd w:val="clear" w:color="auto" w:fill="auto"/>
      <w:suppressAutoHyphens w:val="0"/>
      <w:bidi w:val="0"/>
      <w:spacing w:before="0" w:after="0" w:line="240" w:lineRule="auto"/>
      <w:ind w:left="0" w:right="0" w:firstLine="0"/>
      <w:jc w:val="left"/>
      <w:outlineLvl w:val="9"/>
    </w:pPr>
    <w:rPr>
      <w:rFonts w:ascii="Times New Roman"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None">
    <w:name w:val="None"/>
  </w:style>
  <w:style w:type="character" w:styleId="Hyperlink.0">
    <w:name w:val="Hyperlink.0"/>
    <w:basedOn w:val="None"/>
    <w:next w:val="Hyperlink.0"/>
    <w:rPr>
      <w:color w:val="0070c0"/>
      <w:sz w:val="24"/>
      <w:szCs w:val="24"/>
      <w:u w:val="single" w:color="000000"/>
      <w:lang w:val="en-US"/>
    </w:rPr>
  </w:style>
  <w:style w:type="character" w:styleId="Hyperlink.1">
    <w:name w:val="Hyperlink.1"/>
    <w:basedOn w:val="None"/>
    <w:next w:val="Hyperlink.1"/>
    <w:rPr>
      <w:color w:val="0070c0"/>
      <w:u w:val="single" w:color="000000"/>
    </w:rPr>
  </w:style>
  <w:style w:type="character" w:styleId="Hyperlink.2">
    <w:name w:val="Hyperlink.2"/>
    <w:basedOn w:val="None"/>
    <w:next w:val="Hyperlink.2"/>
    <w:rPr>
      <w:color w:val="0070c0"/>
      <w:sz w:val="24"/>
      <w:szCs w:val="24"/>
      <w:u w:val="single" w:color="0070c0"/>
      <w:lang w:val="de-DE"/>
    </w:rPr>
  </w:style>
  <w:style w:type="character" w:styleId="Hyperlink.3">
    <w:name w:val="Hyperlink.3"/>
    <w:basedOn w:val="None"/>
    <w:next w:val="Hyperlink.3"/>
    <w:rPr>
      <w:color w:val="0070c0"/>
      <w:sz w:val="24"/>
      <w:szCs w:val="24"/>
      <w:u w:val="single" w:color="0070c0"/>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ageofmontessori.org/" TargetMode="External"/><Relationship Id="rId5" Type="http://schemas.openxmlformats.org/officeDocument/2006/relationships/hyperlink" Target="http://childrensrights.wales/index.php/right" TargetMode="External"/><Relationship Id="rId6" Type="http://schemas.openxmlformats.org/officeDocument/2006/relationships/hyperlink" Target="https://learning.gov.wales/" TargetMode="External"/><Relationship Id="rId7" Type="http://schemas.openxmlformats.org/officeDocument/2006/relationships/hyperlink" Target="https://www.naldic.org.uk/eal-teaching-and-learning/outline-guidance/task/" TargetMode="External"/><Relationship Id="rId8" Type="http://schemas.openxmlformats.org/officeDocument/2006/relationships/hyperlink" Target="http://data.gov.uk" TargetMode="External"/><Relationship Id="rId9" Type="http://schemas.openxmlformats.org/officeDocument/2006/relationships/hyperlink" Target="https://instructionaldesign.org/" TargetMode="External"/><Relationship Id="rId10" Type="http://schemas.openxmlformats.org/officeDocument/2006/relationships/hyperlink" Target="https://www.theguradian.com/commentisfree/2018/jan/21/the-joys-and-benefits-of-bilingualism" TargetMode="External"/><Relationship Id="rId11" Type="http://schemas.openxmlformats.org/officeDocument/2006/relationships/hyperlink" Target="https://www.nationalnumeracy.org.uk" TargetMode="External"/><Relationship Id="rId12" Type="http://schemas.openxmlformats.org/officeDocument/2006/relationships/hyperlink" Target="http://www.walesonline.co.uk" TargetMode="External"/><Relationship Id="rId13" Type="http://schemas.openxmlformats.org/officeDocument/2006/relationships/hyperlink" Target="https://llyw.cymru/sites/default/files/publications/2018-04/datblygu-r-gymraeg.pdf" TargetMode="External"/><Relationship Id="rId14" Type="http://schemas.openxmlformats.org/officeDocument/2006/relationships/hyperlink" Target="http://www.gov.wales"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000000"/>
            </a:solidFill>
            <a:effectLst/>
            <a:uFill>
              <a:solidFill>
                <a:srgbClr val="000000"/>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