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3D9A2" w14:textId="77777777" w:rsidR="00CD68D1" w:rsidRDefault="00000000">
      <w:pPr>
        <w:spacing w:line="240" w:lineRule="auto"/>
        <w:jc w:val="center"/>
        <w:rPr>
          <w:color w:val="0E101A"/>
          <w:sz w:val="40"/>
          <w:szCs w:val="40"/>
        </w:rPr>
      </w:pPr>
      <w:r>
        <w:rPr>
          <w:b/>
          <w:color w:val="0E101A"/>
          <w:sz w:val="40"/>
          <w:szCs w:val="40"/>
        </w:rPr>
        <w:t>Marketing Fundamentals</w:t>
      </w:r>
    </w:p>
    <w:p w14:paraId="6E3117B5" w14:textId="77777777" w:rsidR="00CD68D1" w:rsidRDefault="00000000">
      <w:pPr>
        <w:spacing w:line="240" w:lineRule="auto"/>
        <w:jc w:val="center"/>
        <w:rPr>
          <w:color w:val="0E101A"/>
          <w:sz w:val="36"/>
          <w:szCs w:val="36"/>
        </w:rPr>
      </w:pPr>
      <w:r>
        <w:rPr>
          <w:b/>
          <w:color w:val="0E101A"/>
          <w:sz w:val="36"/>
          <w:szCs w:val="36"/>
        </w:rPr>
        <w:t>Group Report</w:t>
      </w:r>
    </w:p>
    <w:p w14:paraId="6C675E42" w14:textId="77777777" w:rsidR="00CD68D1" w:rsidRDefault="00CD68D1">
      <w:pPr>
        <w:spacing w:line="240" w:lineRule="auto"/>
        <w:rPr>
          <w:color w:val="0E101A"/>
        </w:rPr>
      </w:pPr>
    </w:p>
    <w:p w14:paraId="5497EC35" w14:textId="77777777" w:rsidR="00CD68D1" w:rsidRDefault="00CD68D1">
      <w:pPr>
        <w:spacing w:line="240" w:lineRule="auto"/>
        <w:rPr>
          <w:color w:val="0E101A"/>
        </w:rPr>
      </w:pPr>
    </w:p>
    <w:p w14:paraId="634D8C30" w14:textId="77777777" w:rsidR="00CD68D1" w:rsidRDefault="00CD68D1">
      <w:pPr>
        <w:spacing w:line="240" w:lineRule="auto"/>
        <w:rPr>
          <w:color w:val="0E101A"/>
        </w:rPr>
      </w:pPr>
    </w:p>
    <w:p w14:paraId="3107EC99" w14:textId="77777777" w:rsidR="00CD68D1" w:rsidRDefault="00000000">
      <w:pPr>
        <w:spacing w:line="240" w:lineRule="auto"/>
        <w:rPr>
          <w:color w:val="0E101A"/>
        </w:rPr>
      </w:pPr>
      <w:r>
        <w:rPr>
          <w:color w:val="0E101A"/>
        </w:rPr>
        <w:t xml:space="preserve">Module </w:t>
      </w:r>
      <w:proofErr w:type="gramStart"/>
      <w:r>
        <w:rPr>
          <w:color w:val="0E101A"/>
        </w:rPr>
        <w:t>Code:LCBB</w:t>
      </w:r>
      <w:proofErr w:type="gramEnd"/>
      <w:r>
        <w:rPr>
          <w:color w:val="0E101A"/>
        </w:rPr>
        <w:t>4004_BIRM</w:t>
      </w:r>
    </w:p>
    <w:p w14:paraId="180C7749" w14:textId="77777777" w:rsidR="00CD68D1" w:rsidRDefault="00000000">
      <w:pPr>
        <w:spacing w:line="240" w:lineRule="auto"/>
        <w:rPr>
          <w:color w:val="0E101A"/>
        </w:rPr>
      </w:pPr>
      <w:r>
        <w:rPr>
          <w:color w:val="0E101A"/>
        </w:rPr>
        <w:t>Lecturer's Name: Zameer Hussain</w:t>
      </w:r>
    </w:p>
    <w:p w14:paraId="3148ECDC" w14:textId="77777777" w:rsidR="00CD68D1" w:rsidRDefault="00000000">
      <w:pPr>
        <w:spacing w:line="240" w:lineRule="auto"/>
        <w:rPr>
          <w:color w:val="0E101A"/>
        </w:rPr>
      </w:pPr>
      <w:r>
        <w:rPr>
          <w:color w:val="0E101A"/>
        </w:rPr>
        <w:t>Students’ names and ID: </w:t>
      </w:r>
    </w:p>
    <w:p w14:paraId="55B37662" w14:textId="77777777" w:rsidR="00CD68D1" w:rsidRDefault="00000000">
      <w:pPr>
        <w:spacing w:line="240" w:lineRule="auto"/>
        <w:rPr>
          <w:color w:val="0E101A"/>
        </w:rPr>
      </w:pPr>
      <w:r>
        <w:rPr>
          <w:color w:val="0E101A"/>
        </w:rPr>
        <w:t>1). Florina Teodora Dobre 2112018</w:t>
      </w:r>
    </w:p>
    <w:p w14:paraId="60D16BDC" w14:textId="77777777" w:rsidR="00CD68D1" w:rsidRDefault="00000000">
      <w:pPr>
        <w:spacing w:line="240" w:lineRule="auto"/>
        <w:rPr>
          <w:color w:val="0E101A"/>
        </w:rPr>
      </w:pPr>
      <w:r>
        <w:rPr>
          <w:color w:val="0E101A"/>
        </w:rPr>
        <w:t>  2). Andi Catalin Manea 2113863</w:t>
      </w:r>
    </w:p>
    <w:p w14:paraId="5D23C417" w14:textId="77777777" w:rsidR="00CD68D1" w:rsidRDefault="00000000">
      <w:pPr>
        <w:spacing w:line="240" w:lineRule="auto"/>
        <w:rPr>
          <w:color w:val="0E101A"/>
        </w:rPr>
      </w:pPr>
      <w:r>
        <w:rPr>
          <w:color w:val="0E101A"/>
        </w:rPr>
        <w:t>3). Marian Cosmin Vilaia 2113634</w:t>
      </w:r>
    </w:p>
    <w:p w14:paraId="40269925" w14:textId="77777777" w:rsidR="00CD68D1" w:rsidRDefault="00000000">
      <w:pPr>
        <w:spacing w:line="240" w:lineRule="auto"/>
        <w:rPr>
          <w:color w:val="0E101A"/>
        </w:rPr>
      </w:pPr>
      <w:r>
        <w:rPr>
          <w:color w:val="0E101A"/>
        </w:rPr>
        <w:t xml:space="preserve">4). Georgian Valentin </w:t>
      </w:r>
      <w:proofErr w:type="spellStart"/>
      <w:r>
        <w:rPr>
          <w:color w:val="0E101A"/>
        </w:rPr>
        <w:t>Bularda</w:t>
      </w:r>
      <w:proofErr w:type="spellEnd"/>
      <w:r>
        <w:rPr>
          <w:color w:val="0E101A"/>
        </w:rPr>
        <w:t xml:space="preserve"> 2109232</w:t>
      </w:r>
    </w:p>
    <w:p w14:paraId="23CE04C6" w14:textId="77777777" w:rsidR="00CD68D1" w:rsidRDefault="00CD68D1">
      <w:pPr>
        <w:spacing w:line="240" w:lineRule="auto"/>
        <w:rPr>
          <w:color w:val="0E101A"/>
        </w:rPr>
      </w:pPr>
    </w:p>
    <w:p w14:paraId="3199DBB9" w14:textId="77777777" w:rsidR="00CD68D1" w:rsidRDefault="00CD68D1">
      <w:pPr>
        <w:spacing w:line="360" w:lineRule="auto"/>
        <w:jc w:val="center"/>
        <w:rPr>
          <w:b/>
          <w:sz w:val="32"/>
          <w:szCs w:val="32"/>
        </w:rPr>
      </w:pPr>
    </w:p>
    <w:p w14:paraId="768F2018" w14:textId="77777777" w:rsidR="00CD68D1" w:rsidRDefault="00000000">
      <w:pPr>
        <w:rPr>
          <w:color w:val="000000"/>
          <w:sz w:val="24"/>
          <w:szCs w:val="24"/>
        </w:rPr>
      </w:pPr>
      <w:r>
        <w:br w:type="page"/>
      </w:r>
    </w:p>
    <w:p w14:paraId="6BCF3B64" w14:textId="77777777" w:rsidR="00CD68D1" w:rsidRDefault="00000000">
      <w:pPr>
        <w:keepNext/>
        <w:keepLines/>
        <w:pBdr>
          <w:top w:val="nil"/>
          <w:left w:val="nil"/>
          <w:bottom w:val="nil"/>
          <w:right w:val="nil"/>
          <w:between w:val="nil"/>
        </w:pBdr>
        <w:spacing w:before="240" w:line="360" w:lineRule="auto"/>
        <w:jc w:val="center"/>
        <w:rPr>
          <w:b/>
          <w:color w:val="000000"/>
          <w:sz w:val="28"/>
          <w:szCs w:val="28"/>
        </w:rPr>
      </w:pPr>
      <w:r>
        <w:rPr>
          <w:b/>
          <w:color w:val="000000"/>
          <w:sz w:val="28"/>
          <w:szCs w:val="28"/>
        </w:rPr>
        <w:lastRenderedPageBreak/>
        <w:t>Table of Contents</w:t>
      </w:r>
    </w:p>
    <w:sdt>
      <w:sdtPr>
        <w:id w:val="-1886779489"/>
        <w:docPartObj>
          <w:docPartGallery w:val="Table of Contents"/>
          <w:docPartUnique/>
        </w:docPartObj>
      </w:sdtPr>
      <w:sdtContent>
        <w:p w14:paraId="08266324" w14:textId="77777777" w:rsidR="00CD68D1" w:rsidRDefault="00000000">
          <w:pPr>
            <w:pBdr>
              <w:top w:val="nil"/>
              <w:left w:val="nil"/>
              <w:bottom w:val="nil"/>
              <w:right w:val="nil"/>
              <w:between w:val="nil"/>
            </w:pBdr>
            <w:tabs>
              <w:tab w:val="right" w:pos="9019"/>
            </w:tabs>
            <w:spacing w:after="100" w:line="360" w:lineRule="auto"/>
            <w:jc w:val="both"/>
            <w:rPr>
              <w:color w:val="000000"/>
            </w:rPr>
          </w:pPr>
          <w:r>
            <w:fldChar w:fldCharType="begin"/>
          </w:r>
          <w:r>
            <w:instrText xml:space="preserve"> TOC \h \u \z </w:instrText>
          </w:r>
          <w:r>
            <w:fldChar w:fldCharType="separate"/>
          </w:r>
          <w:hyperlink w:anchor="_gjdgxs">
            <w:r>
              <w:rPr>
                <w:color w:val="000000"/>
              </w:rPr>
              <w:t>Introduction</w:t>
            </w:r>
            <w:r>
              <w:rPr>
                <w:color w:val="000000"/>
              </w:rPr>
              <w:tab/>
              <w:t>3</w:t>
            </w:r>
          </w:hyperlink>
        </w:p>
        <w:p w14:paraId="43B620A3" w14:textId="77777777" w:rsidR="00CD68D1" w:rsidRDefault="00000000">
          <w:pPr>
            <w:pBdr>
              <w:top w:val="nil"/>
              <w:left w:val="nil"/>
              <w:bottom w:val="nil"/>
              <w:right w:val="nil"/>
              <w:between w:val="nil"/>
            </w:pBdr>
            <w:tabs>
              <w:tab w:val="right" w:pos="9019"/>
            </w:tabs>
            <w:spacing w:after="100" w:line="360" w:lineRule="auto"/>
            <w:jc w:val="both"/>
            <w:rPr>
              <w:color w:val="000000"/>
            </w:rPr>
          </w:pPr>
          <w:hyperlink w:anchor="_30j0zll">
            <w:r>
              <w:rPr>
                <w:color w:val="000000"/>
              </w:rPr>
              <w:t>Discussion</w:t>
            </w:r>
            <w:r>
              <w:rPr>
                <w:color w:val="000000"/>
              </w:rPr>
              <w:tab/>
              <w:t>3</w:t>
            </w:r>
          </w:hyperlink>
        </w:p>
        <w:p w14:paraId="3D0EEEC6" w14:textId="77777777" w:rsidR="00CD68D1" w:rsidRDefault="00000000">
          <w:pPr>
            <w:pBdr>
              <w:top w:val="nil"/>
              <w:left w:val="nil"/>
              <w:bottom w:val="nil"/>
              <w:right w:val="nil"/>
              <w:between w:val="nil"/>
            </w:pBdr>
            <w:tabs>
              <w:tab w:val="right" w:pos="9019"/>
            </w:tabs>
            <w:spacing w:after="100" w:line="360" w:lineRule="auto"/>
            <w:ind w:left="220"/>
            <w:jc w:val="both"/>
            <w:rPr>
              <w:color w:val="000000"/>
            </w:rPr>
          </w:pPr>
          <w:hyperlink w:anchor="_1fob9te">
            <w:r>
              <w:rPr>
                <w:color w:val="000000"/>
              </w:rPr>
              <w:t>Usage of STP Analysis to achieve Competitive Advantage</w:t>
            </w:r>
            <w:r>
              <w:rPr>
                <w:color w:val="000000"/>
              </w:rPr>
              <w:tab/>
              <w:t>3</w:t>
            </w:r>
          </w:hyperlink>
        </w:p>
        <w:p w14:paraId="00EAE871" w14:textId="77777777" w:rsidR="00CD68D1" w:rsidRDefault="00000000">
          <w:pPr>
            <w:pBdr>
              <w:top w:val="nil"/>
              <w:left w:val="nil"/>
              <w:bottom w:val="nil"/>
              <w:right w:val="nil"/>
              <w:between w:val="nil"/>
            </w:pBdr>
            <w:tabs>
              <w:tab w:val="right" w:pos="9019"/>
            </w:tabs>
            <w:spacing w:after="100" w:line="360" w:lineRule="auto"/>
            <w:ind w:left="220"/>
            <w:jc w:val="both"/>
            <w:rPr>
              <w:color w:val="000000"/>
            </w:rPr>
          </w:pPr>
          <w:hyperlink w:anchor="_3znysh7">
            <w:r>
              <w:rPr>
                <w:color w:val="000000"/>
              </w:rPr>
              <w:t>Role of Marketing Mix in Morrison’s Strategies</w:t>
            </w:r>
            <w:r>
              <w:rPr>
                <w:color w:val="000000"/>
              </w:rPr>
              <w:tab/>
              <w:t>5</w:t>
            </w:r>
          </w:hyperlink>
        </w:p>
        <w:p w14:paraId="4EE3E79B" w14:textId="77777777" w:rsidR="00CD68D1" w:rsidRDefault="00000000">
          <w:pPr>
            <w:pBdr>
              <w:top w:val="nil"/>
              <w:left w:val="nil"/>
              <w:bottom w:val="nil"/>
              <w:right w:val="nil"/>
              <w:between w:val="nil"/>
            </w:pBdr>
            <w:tabs>
              <w:tab w:val="right" w:pos="9019"/>
            </w:tabs>
            <w:spacing w:after="100" w:line="360" w:lineRule="auto"/>
            <w:jc w:val="both"/>
            <w:rPr>
              <w:color w:val="000000"/>
            </w:rPr>
          </w:pPr>
          <w:hyperlink w:anchor="_2et92p0">
            <w:r>
              <w:rPr>
                <w:color w:val="000000"/>
              </w:rPr>
              <w:t>Conclusion</w:t>
            </w:r>
            <w:r>
              <w:rPr>
                <w:color w:val="000000"/>
              </w:rPr>
              <w:tab/>
              <w:t>6</w:t>
            </w:r>
          </w:hyperlink>
        </w:p>
        <w:p w14:paraId="1838F3C3" w14:textId="77777777" w:rsidR="00CD68D1" w:rsidRDefault="00000000">
          <w:pPr>
            <w:pBdr>
              <w:top w:val="nil"/>
              <w:left w:val="nil"/>
              <w:bottom w:val="nil"/>
              <w:right w:val="nil"/>
              <w:between w:val="nil"/>
            </w:pBdr>
            <w:tabs>
              <w:tab w:val="right" w:pos="9019"/>
            </w:tabs>
            <w:spacing w:after="100" w:line="360" w:lineRule="auto"/>
            <w:jc w:val="both"/>
            <w:rPr>
              <w:color w:val="000000"/>
            </w:rPr>
          </w:pPr>
          <w:hyperlink w:anchor="_tyjcwt">
            <w:r>
              <w:rPr>
                <w:color w:val="000000"/>
              </w:rPr>
              <w:t>Reference List</w:t>
            </w:r>
            <w:r>
              <w:rPr>
                <w:color w:val="000000"/>
              </w:rPr>
              <w:tab/>
              <w:t>7</w:t>
            </w:r>
          </w:hyperlink>
        </w:p>
        <w:p w14:paraId="5BEC4599" w14:textId="77777777" w:rsidR="00CD68D1" w:rsidRDefault="00000000">
          <w:pPr>
            <w:spacing w:line="360" w:lineRule="auto"/>
            <w:jc w:val="both"/>
          </w:pPr>
          <w:r>
            <w:fldChar w:fldCharType="end"/>
          </w:r>
        </w:p>
      </w:sdtContent>
    </w:sdt>
    <w:p w14:paraId="1236DC8C" w14:textId="77777777" w:rsidR="00CD68D1" w:rsidRDefault="00000000">
      <w:pPr>
        <w:spacing w:line="360" w:lineRule="auto"/>
        <w:jc w:val="center"/>
        <w:rPr>
          <w:b/>
          <w:color w:val="000000"/>
          <w:sz w:val="24"/>
          <w:szCs w:val="24"/>
        </w:rPr>
      </w:pPr>
      <w:r>
        <w:br w:type="page"/>
      </w:r>
    </w:p>
    <w:p w14:paraId="5DB791CB" w14:textId="77777777" w:rsidR="00CD68D1" w:rsidRDefault="00000000">
      <w:pPr>
        <w:keepNext/>
        <w:keepLines/>
        <w:pBdr>
          <w:top w:val="nil"/>
          <w:left w:val="nil"/>
          <w:bottom w:val="nil"/>
          <w:right w:val="nil"/>
          <w:between w:val="nil"/>
        </w:pBdr>
        <w:spacing w:before="400" w:after="120" w:line="360" w:lineRule="auto"/>
        <w:jc w:val="both"/>
        <w:rPr>
          <w:b/>
          <w:color w:val="000000"/>
          <w:sz w:val="28"/>
          <w:szCs w:val="28"/>
        </w:rPr>
      </w:pPr>
      <w:bookmarkStart w:id="0" w:name="_gjdgxs" w:colFirst="0" w:colLast="0"/>
      <w:bookmarkEnd w:id="0"/>
      <w:r>
        <w:rPr>
          <w:b/>
          <w:color w:val="000000"/>
          <w:sz w:val="28"/>
          <w:szCs w:val="28"/>
        </w:rPr>
        <w:lastRenderedPageBreak/>
        <w:t xml:space="preserve">Introduction </w:t>
      </w:r>
    </w:p>
    <w:p w14:paraId="6660F5A8" w14:textId="77777777" w:rsidR="00CD68D1" w:rsidRDefault="00000000">
      <w:pPr>
        <w:spacing w:line="360" w:lineRule="auto"/>
        <w:jc w:val="both"/>
        <w:rPr>
          <w:color w:val="000000"/>
        </w:rPr>
      </w:pPr>
      <w:r>
        <w:rPr>
          <w:color w:val="000000"/>
        </w:rPr>
        <w:t>In the business industry, it is vital to understand the current trends and develop many competitive strategies to strengthen the position of a business organisation. A business organisation must comply with many strategies to perform better in the industry (</w:t>
      </w:r>
      <w:r>
        <w:rPr>
          <w:color w:val="000000"/>
          <w:highlight w:val="white"/>
        </w:rPr>
        <w:t>Aguirre Plasencia, 2019</w:t>
      </w:r>
      <w:r>
        <w:rPr>
          <w:color w:val="000000"/>
        </w:rPr>
        <w:t>). To understand the strategy</w:t>
      </w:r>
      <w:r>
        <w:t>,</w:t>
      </w:r>
      <w:r>
        <w:rPr>
          <w:color w:val="000000"/>
        </w:rPr>
        <w:t xml:space="preserve"> an organisation should analyse the segmentation, targeting</w:t>
      </w:r>
      <w:r>
        <w:t>,</w:t>
      </w:r>
      <w:r>
        <w:rPr>
          <w:color w:val="000000"/>
        </w:rPr>
        <w:t xml:space="preserve"> and Positioning to achieve a beneficial business environment. Morrison is the biggest retailer and chain of supermarkets in the UK. It operates more than 450 stores in the UK and is also a part of the stock exchange of the FTSE 100 index. For this company, marketing is all about providing good quality and service that can maximize the company's profit. For this purpose, the company also adopted a marketing mix to flourish its business. This company </w:t>
      </w:r>
      <w:r>
        <w:t>uses</w:t>
      </w:r>
      <w:r>
        <w:rPr>
          <w:color w:val="000000"/>
        </w:rPr>
        <w:t xml:space="preserve"> the 4Ps marketing mix to gain a competitive strategy in the business industry. The report aims to describe the STP analysis of Morrison and the marketing mix in its strategy. </w:t>
      </w:r>
    </w:p>
    <w:p w14:paraId="30BD10DD" w14:textId="77777777" w:rsidR="00CD68D1" w:rsidRDefault="00000000">
      <w:pPr>
        <w:keepNext/>
        <w:keepLines/>
        <w:pBdr>
          <w:top w:val="nil"/>
          <w:left w:val="nil"/>
          <w:bottom w:val="nil"/>
          <w:right w:val="nil"/>
          <w:between w:val="nil"/>
        </w:pBdr>
        <w:spacing w:before="400" w:after="120" w:line="360" w:lineRule="auto"/>
        <w:jc w:val="both"/>
        <w:rPr>
          <w:b/>
          <w:color w:val="000000"/>
          <w:sz w:val="28"/>
          <w:szCs w:val="28"/>
        </w:rPr>
      </w:pPr>
      <w:bookmarkStart w:id="1" w:name="_30j0zll" w:colFirst="0" w:colLast="0"/>
      <w:bookmarkEnd w:id="1"/>
      <w:r>
        <w:rPr>
          <w:b/>
          <w:color w:val="000000"/>
          <w:sz w:val="28"/>
          <w:szCs w:val="28"/>
        </w:rPr>
        <w:t xml:space="preserve">Discussion </w:t>
      </w:r>
    </w:p>
    <w:p w14:paraId="603CB82A" w14:textId="77777777" w:rsidR="00CD68D1" w:rsidRDefault="00000000">
      <w:pPr>
        <w:keepNext/>
        <w:keepLines/>
        <w:pBdr>
          <w:top w:val="nil"/>
          <w:left w:val="nil"/>
          <w:bottom w:val="nil"/>
          <w:right w:val="nil"/>
          <w:between w:val="nil"/>
        </w:pBdr>
        <w:spacing w:before="360" w:after="120" w:line="360" w:lineRule="auto"/>
        <w:jc w:val="both"/>
        <w:rPr>
          <w:b/>
          <w:color w:val="000000"/>
          <w:sz w:val="24"/>
          <w:szCs w:val="24"/>
        </w:rPr>
      </w:pPr>
      <w:bookmarkStart w:id="2" w:name="_1fob9te" w:colFirst="0" w:colLast="0"/>
      <w:bookmarkEnd w:id="2"/>
      <w:r>
        <w:rPr>
          <w:b/>
          <w:color w:val="000000"/>
          <w:sz w:val="24"/>
          <w:szCs w:val="24"/>
        </w:rPr>
        <w:t>Usage of STP Analysis to achieve Competitive Advantage</w:t>
      </w:r>
    </w:p>
    <w:p w14:paraId="147200D9" w14:textId="77777777" w:rsidR="00CD68D1" w:rsidRDefault="00000000">
      <w:pPr>
        <w:spacing w:line="360" w:lineRule="auto"/>
        <w:jc w:val="both"/>
        <w:rPr>
          <w:color w:val="000000"/>
        </w:rPr>
      </w:pPr>
      <w:r>
        <w:rPr>
          <w:b/>
          <w:color w:val="000000"/>
        </w:rPr>
        <w:t>Segment</w:t>
      </w:r>
      <w:r>
        <w:rPr>
          <w:b/>
        </w:rPr>
        <w:t>ation</w:t>
      </w:r>
      <w:r>
        <w:rPr>
          <w:b/>
          <w:color w:val="000000"/>
        </w:rPr>
        <w:t>:</w:t>
      </w:r>
      <w:r>
        <w:rPr>
          <w:b/>
        </w:rPr>
        <w:t xml:space="preserve"> </w:t>
      </w:r>
      <w:r>
        <w:rPr>
          <w:color w:val="000000"/>
        </w:rPr>
        <w:t>The segmentation of Morrison includes psychographic, behavioural</w:t>
      </w:r>
      <w:r>
        <w:t>,</w:t>
      </w:r>
      <w:r>
        <w:rPr>
          <w:color w:val="000000"/>
        </w:rPr>
        <w:t xml:space="preserve"> and demographic segmentation. </w:t>
      </w:r>
    </w:p>
    <w:p w14:paraId="74973349" w14:textId="77777777" w:rsidR="00CD68D1" w:rsidRDefault="00000000">
      <w:pPr>
        <w:spacing w:line="360" w:lineRule="auto"/>
        <w:jc w:val="both"/>
      </w:pPr>
      <w:r>
        <w:rPr>
          <w:b/>
          <w:color w:val="000000"/>
        </w:rPr>
        <w:t>Demographic segmentation</w:t>
      </w:r>
      <w:r>
        <w:rPr>
          <w:color w:val="000000"/>
        </w:rPr>
        <w:t xml:space="preserve"> is focused on the location and the distribution of markets in different geographical regions. Morrison is one of the strong Supermarket holders in the UK market.  However, it captured a great share in the UK market. In this regard, it can be said that the company focuses more on establishing their shops in new places or regions to reach more people.</w:t>
      </w:r>
    </w:p>
    <w:p w14:paraId="67976909" w14:textId="77777777" w:rsidR="00CD68D1" w:rsidRDefault="00000000">
      <w:pPr>
        <w:spacing w:line="360" w:lineRule="auto"/>
        <w:jc w:val="both"/>
        <w:rPr>
          <w:color w:val="000000"/>
        </w:rPr>
      </w:pPr>
      <w:r>
        <w:rPr>
          <w:color w:val="000000"/>
        </w:rPr>
        <w:t>By opening new ventures</w:t>
      </w:r>
      <w:r>
        <w:t>,</w:t>
      </w:r>
      <w:r>
        <w:rPr>
          <w:color w:val="000000"/>
        </w:rPr>
        <w:t xml:space="preserve"> Morrison will be able to maximize its value through its high-quality product and service.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805"/>
        <w:gridCol w:w="1806"/>
        <w:gridCol w:w="1806"/>
        <w:gridCol w:w="1806"/>
        <w:gridCol w:w="1806"/>
      </w:tblGrid>
      <w:tr w:rsidR="00CD68D1" w14:paraId="083EDA08" w14:textId="77777777">
        <w:tc>
          <w:tcPr>
            <w:tcW w:w="18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A55F4D" w14:textId="77777777" w:rsidR="00CD68D1" w:rsidRDefault="00000000">
            <w:pPr>
              <w:widowControl w:val="0"/>
              <w:pBdr>
                <w:top w:val="nil"/>
                <w:left w:val="nil"/>
                <w:bottom w:val="nil"/>
                <w:right w:val="nil"/>
                <w:between w:val="nil"/>
              </w:pBdr>
              <w:spacing w:line="360" w:lineRule="auto"/>
              <w:jc w:val="both"/>
              <w:rPr>
                <w:b/>
                <w:color w:val="000000"/>
              </w:rPr>
            </w:pPr>
            <w:r>
              <w:rPr>
                <w:b/>
                <w:color w:val="000000"/>
              </w:rPr>
              <w:t>Age</w:t>
            </w:r>
          </w:p>
        </w:tc>
        <w:tc>
          <w:tcPr>
            <w:tcW w:w="180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145EF6F" w14:textId="77777777" w:rsidR="00CD68D1" w:rsidRDefault="00000000">
            <w:pPr>
              <w:widowControl w:val="0"/>
              <w:pBdr>
                <w:top w:val="nil"/>
                <w:left w:val="nil"/>
                <w:bottom w:val="nil"/>
                <w:right w:val="nil"/>
                <w:between w:val="nil"/>
              </w:pBdr>
              <w:spacing w:line="360" w:lineRule="auto"/>
              <w:jc w:val="both"/>
              <w:rPr>
                <w:b/>
                <w:color w:val="000000"/>
              </w:rPr>
            </w:pPr>
            <w:r>
              <w:rPr>
                <w:b/>
                <w:color w:val="000000"/>
              </w:rPr>
              <w:t>Family Size</w:t>
            </w:r>
          </w:p>
        </w:tc>
        <w:tc>
          <w:tcPr>
            <w:tcW w:w="180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FF1C5C" w14:textId="77777777" w:rsidR="00CD68D1" w:rsidRDefault="00000000">
            <w:pPr>
              <w:widowControl w:val="0"/>
              <w:pBdr>
                <w:top w:val="nil"/>
                <w:left w:val="nil"/>
                <w:bottom w:val="nil"/>
                <w:right w:val="nil"/>
                <w:between w:val="nil"/>
              </w:pBdr>
              <w:spacing w:line="360" w:lineRule="auto"/>
              <w:jc w:val="both"/>
              <w:rPr>
                <w:b/>
                <w:color w:val="000000"/>
              </w:rPr>
            </w:pPr>
            <w:r>
              <w:rPr>
                <w:b/>
                <w:color w:val="000000"/>
              </w:rPr>
              <w:t>Education</w:t>
            </w:r>
          </w:p>
        </w:tc>
        <w:tc>
          <w:tcPr>
            <w:tcW w:w="180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EFE79D" w14:textId="77777777" w:rsidR="00CD68D1" w:rsidRDefault="00000000">
            <w:pPr>
              <w:widowControl w:val="0"/>
              <w:pBdr>
                <w:top w:val="nil"/>
                <w:left w:val="nil"/>
                <w:bottom w:val="nil"/>
                <w:right w:val="nil"/>
                <w:between w:val="nil"/>
              </w:pBdr>
              <w:spacing w:line="360" w:lineRule="auto"/>
              <w:jc w:val="both"/>
              <w:rPr>
                <w:b/>
                <w:color w:val="000000"/>
              </w:rPr>
            </w:pPr>
            <w:r>
              <w:rPr>
                <w:b/>
                <w:color w:val="000000"/>
              </w:rPr>
              <w:t>Occupation</w:t>
            </w:r>
          </w:p>
        </w:tc>
        <w:tc>
          <w:tcPr>
            <w:tcW w:w="180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955084" w14:textId="77777777" w:rsidR="00CD68D1" w:rsidRDefault="00000000">
            <w:pPr>
              <w:widowControl w:val="0"/>
              <w:pBdr>
                <w:top w:val="nil"/>
                <w:left w:val="nil"/>
                <w:bottom w:val="nil"/>
                <w:right w:val="nil"/>
                <w:between w:val="nil"/>
              </w:pBdr>
              <w:spacing w:line="360" w:lineRule="auto"/>
              <w:jc w:val="both"/>
              <w:rPr>
                <w:b/>
                <w:color w:val="000000"/>
              </w:rPr>
            </w:pPr>
            <w:r>
              <w:rPr>
                <w:b/>
                <w:color w:val="000000"/>
              </w:rPr>
              <w:t>Income</w:t>
            </w:r>
          </w:p>
        </w:tc>
      </w:tr>
      <w:tr w:rsidR="00CD68D1" w14:paraId="4203C829" w14:textId="77777777">
        <w:tc>
          <w:tcPr>
            <w:tcW w:w="1805" w:type="dxa"/>
            <w:shd w:val="clear" w:color="auto" w:fill="auto"/>
            <w:tcMar>
              <w:top w:w="100" w:type="dxa"/>
              <w:left w:w="100" w:type="dxa"/>
              <w:bottom w:w="100" w:type="dxa"/>
              <w:right w:w="100" w:type="dxa"/>
            </w:tcMar>
          </w:tcPr>
          <w:p w14:paraId="6E3F24F8" w14:textId="77777777" w:rsidR="00CD68D1" w:rsidRDefault="00000000">
            <w:pPr>
              <w:widowControl w:val="0"/>
              <w:pBdr>
                <w:top w:val="nil"/>
                <w:left w:val="nil"/>
                <w:bottom w:val="nil"/>
                <w:right w:val="nil"/>
                <w:between w:val="nil"/>
              </w:pBdr>
              <w:spacing w:line="360" w:lineRule="auto"/>
              <w:jc w:val="both"/>
              <w:rPr>
                <w:color w:val="000000"/>
              </w:rPr>
            </w:pPr>
            <w:r>
              <w:rPr>
                <w:color w:val="000000"/>
              </w:rPr>
              <w:t>20-50 years old.</w:t>
            </w:r>
          </w:p>
        </w:tc>
        <w:tc>
          <w:tcPr>
            <w:tcW w:w="1806" w:type="dxa"/>
            <w:shd w:val="clear" w:color="auto" w:fill="auto"/>
            <w:tcMar>
              <w:top w:w="100" w:type="dxa"/>
              <w:left w:w="100" w:type="dxa"/>
              <w:bottom w:w="100" w:type="dxa"/>
              <w:right w:w="100" w:type="dxa"/>
            </w:tcMar>
          </w:tcPr>
          <w:p w14:paraId="077A238D" w14:textId="77777777" w:rsidR="00CD68D1" w:rsidRDefault="00000000">
            <w:pPr>
              <w:widowControl w:val="0"/>
              <w:pBdr>
                <w:top w:val="nil"/>
                <w:left w:val="nil"/>
                <w:bottom w:val="nil"/>
                <w:right w:val="nil"/>
                <w:between w:val="nil"/>
              </w:pBdr>
              <w:spacing w:line="360" w:lineRule="auto"/>
              <w:jc w:val="both"/>
              <w:rPr>
                <w:color w:val="000000"/>
              </w:rPr>
            </w:pPr>
            <w:r>
              <w:rPr>
                <w:color w:val="000000"/>
              </w:rPr>
              <w:t>3-6 people.</w:t>
            </w:r>
          </w:p>
        </w:tc>
        <w:tc>
          <w:tcPr>
            <w:tcW w:w="1806" w:type="dxa"/>
            <w:shd w:val="clear" w:color="auto" w:fill="auto"/>
            <w:tcMar>
              <w:top w:w="100" w:type="dxa"/>
              <w:left w:w="100" w:type="dxa"/>
              <w:bottom w:w="100" w:type="dxa"/>
              <w:right w:w="100" w:type="dxa"/>
            </w:tcMar>
          </w:tcPr>
          <w:p w14:paraId="73B28999" w14:textId="77777777" w:rsidR="00CD68D1" w:rsidRDefault="00000000">
            <w:pPr>
              <w:widowControl w:val="0"/>
              <w:pBdr>
                <w:top w:val="nil"/>
                <w:left w:val="nil"/>
                <w:bottom w:val="nil"/>
                <w:right w:val="nil"/>
                <w:between w:val="nil"/>
              </w:pBdr>
              <w:spacing w:line="360" w:lineRule="auto"/>
              <w:jc w:val="both"/>
              <w:rPr>
                <w:color w:val="000000"/>
              </w:rPr>
            </w:pPr>
            <w:r>
              <w:rPr>
                <w:color w:val="000000"/>
              </w:rPr>
              <w:t>High School to Graduates.</w:t>
            </w:r>
          </w:p>
        </w:tc>
        <w:tc>
          <w:tcPr>
            <w:tcW w:w="1806" w:type="dxa"/>
            <w:shd w:val="clear" w:color="auto" w:fill="auto"/>
            <w:tcMar>
              <w:top w:w="100" w:type="dxa"/>
              <w:left w:w="100" w:type="dxa"/>
              <w:bottom w:w="100" w:type="dxa"/>
              <w:right w:w="100" w:type="dxa"/>
            </w:tcMar>
          </w:tcPr>
          <w:p w14:paraId="2355A753" w14:textId="77777777" w:rsidR="00CD68D1" w:rsidRDefault="00000000">
            <w:pPr>
              <w:widowControl w:val="0"/>
              <w:pBdr>
                <w:top w:val="nil"/>
                <w:left w:val="nil"/>
                <w:bottom w:val="nil"/>
                <w:right w:val="nil"/>
                <w:between w:val="nil"/>
              </w:pBdr>
              <w:spacing w:line="360" w:lineRule="auto"/>
              <w:jc w:val="both"/>
              <w:rPr>
                <w:color w:val="000000"/>
              </w:rPr>
            </w:pPr>
            <w:r>
              <w:rPr>
                <w:color w:val="000000"/>
              </w:rPr>
              <w:t>White</w:t>
            </w:r>
            <w:r>
              <w:t xml:space="preserve"> </w:t>
            </w:r>
            <w:r>
              <w:rPr>
                <w:color w:val="000000"/>
              </w:rPr>
              <w:t>Collar Jobs.</w:t>
            </w:r>
          </w:p>
        </w:tc>
        <w:tc>
          <w:tcPr>
            <w:tcW w:w="1806" w:type="dxa"/>
            <w:shd w:val="clear" w:color="auto" w:fill="auto"/>
            <w:tcMar>
              <w:top w:w="100" w:type="dxa"/>
              <w:left w:w="100" w:type="dxa"/>
              <w:bottom w:w="100" w:type="dxa"/>
              <w:right w:w="100" w:type="dxa"/>
            </w:tcMar>
          </w:tcPr>
          <w:p w14:paraId="2800CEA1" w14:textId="77777777" w:rsidR="00CD68D1" w:rsidRDefault="00000000">
            <w:pPr>
              <w:widowControl w:val="0"/>
              <w:pBdr>
                <w:top w:val="nil"/>
                <w:left w:val="nil"/>
                <w:bottom w:val="nil"/>
                <w:right w:val="nil"/>
                <w:between w:val="nil"/>
              </w:pBdr>
              <w:spacing w:line="360" w:lineRule="auto"/>
              <w:jc w:val="both"/>
              <w:rPr>
                <w:color w:val="000000"/>
              </w:rPr>
            </w:pPr>
            <w:r>
              <w:rPr>
                <w:color w:val="000000"/>
              </w:rPr>
              <w:t xml:space="preserve">20,000 </w:t>
            </w:r>
            <w:r>
              <w:rPr>
                <w:color w:val="000000"/>
                <w:highlight w:val="white"/>
              </w:rPr>
              <w:t>Pounds</w:t>
            </w:r>
            <w:r>
              <w:rPr>
                <w:color w:val="000000"/>
              </w:rPr>
              <w:t xml:space="preserve">- 50,000 </w:t>
            </w:r>
            <w:r>
              <w:rPr>
                <w:color w:val="000000"/>
                <w:highlight w:val="white"/>
              </w:rPr>
              <w:t>Pounds.</w:t>
            </w:r>
          </w:p>
        </w:tc>
      </w:tr>
    </w:tbl>
    <w:p w14:paraId="2622A649" w14:textId="77777777" w:rsidR="00CD68D1" w:rsidRDefault="00000000">
      <w:pPr>
        <w:spacing w:line="360" w:lineRule="auto"/>
        <w:jc w:val="both"/>
        <w:rPr>
          <w:color w:val="000000"/>
        </w:rPr>
      </w:pPr>
      <w:r>
        <w:rPr>
          <w:b/>
          <w:color w:val="000000"/>
        </w:rPr>
        <w:t>Behavioural segmentation</w:t>
      </w:r>
      <w:r>
        <w:rPr>
          <w:color w:val="000000"/>
        </w:rPr>
        <w:t xml:space="preserve"> focuses on the behaviour and attitude of the consumers toward the brand.  It can also explore the nature of the customers. The company identified the nature of the customers based on the information collected from the database and the survey. The company also addresses that </w:t>
      </w:r>
      <w:proofErr w:type="gramStart"/>
      <w:r>
        <w:rPr>
          <w:color w:val="000000"/>
        </w:rPr>
        <w:t>the majority of</w:t>
      </w:r>
      <w:proofErr w:type="gramEnd"/>
      <w:r>
        <w:rPr>
          <w:color w:val="000000"/>
        </w:rPr>
        <w:t xml:space="preserve"> the customers prefer fine, healthy</w:t>
      </w:r>
      <w:r>
        <w:t>,</w:t>
      </w:r>
      <w:r>
        <w:rPr>
          <w:color w:val="000000"/>
        </w:rPr>
        <w:t xml:space="preserve"> and traditional </w:t>
      </w:r>
      <w:r>
        <w:rPr>
          <w:color w:val="000000"/>
        </w:rPr>
        <w:lastRenderedPageBreak/>
        <w:t>foods. By understanding the needs of the customers</w:t>
      </w:r>
      <w:r>
        <w:t>,</w:t>
      </w:r>
      <w:r>
        <w:rPr>
          <w:color w:val="000000"/>
        </w:rPr>
        <w:t xml:space="preserve"> Morrison was able to formulate new varieties of products according to their feedback. </w:t>
      </w:r>
    </w:p>
    <w:p w14:paraId="1A520CBF" w14:textId="77777777" w:rsidR="00CD68D1" w:rsidRDefault="00000000">
      <w:pPr>
        <w:spacing w:line="360" w:lineRule="auto"/>
        <w:jc w:val="both"/>
        <w:rPr>
          <w:b/>
          <w:color w:val="000000"/>
        </w:rPr>
      </w:pPr>
      <w:r>
        <w:rPr>
          <w:color w:val="000000"/>
        </w:rPr>
        <w:t xml:space="preserve">In </w:t>
      </w:r>
      <w:r>
        <w:rPr>
          <w:b/>
          <w:color w:val="000000"/>
        </w:rPr>
        <w:t>psychological segmentation</w:t>
      </w:r>
      <w:r>
        <w:rPr>
          <w:color w:val="000000"/>
        </w:rPr>
        <w:t>, the company focuses on the primary psychological needs of the customers. It depends on the lifestyle of the customers. As the company can satisfy the customer requirement</w:t>
      </w:r>
      <w:r>
        <w:t>,</w:t>
      </w:r>
      <w:r>
        <w:rPr>
          <w:color w:val="000000"/>
        </w:rPr>
        <w:t xml:space="preserve"> so it also increases its revenue. It makes the consumers of Morrison more associated with the brand. The strategy of Morrison is </w:t>
      </w:r>
      <w:r>
        <w:t xml:space="preserve">a </w:t>
      </w:r>
      <w:r>
        <w:rPr>
          <w:color w:val="000000"/>
        </w:rPr>
        <w:t>cheaper price</w:t>
      </w:r>
      <w:r>
        <w:t>,</w:t>
      </w:r>
      <w:r>
        <w:rPr>
          <w:color w:val="000000"/>
        </w:rPr>
        <w:t xml:space="preserve"> and best service is the main matter that makes the consumer retainable with the company. The company is always aware of the product served that matches the lifestyle of its consumers. In this way, Morrison is also able to satisfy the motives of their customers. In this way, it represents success in psychological segmentation. However, the company also systematically establishes its market to focus on different Geographic areas. This strategy will help Morrison to become a strong leader in the UK market.</w:t>
      </w:r>
    </w:p>
    <w:p w14:paraId="58BFC723" w14:textId="77777777" w:rsidR="00CD68D1" w:rsidRDefault="00000000">
      <w:pPr>
        <w:spacing w:line="360" w:lineRule="auto"/>
        <w:jc w:val="both"/>
        <w:rPr>
          <w:b/>
          <w:color w:val="000000"/>
        </w:rPr>
      </w:pPr>
      <w:r>
        <w:rPr>
          <w:b/>
          <w:color w:val="000000"/>
        </w:rPr>
        <w:t xml:space="preserve">Targeting: </w:t>
      </w:r>
      <w:r>
        <w:rPr>
          <w:color w:val="000000"/>
        </w:rPr>
        <w:t xml:space="preserve">The target customers of Morrison are households. Initially, its main target audience of Morrison is health-conscious consumers.  The company always maintains the quality of the product that helps to maximize their customer. By understanding the </w:t>
      </w:r>
      <w:r>
        <w:t>customer's needs,</w:t>
      </w:r>
      <w:r>
        <w:rPr>
          <w:color w:val="000000"/>
        </w:rPr>
        <w:t xml:space="preserve"> Morrison maintains the value of the variety of choices. The company also adopted many marketing strategies to make their consumers retainable with their company. Focusing on the price prevents the customers from shopping in other supermarkets. Morrison also adopts many strategic ways that help them build a good relationship with their consumers and fulfil all the needs of the consumers. </w:t>
      </w:r>
    </w:p>
    <w:p w14:paraId="50477C0E" w14:textId="77777777" w:rsidR="00CD68D1" w:rsidRDefault="00000000">
      <w:pPr>
        <w:spacing w:line="360" w:lineRule="auto"/>
        <w:jc w:val="both"/>
        <w:rPr>
          <w:color w:val="000000"/>
        </w:rPr>
      </w:pPr>
      <w:r>
        <w:rPr>
          <w:b/>
          <w:color w:val="000000"/>
        </w:rPr>
        <w:t>Positioning:</w:t>
      </w:r>
      <w:r>
        <w:rPr>
          <w:b/>
        </w:rPr>
        <w:t xml:space="preserve"> </w:t>
      </w:r>
      <w:r>
        <w:rPr>
          <w:color w:val="000000"/>
        </w:rPr>
        <w:t>Positioning of a product involves different indicators of the marketing mix. Fresh and quality products is a positioning strategy of Morrison to attract the target audience. Morrison always tries to maintain a low price and provide a quality product. This is the main aim of the company</w:t>
      </w:r>
      <w:r>
        <w:t>,</w:t>
      </w:r>
      <w:r>
        <w:rPr>
          <w:color w:val="000000"/>
        </w:rPr>
        <w:t xml:space="preserve"> which helps to attract potential customers (</w:t>
      </w:r>
      <w:r>
        <w:rPr>
          <w:color w:val="000000"/>
          <w:highlight w:val="white"/>
        </w:rPr>
        <w:t>Bozic, Siebert</w:t>
      </w:r>
      <w:r>
        <w:rPr>
          <w:highlight w:val="white"/>
        </w:rPr>
        <w:t>,</w:t>
      </w:r>
      <w:r>
        <w:rPr>
          <w:color w:val="000000"/>
          <w:highlight w:val="white"/>
        </w:rPr>
        <w:t xml:space="preserve"> and Martin, 2019</w:t>
      </w:r>
      <w:r>
        <w:rPr>
          <w:color w:val="000000"/>
        </w:rPr>
        <w:t>). For this purpose</w:t>
      </w:r>
      <w:r>
        <w:t>,</w:t>
      </w:r>
      <w:r>
        <w:rPr>
          <w:color w:val="000000"/>
        </w:rPr>
        <w:t xml:space="preserve"> functional positioning, symbolic positioning, price positioning</w:t>
      </w:r>
      <w:r>
        <w:t>,</w:t>
      </w:r>
      <w:r>
        <w:rPr>
          <w:color w:val="000000"/>
        </w:rPr>
        <w:t xml:space="preserve"> and multi-segment position are discussed to understand the positioning strategy of Morrison.  Morrison always maintains a new position in strategy to represent the supermarket as a low-price retailer. For this purpose, the company also uses a new statement</w:t>
      </w:r>
      <w:r>
        <w:t>,</w:t>
      </w:r>
      <w:r>
        <w:rPr>
          <w:color w:val="000000"/>
        </w:rPr>
        <w:t xml:space="preserve"> </w:t>
      </w:r>
      <w:proofErr w:type="gramStart"/>
      <w:r>
        <w:rPr>
          <w:color w:val="000000"/>
        </w:rPr>
        <w:t>“ I</w:t>
      </w:r>
      <w:proofErr w:type="gramEnd"/>
      <w:r>
        <w:rPr>
          <w:color w:val="000000"/>
        </w:rPr>
        <w:t xml:space="preserve"> am your new cheaper Morrison''. The company also delivers quality products for the selected segment of the audience. It is more precisely able to attract the attention of customers. By the functional positioning, Morrison can provide a high-quality and fresh product at an affordable cost. In the price positioning strategy, Morrison employs a permanently </w:t>
      </w:r>
      <w:proofErr w:type="gramStart"/>
      <w:r>
        <w:rPr>
          <w:color w:val="000000"/>
        </w:rPr>
        <w:t>low price</w:t>
      </w:r>
      <w:proofErr w:type="gramEnd"/>
      <w:r>
        <w:rPr>
          <w:color w:val="000000"/>
        </w:rPr>
        <w:t xml:space="preserve"> strategy that is a competitive advantage for the company. It helps the customer to continue their shopping from Morrison instead of some other supermarkets. as Morrison is the 4th largest Supermarket chain in the UK</w:t>
      </w:r>
      <w:r>
        <w:t>,</w:t>
      </w:r>
      <w:r>
        <w:rPr>
          <w:color w:val="000000"/>
        </w:rPr>
        <w:t xml:space="preserve"> it also uses a multi-segment positioning strategy.  It can help the company target a different group of customers to maximize their sales </w:t>
      </w:r>
      <w:r>
        <w:t>and</w:t>
      </w:r>
      <w:r>
        <w:rPr>
          <w:color w:val="000000"/>
        </w:rPr>
        <w:t xml:space="preserve"> profit. </w:t>
      </w:r>
    </w:p>
    <w:p w14:paraId="616F05F7" w14:textId="77777777" w:rsidR="00CD68D1" w:rsidRDefault="00000000">
      <w:pPr>
        <w:keepNext/>
        <w:keepLines/>
        <w:pBdr>
          <w:top w:val="nil"/>
          <w:left w:val="nil"/>
          <w:bottom w:val="nil"/>
          <w:right w:val="nil"/>
          <w:between w:val="nil"/>
        </w:pBdr>
        <w:spacing w:before="360" w:after="120" w:line="360" w:lineRule="auto"/>
        <w:jc w:val="both"/>
        <w:rPr>
          <w:b/>
          <w:color w:val="000000"/>
          <w:sz w:val="24"/>
          <w:szCs w:val="24"/>
        </w:rPr>
      </w:pPr>
      <w:bookmarkStart w:id="3" w:name="_3znysh7" w:colFirst="0" w:colLast="0"/>
      <w:bookmarkEnd w:id="3"/>
      <w:r>
        <w:rPr>
          <w:b/>
          <w:color w:val="000000"/>
          <w:sz w:val="24"/>
          <w:szCs w:val="24"/>
        </w:rPr>
        <w:lastRenderedPageBreak/>
        <w:t xml:space="preserve">Role of Marketing Mix in Morrison’s Strategies </w:t>
      </w:r>
    </w:p>
    <w:p w14:paraId="7B44CF9C" w14:textId="77777777" w:rsidR="00CD68D1" w:rsidRDefault="00000000">
      <w:pPr>
        <w:spacing w:line="360" w:lineRule="auto"/>
        <w:jc w:val="both"/>
        <w:rPr>
          <w:color w:val="000000"/>
        </w:rPr>
      </w:pPr>
      <w:r>
        <w:rPr>
          <w:color w:val="000000"/>
        </w:rPr>
        <w:t>The marketing strategy of Morrison covers the 4Ps marketing mix framework. There are many strategies used by Morrison</w:t>
      </w:r>
      <w:r>
        <w:t>,</w:t>
      </w:r>
      <w:r>
        <w:rPr>
          <w:color w:val="000000"/>
        </w:rPr>
        <w:t xml:space="preserve"> like innovation and promotion planning approaches (</w:t>
      </w:r>
      <w:r>
        <w:rPr>
          <w:color w:val="000000"/>
          <w:highlight w:val="white"/>
        </w:rPr>
        <w:t>Aguirre Plasencia, 2019</w:t>
      </w:r>
      <w:r>
        <w:rPr>
          <w:color w:val="000000"/>
        </w:rPr>
        <w:t>). The marketing strategy of Morrison helps to strengthen its position.</w:t>
      </w:r>
    </w:p>
    <w:p w14:paraId="19DD8FAE" w14:textId="77777777" w:rsidR="00CD68D1" w:rsidRDefault="00000000">
      <w:pPr>
        <w:spacing w:line="360" w:lineRule="auto"/>
        <w:jc w:val="both"/>
        <w:rPr>
          <w:color w:val="000000"/>
        </w:rPr>
      </w:pPr>
      <w:r>
        <w:rPr>
          <w:b/>
          <w:color w:val="000000"/>
        </w:rPr>
        <w:t xml:space="preserve">Product Strategy: </w:t>
      </w:r>
      <w:r>
        <w:rPr>
          <w:color w:val="000000"/>
        </w:rPr>
        <w:t xml:space="preserve">Morrison has a large chain of supermarkets that include high-quality and fresh foods. </w:t>
      </w:r>
      <w:r>
        <w:t>Maintaining</w:t>
      </w:r>
      <w:r>
        <w:rPr>
          <w:color w:val="000000"/>
        </w:rPr>
        <w:t xml:space="preserve"> the quality of food is the main success for this company. There are several brands of Morrison</w:t>
      </w:r>
      <w:r>
        <w:t>,</w:t>
      </w:r>
      <w:r>
        <w:rPr>
          <w:color w:val="000000"/>
        </w:rPr>
        <w:t xml:space="preserve"> including M Signature, just for kids</w:t>
      </w:r>
      <w:r>
        <w:t>,</w:t>
      </w:r>
      <w:r>
        <w:rPr>
          <w:color w:val="000000"/>
        </w:rPr>
        <w:t xml:space="preserve"> and many more. As discussed earlier</w:t>
      </w:r>
      <w:r>
        <w:t>,</w:t>
      </w:r>
      <w:r>
        <w:rPr>
          <w:color w:val="000000"/>
        </w:rPr>
        <w:t xml:space="preserve"> the company aims to distribute high-quality and fresh food</w:t>
      </w:r>
      <w:r>
        <w:t>,</w:t>
      </w:r>
      <w:r>
        <w:rPr>
          <w:color w:val="000000"/>
        </w:rPr>
        <w:t xml:space="preserve"> so it is one of the strategies of the company (</w:t>
      </w:r>
      <w:r>
        <w:rPr>
          <w:color w:val="000000"/>
          <w:highlight w:val="white"/>
        </w:rPr>
        <w:t>Mesić et al., 2021</w:t>
      </w:r>
      <w:r>
        <w:rPr>
          <w:color w:val="000000"/>
        </w:rPr>
        <w:t>). In this regard, Morrison has manufacturing production facilities that help to ensure the quality of the product. The company is also aware of the features, appearance</w:t>
      </w:r>
      <w:r>
        <w:t>,</w:t>
      </w:r>
      <w:r>
        <w:rPr>
          <w:color w:val="000000"/>
        </w:rPr>
        <w:t xml:space="preserve"> and packaging of the food products. The shops of Morrison are also able to distribute fresh quality products.</w:t>
      </w:r>
    </w:p>
    <w:p w14:paraId="63DDD15D" w14:textId="77777777" w:rsidR="00CD68D1" w:rsidRDefault="00000000">
      <w:pPr>
        <w:spacing w:line="360" w:lineRule="auto"/>
        <w:jc w:val="both"/>
      </w:pPr>
      <w:r>
        <w:rPr>
          <w:b/>
          <w:color w:val="000000"/>
        </w:rPr>
        <w:t>Pricing Strategy:</w:t>
      </w:r>
      <w:r>
        <w:t xml:space="preserve"> </w:t>
      </w:r>
      <w:r>
        <w:rPr>
          <w:color w:val="000000"/>
        </w:rPr>
        <w:t>This is one of the main strategies maintained by many companies. By following a good pricing strategy</w:t>
      </w:r>
      <w:r>
        <w:t>,</w:t>
      </w:r>
      <w:r>
        <w:rPr>
          <w:color w:val="000000"/>
        </w:rPr>
        <w:t xml:space="preserve"> a business organisation can maximize its profit and gain a sustainable position in the market. Morrison continuously worked on their product quality so that </w:t>
      </w:r>
      <w:r>
        <w:t xml:space="preserve">it </w:t>
      </w:r>
      <w:r>
        <w:rPr>
          <w:color w:val="000000"/>
        </w:rPr>
        <w:t>could be affordable for its customers (</w:t>
      </w:r>
      <w:r>
        <w:rPr>
          <w:color w:val="000000"/>
          <w:highlight w:val="white"/>
        </w:rPr>
        <w:t>Motson, 2021</w:t>
      </w:r>
      <w:r>
        <w:rPr>
          <w:color w:val="000000"/>
        </w:rPr>
        <w:t xml:space="preserve">). The company tries to maintain a low price and better </w:t>
      </w:r>
      <w:r>
        <w:t>product quality</w:t>
      </w:r>
      <w:r>
        <w:rPr>
          <w:color w:val="000000"/>
        </w:rPr>
        <w:t>. The company also ensures that prices should not be present to their customers from shopping. The company also uses a premium pricing and promotional pricing strategy. In this way, the company can handle the product quality as well as the pricing. As the biggest largest Supermarket chain in the UK</w:t>
      </w:r>
      <w:r>
        <w:t>,</w:t>
      </w:r>
      <w:r>
        <w:rPr>
          <w:color w:val="000000"/>
        </w:rPr>
        <w:t xml:space="preserve"> Morrison also uses a price comparison tool that has a beneficial impact on the company (</w:t>
      </w:r>
      <w:r>
        <w:rPr>
          <w:color w:val="000000"/>
          <w:highlight w:val="white"/>
        </w:rPr>
        <w:t>Chakraborty, 2018</w:t>
      </w:r>
      <w:r>
        <w:rPr>
          <w:color w:val="000000"/>
        </w:rPr>
        <w:t>).</w:t>
      </w:r>
    </w:p>
    <w:p w14:paraId="4FB5BDBE" w14:textId="77777777" w:rsidR="00CD68D1" w:rsidRDefault="00000000">
      <w:pPr>
        <w:spacing w:line="360" w:lineRule="auto"/>
        <w:jc w:val="both"/>
        <w:rPr>
          <w:color w:val="000000"/>
        </w:rPr>
      </w:pPr>
      <w:r>
        <w:rPr>
          <w:color w:val="000000"/>
        </w:rPr>
        <w:t>Moreover, the company also focuses on the range, quality</w:t>
      </w:r>
      <w:r>
        <w:t>,</w:t>
      </w:r>
      <w:r>
        <w:rPr>
          <w:color w:val="000000"/>
        </w:rPr>
        <w:t xml:space="preserve"> and service provided to their customers that influence them to choose Morrison and the service.</w:t>
      </w:r>
    </w:p>
    <w:p w14:paraId="0A3CFD84" w14:textId="77777777" w:rsidR="00CD68D1" w:rsidRDefault="00000000">
      <w:pPr>
        <w:spacing w:line="360" w:lineRule="auto"/>
        <w:jc w:val="both"/>
      </w:pPr>
      <w:r>
        <w:rPr>
          <w:b/>
          <w:color w:val="000000"/>
        </w:rPr>
        <w:t xml:space="preserve">Place Strategy: </w:t>
      </w:r>
      <w:r>
        <w:rPr>
          <w:color w:val="000000"/>
        </w:rPr>
        <w:t>As earlier said, Morrison is the fourth largest chain of supermarkets in the United Kingdom. The company has many stores across the UK. The company already had 497 supermarkets across England, Wales</w:t>
      </w:r>
      <w:r>
        <w:t>,</w:t>
      </w:r>
      <w:r>
        <w:rPr>
          <w:color w:val="000000"/>
        </w:rPr>
        <w:t xml:space="preserve"> and Scotland. Also, the physical presence of stores is more than 660 in number. Morrison has more than 150 convenience stores with 110000 employees (</w:t>
      </w:r>
      <w:r>
        <w:rPr>
          <w:color w:val="000000"/>
          <w:highlight w:val="white"/>
        </w:rPr>
        <w:t>Lefebvre et al., 2019</w:t>
      </w:r>
      <w:r>
        <w:rPr>
          <w:color w:val="000000"/>
        </w:rPr>
        <w:t>).</w:t>
      </w:r>
    </w:p>
    <w:p w14:paraId="60D65C1C" w14:textId="77777777" w:rsidR="00CD68D1" w:rsidRDefault="00000000">
      <w:pPr>
        <w:spacing w:line="360" w:lineRule="auto"/>
        <w:jc w:val="both"/>
        <w:rPr>
          <w:color w:val="000000"/>
        </w:rPr>
      </w:pPr>
      <w:r>
        <w:rPr>
          <w:color w:val="000000"/>
        </w:rPr>
        <w:t>The wide Geographic presence of this company is one of the strategies for its success. According to a report</w:t>
      </w:r>
      <w:r>
        <w:t>,</w:t>
      </w:r>
      <w:r>
        <w:rPr>
          <w:color w:val="000000"/>
        </w:rPr>
        <w:t xml:space="preserve"> the company also holds the second position as the fresh food manufacturing company in the UK. Morrison controls a large chain of Fresh Food suppliers through online as well as retail stores. The company has 545 tractors and 1606 trailers that can also help to increase the efficiency of the company. </w:t>
      </w:r>
    </w:p>
    <w:p w14:paraId="1A988FFE" w14:textId="77777777" w:rsidR="00CD68D1" w:rsidRDefault="00000000">
      <w:pPr>
        <w:spacing w:line="360" w:lineRule="auto"/>
        <w:jc w:val="both"/>
        <w:rPr>
          <w:color w:val="000000"/>
          <w:sz w:val="24"/>
          <w:szCs w:val="24"/>
        </w:rPr>
      </w:pPr>
      <w:r>
        <w:rPr>
          <w:b/>
          <w:color w:val="000000"/>
        </w:rPr>
        <w:t xml:space="preserve">Promotion Strategy: </w:t>
      </w:r>
      <w:r>
        <w:rPr>
          <w:color w:val="000000"/>
        </w:rPr>
        <w:t xml:space="preserve">Working with the suppliers through the Morrison farming program helps to make a competitive advantage and increase the sustainability of the company. Offering lower prices with good quality food attracts many consumers to the company. The permanent </w:t>
      </w:r>
      <w:r>
        <w:rPr>
          <w:color w:val="000000"/>
        </w:rPr>
        <w:lastRenderedPageBreak/>
        <w:t>process improvement in the quality and the range of the product increases the involvement of consumers in the company (</w:t>
      </w:r>
      <w:r>
        <w:rPr>
          <w:color w:val="000000"/>
          <w:highlight w:val="white"/>
        </w:rPr>
        <w:t>Jones and Comfort, 2018</w:t>
      </w:r>
      <w:r>
        <w:rPr>
          <w:color w:val="000000"/>
        </w:rPr>
        <w:t xml:space="preserve">). The overall activity ultimately boosted revenue of Morrison. The company also offers math and more card schemes to make their shops more pleasant. Offering cheap and good quality products help to make the customers sustainable with this company. It can also promote the brand by </w:t>
      </w:r>
      <w:r>
        <w:t>engaging</w:t>
      </w:r>
      <w:r>
        <w:rPr>
          <w:color w:val="000000"/>
        </w:rPr>
        <w:t xml:space="preserve"> a large audience in the company. Morrison also promotes their brand through TV Advertisements and social platforms. A good mix of social media and print advertising help to attract consumers to this company. Also, they are conducting many campaigns and use beautiful images, logos, and different fonts to increase the focus of the consumers (</w:t>
      </w:r>
      <w:proofErr w:type="spellStart"/>
      <w:r>
        <w:rPr>
          <w:color w:val="000000"/>
          <w:highlight w:val="white"/>
        </w:rPr>
        <w:t>Dattaraju</w:t>
      </w:r>
      <w:proofErr w:type="spellEnd"/>
      <w:r>
        <w:rPr>
          <w:color w:val="000000"/>
          <w:highlight w:val="white"/>
        </w:rPr>
        <w:t>, 2020</w:t>
      </w:r>
      <w:r>
        <w:rPr>
          <w:color w:val="000000"/>
        </w:rPr>
        <w:t>). Making the customers focus on price rather than quality is one of the beneficial strategies adopted by Morrison</w:t>
      </w:r>
      <w:r>
        <w:rPr>
          <w:color w:val="000000"/>
          <w:sz w:val="24"/>
          <w:szCs w:val="24"/>
        </w:rPr>
        <w:t xml:space="preserve">. </w:t>
      </w:r>
    </w:p>
    <w:p w14:paraId="69D8B360" w14:textId="77777777" w:rsidR="00CD68D1" w:rsidRDefault="00000000">
      <w:pPr>
        <w:keepNext/>
        <w:keepLines/>
        <w:pBdr>
          <w:top w:val="nil"/>
          <w:left w:val="nil"/>
          <w:bottom w:val="nil"/>
          <w:right w:val="nil"/>
          <w:between w:val="nil"/>
        </w:pBdr>
        <w:spacing w:before="400" w:after="120" w:line="360" w:lineRule="auto"/>
        <w:jc w:val="both"/>
        <w:rPr>
          <w:b/>
          <w:color w:val="000000"/>
          <w:sz w:val="28"/>
          <w:szCs w:val="28"/>
        </w:rPr>
      </w:pPr>
      <w:bookmarkStart w:id="4" w:name="_2et92p0" w:colFirst="0" w:colLast="0"/>
      <w:bookmarkEnd w:id="4"/>
      <w:r>
        <w:rPr>
          <w:b/>
          <w:color w:val="000000"/>
          <w:sz w:val="28"/>
          <w:szCs w:val="28"/>
        </w:rPr>
        <w:t xml:space="preserve">Conclusion </w:t>
      </w:r>
    </w:p>
    <w:p w14:paraId="39665B3E" w14:textId="77777777" w:rsidR="00CD68D1" w:rsidRDefault="00000000">
      <w:pPr>
        <w:spacing w:line="360" w:lineRule="auto"/>
        <w:jc w:val="both"/>
        <w:rPr>
          <w:color w:val="000000"/>
        </w:rPr>
      </w:pPr>
      <w:r>
        <w:rPr>
          <w:color w:val="000000"/>
        </w:rPr>
        <w:t>Therefore, it can be concluded that Morrison adopted several marketing strategies for the further development of this company. This company aims to make a unique and better product or service for consumers. By the application of the 4Ps marketing strategy, Morrison can maximise its revenue and generate more profit. Some external factors influence the position of the company. The company also complied with many marketing strategies to extend its geographical edge. The company targets households to reach the maximum audience. This company also uses some business strategies to make the brand succeed in the competitive markets. By analysing the strategy</w:t>
      </w:r>
      <w:r>
        <w:t>,</w:t>
      </w:r>
      <w:r>
        <w:rPr>
          <w:color w:val="000000"/>
        </w:rPr>
        <w:t xml:space="preserve"> Morrison was able to understand the marketing, positioning</w:t>
      </w:r>
      <w:r>
        <w:t>,</w:t>
      </w:r>
      <w:r>
        <w:rPr>
          <w:color w:val="000000"/>
        </w:rPr>
        <w:t xml:space="preserve"> and segmentation that are the main pillars of their success. The report also discusses the marketing used by Morrison to develop a competitive strategy in the business industry.</w:t>
      </w:r>
    </w:p>
    <w:p w14:paraId="26C72C8C" w14:textId="77777777" w:rsidR="00CD68D1" w:rsidRDefault="00000000">
      <w:pPr>
        <w:spacing w:line="360" w:lineRule="auto"/>
        <w:jc w:val="both"/>
        <w:rPr>
          <w:color w:val="000000"/>
        </w:rPr>
      </w:pPr>
      <w:r>
        <w:br w:type="page"/>
      </w:r>
    </w:p>
    <w:p w14:paraId="4204B43A" w14:textId="77777777" w:rsidR="00CD68D1" w:rsidRDefault="00000000">
      <w:pPr>
        <w:spacing w:before="400" w:after="120" w:line="240" w:lineRule="auto"/>
        <w:jc w:val="both"/>
        <w:rPr>
          <w:rFonts w:ascii="Times New Roman" w:eastAsia="Times New Roman" w:hAnsi="Times New Roman" w:cs="Times New Roman"/>
          <w:sz w:val="24"/>
          <w:szCs w:val="24"/>
        </w:rPr>
      </w:pPr>
      <w:r>
        <w:rPr>
          <w:b/>
          <w:sz w:val="28"/>
          <w:szCs w:val="28"/>
        </w:rPr>
        <w:lastRenderedPageBreak/>
        <w:t>Reference List </w:t>
      </w:r>
    </w:p>
    <w:p w14:paraId="4982E5D8" w14:textId="77777777" w:rsidR="00CD68D1" w:rsidRDefault="00000000">
      <w:pPr>
        <w:spacing w:line="240" w:lineRule="auto"/>
        <w:jc w:val="both"/>
        <w:rPr>
          <w:rFonts w:ascii="Times New Roman" w:eastAsia="Times New Roman" w:hAnsi="Times New Roman" w:cs="Times New Roman"/>
          <w:sz w:val="24"/>
          <w:szCs w:val="24"/>
        </w:rPr>
      </w:pPr>
      <w:r>
        <w:rPr>
          <w:highlight w:val="white"/>
        </w:rPr>
        <w:t xml:space="preserve">Aguirre Plasencia, G., 2019. The Green Marketing Mix and its influence on organic (green) food consumption: A study from the food retailer perspective. Available at: </w:t>
      </w:r>
      <w:hyperlink r:id="rId6">
        <w:r>
          <w:rPr>
            <w:highlight w:val="white"/>
            <w:u w:val="single"/>
          </w:rPr>
          <w:t>https://www.diva-portal.org/smash/get/diva2:1369841/FULLTEXT01.pdf</w:t>
        </w:r>
      </w:hyperlink>
    </w:p>
    <w:p w14:paraId="3DB861F7" w14:textId="77777777" w:rsidR="00CD68D1" w:rsidRDefault="00000000">
      <w:pPr>
        <w:spacing w:line="240" w:lineRule="auto"/>
        <w:jc w:val="both"/>
        <w:rPr>
          <w:rFonts w:ascii="Times New Roman" w:eastAsia="Times New Roman" w:hAnsi="Times New Roman" w:cs="Times New Roman"/>
          <w:sz w:val="24"/>
          <w:szCs w:val="24"/>
        </w:rPr>
      </w:pPr>
      <w:r>
        <w:rPr>
          <w:highlight w:val="white"/>
        </w:rPr>
        <w:t xml:space="preserve">Bozic, B., Siebert, S. and Martin, G., 2019. A strategic action fields perspective on organizational trust repair. </w:t>
      </w:r>
      <w:r>
        <w:rPr>
          <w:i/>
          <w:highlight w:val="white"/>
        </w:rPr>
        <w:t>European Management Journal</w:t>
      </w:r>
      <w:r>
        <w:rPr>
          <w:highlight w:val="white"/>
        </w:rPr>
        <w:t xml:space="preserve">, </w:t>
      </w:r>
      <w:r>
        <w:rPr>
          <w:i/>
          <w:highlight w:val="white"/>
        </w:rPr>
        <w:t>37</w:t>
      </w:r>
      <w:r>
        <w:rPr>
          <w:highlight w:val="white"/>
        </w:rPr>
        <w:t xml:space="preserve">(1), pp.58-66. Available at: </w:t>
      </w:r>
      <w:hyperlink r:id="rId7">
        <w:r>
          <w:rPr>
            <w:highlight w:val="white"/>
            <w:u w:val="single"/>
          </w:rPr>
          <w:t>https://discovery.dundee.ac.uk/ws/files/21959899/Author_Accepted_Manuscript_5_.pdf</w:t>
        </w:r>
      </w:hyperlink>
    </w:p>
    <w:p w14:paraId="65931A0B" w14:textId="77777777" w:rsidR="00CD68D1" w:rsidRDefault="00000000">
      <w:pPr>
        <w:spacing w:line="240" w:lineRule="auto"/>
        <w:jc w:val="both"/>
        <w:rPr>
          <w:rFonts w:ascii="Times New Roman" w:eastAsia="Times New Roman" w:hAnsi="Times New Roman" w:cs="Times New Roman"/>
          <w:sz w:val="24"/>
          <w:szCs w:val="24"/>
        </w:rPr>
      </w:pPr>
      <w:r>
        <w:rPr>
          <w:highlight w:val="white"/>
        </w:rPr>
        <w:t xml:space="preserve">Chakraborty, R., 2018. Do Retailers Manipulate Prices to Favour Private Label over </w:t>
      </w:r>
      <w:proofErr w:type="gramStart"/>
      <w:r>
        <w:rPr>
          <w:highlight w:val="white"/>
        </w:rPr>
        <w:t>Brands?.</w:t>
      </w:r>
      <w:proofErr w:type="gramEnd"/>
      <w:r>
        <w:rPr>
          <w:highlight w:val="white"/>
        </w:rPr>
        <w:t xml:space="preserve"> </w:t>
      </w:r>
      <w:r>
        <w:rPr>
          <w:i/>
          <w:highlight w:val="white"/>
        </w:rPr>
        <w:t>Available at SSRN 3147151</w:t>
      </w:r>
      <w:r>
        <w:rPr>
          <w:highlight w:val="white"/>
        </w:rPr>
        <w:t xml:space="preserve">. Available at: </w:t>
      </w:r>
      <w:hyperlink r:id="rId8">
        <w:r>
          <w:rPr>
            <w:highlight w:val="white"/>
            <w:u w:val="single"/>
          </w:rPr>
          <w:t>https://ueaeprints.uea.ac.uk/id/eprint/66531/1/Chakraborty_CCP_Working_Paper_18_2_published_16_3_2018.pdf</w:t>
        </w:r>
      </w:hyperlink>
    </w:p>
    <w:p w14:paraId="575B059D" w14:textId="77777777" w:rsidR="00CD68D1" w:rsidRDefault="00000000">
      <w:pPr>
        <w:spacing w:line="240" w:lineRule="auto"/>
        <w:jc w:val="both"/>
        <w:rPr>
          <w:rFonts w:ascii="Times New Roman" w:eastAsia="Times New Roman" w:hAnsi="Times New Roman" w:cs="Times New Roman"/>
          <w:sz w:val="24"/>
          <w:szCs w:val="24"/>
        </w:rPr>
      </w:pPr>
      <w:proofErr w:type="spellStart"/>
      <w:r>
        <w:rPr>
          <w:highlight w:val="white"/>
        </w:rPr>
        <w:t>Dattaraju</w:t>
      </w:r>
      <w:proofErr w:type="spellEnd"/>
      <w:r>
        <w:rPr>
          <w:highlight w:val="white"/>
        </w:rPr>
        <w:t xml:space="preserve">, A., 2020. Human Resources: A case study of must-have HR Policies, Hypothetical cases, Employment Legal </w:t>
      </w:r>
      <w:proofErr w:type="gramStart"/>
      <w:r>
        <w:rPr>
          <w:highlight w:val="white"/>
        </w:rPr>
        <w:t>Cases</w:t>
      </w:r>
      <w:proofErr w:type="gramEnd"/>
      <w:r>
        <w:rPr>
          <w:highlight w:val="white"/>
        </w:rPr>
        <w:t xml:space="preserve"> and their Worst-Case Analysis. </w:t>
      </w:r>
      <w:r>
        <w:rPr>
          <w:i/>
          <w:highlight w:val="white"/>
        </w:rPr>
        <w:t>International Journal of Scientific and Research Publications (IJSRP)</w:t>
      </w:r>
      <w:r>
        <w:rPr>
          <w:highlight w:val="white"/>
        </w:rPr>
        <w:t xml:space="preserve">, </w:t>
      </w:r>
      <w:r>
        <w:rPr>
          <w:i/>
          <w:highlight w:val="white"/>
        </w:rPr>
        <w:t>10</w:t>
      </w:r>
      <w:r>
        <w:rPr>
          <w:highlight w:val="white"/>
        </w:rPr>
        <w:t xml:space="preserve">(06). Available at: </w:t>
      </w:r>
      <w:hyperlink r:id="rId9">
        <w:r>
          <w:rPr>
            <w:color w:val="1155CC"/>
            <w:highlight w:val="white"/>
            <w:u w:val="single"/>
          </w:rPr>
          <w:t>https://www.researchgate.net/publication/342839628_Human_Resources_A_case_study_of_must-have_HR_Policies_Hypothetical_cases_Employment_Legal_Cases_and_their_Worst-Case_Analysis</w:t>
        </w:r>
      </w:hyperlink>
      <w:r>
        <w:rPr>
          <w:highlight w:val="white"/>
        </w:rPr>
        <w:t> </w:t>
      </w:r>
    </w:p>
    <w:p w14:paraId="59F34E45" w14:textId="77777777" w:rsidR="00CD68D1" w:rsidRDefault="00000000">
      <w:pPr>
        <w:spacing w:line="240" w:lineRule="auto"/>
        <w:jc w:val="both"/>
        <w:rPr>
          <w:rFonts w:ascii="Times New Roman" w:eastAsia="Times New Roman" w:hAnsi="Times New Roman" w:cs="Times New Roman"/>
          <w:sz w:val="24"/>
          <w:szCs w:val="24"/>
        </w:rPr>
      </w:pPr>
      <w:r>
        <w:rPr>
          <w:highlight w:val="white"/>
        </w:rPr>
        <w:t xml:space="preserve">Jones, P. and Comfort, D., 2018. Storytelling and corporate social responsibility reporting: A case study of leading UK retailers. </w:t>
      </w:r>
      <w:r>
        <w:rPr>
          <w:i/>
          <w:highlight w:val="white"/>
        </w:rPr>
        <w:t>European Journal of Sustainable Development Research</w:t>
      </w:r>
      <w:r>
        <w:rPr>
          <w:highlight w:val="white"/>
        </w:rPr>
        <w:t xml:space="preserve">, </w:t>
      </w:r>
      <w:r>
        <w:rPr>
          <w:i/>
          <w:highlight w:val="white"/>
        </w:rPr>
        <w:t>2</w:t>
      </w:r>
      <w:r>
        <w:rPr>
          <w:highlight w:val="white"/>
        </w:rPr>
        <w:t xml:space="preserve">(4), pp.1-11. Available at: </w:t>
      </w:r>
      <w:hyperlink r:id="rId10">
        <w:r>
          <w:rPr>
            <w:highlight w:val="white"/>
            <w:u w:val="single"/>
          </w:rPr>
          <w:t>https://eprints.glos.ac.uk/6019/1/6019%20Jones%20Storytelling%20and%20Corporate%20Social%20Responsibility%20Reporting.pdf</w:t>
        </w:r>
      </w:hyperlink>
    </w:p>
    <w:p w14:paraId="660E9F08" w14:textId="77777777" w:rsidR="00CD68D1" w:rsidRDefault="00000000">
      <w:pPr>
        <w:spacing w:line="240" w:lineRule="auto"/>
        <w:jc w:val="both"/>
        <w:rPr>
          <w:rFonts w:ascii="Times New Roman" w:eastAsia="Times New Roman" w:hAnsi="Times New Roman" w:cs="Times New Roman"/>
          <w:sz w:val="24"/>
          <w:szCs w:val="24"/>
        </w:rPr>
      </w:pPr>
      <w:r>
        <w:rPr>
          <w:highlight w:val="white"/>
        </w:rPr>
        <w:t xml:space="preserve">Lefebvre, P., Monheit, J., Ventrone, M. and PLC, C.H., 2019, February. GDPR: Nine Months Later–The Impact in the EU on Enforcement and Compliance and in the US on Discovery. IADC (2019 Midyear Meeting), The Ritz-Carlton </w:t>
      </w:r>
      <w:proofErr w:type="spellStart"/>
      <w:r>
        <w:rPr>
          <w:highlight w:val="white"/>
        </w:rPr>
        <w:t>Bacara</w:t>
      </w:r>
      <w:proofErr w:type="spellEnd"/>
      <w:r>
        <w:rPr>
          <w:highlight w:val="white"/>
        </w:rPr>
        <w:t xml:space="preserve">, Santa Barbara, California, USA. Available at: </w:t>
      </w:r>
      <w:hyperlink r:id="rId11">
        <w:r>
          <w:rPr>
            <w:highlight w:val="white"/>
            <w:u w:val="single"/>
          </w:rPr>
          <w:t>https://www.iadclaw.org/assets/1/7/9.1_-_Ventrone-_REVIEWED-_GDPR_Nine_Months_Later_Has_ETHICS-_Midyear.pdf</w:t>
        </w:r>
      </w:hyperlink>
    </w:p>
    <w:p w14:paraId="59F7DA4F" w14:textId="77777777" w:rsidR="00CD68D1" w:rsidRDefault="00000000">
      <w:pPr>
        <w:spacing w:line="240" w:lineRule="auto"/>
        <w:jc w:val="both"/>
        <w:rPr>
          <w:rFonts w:ascii="Times New Roman" w:eastAsia="Times New Roman" w:hAnsi="Times New Roman" w:cs="Times New Roman"/>
          <w:sz w:val="24"/>
          <w:szCs w:val="24"/>
        </w:rPr>
      </w:pPr>
      <w:r>
        <w:rPr>
          <w:highlight w:val="white"/>
        </w:rPr>
        <w:t xml:space="preserve">Mesić, Ž., </w:t>
      </w:r>
      <w:proofErr w:type="spellStart"/>
      <w:r>
        <w:rPr>
          <w:highlight w:val="white"/>
        </w:rPr>
        <w:t>Petljak</w:t>
      </w:r>
      <w:proofErr w:type="spellEnd"/>
      <w:r>
        <w:rPr>
          <w:highlight w:val="white"/>
        </w:rPr>
        <w:t xml:space="preserve">, K., Borović, D. and Tomić, M., 2021. Segmentation of local food consumers based on altruistic motives and perceived purchasing barriers: a Croatian study. </w:t>
      </w:r>
      <w:r>
        <w:rPr>
          <w:i/>
          <w:highlight w:val="white"/>
        </w:rPr>
        <w:t>Economic Research-</w:t>
      </w:r>
      <w:proofErr w:type="spellStart"/>
      <w:r>
        <w:rPr>
          <w:i/>
          <w:highlight w:val="white"/>
        </w:rPr>
        <w:t>Ekonomska</w:t>
      </w:r>
      <w:proofErr w:type="spellEnd"/>
      <w:r>
        <w:rPr>
          <w:i/>
          <w:highlight w:val="white"/>
        </w:rPr>
        <w:t xml:space="preserve"> </w:t>
      </w:r>
      <w:proofErr w:type="spellStart"/>
      <w:r>
        <w:rPr>
          <w:i/>
          <w:highlight w:val="white"/>
        </w:rPr>
        <w:t>Istraživanja</w:t>
      </w:r>
      <w:proofErr w:type="spellEnd"/>
      <w:r>
        <w:rPr>
          <w:highlight w:val="white"/>
        </w:rPr>
        <w:t xml:space="preserve">, </w:t>
      </w:r>
      <w:r>
        <w:rPr>
          <w:i/>
          <w:highlight w:val="white"/>
        </w:rPr>
        <w:t>34</w:t>
      </w:r>
      <w:r>
        <w:rPr>
          <w:highlight w:val="white"/>
        </w:rPr>
        <w:t xml:space="preserve">(1), pp.221-242. Available at: </w:t>
      </w:r>
      <w:hyperlink r:id="rId12">
        <w:r>
          <w:rPr>
            <w:highlight w:val="white"/>
            <w:u w:val="single"/>
          </w:rPr>
          <w:t>https://www.tandfonline.com/doi/pdf/10.1080/1331677X.2020.1782243</w:t>
        </w:r>
      </w:hyperlink>
    </w:p>
    <w:p w14:paraId="147EF1D4" w14:textId="77777777" w:rsidR="00CD68D1" w:rsidRDefault="00000000">
      <w:pPr>
        <w:spacing w:line="240" w:lineRule="auto"/>
        <w:rPr>
          <w:color w:val="0E101A"/>
        </w:rPr>
      </w:pPr>
      <w:r>
        <w:rPr>
          <w:highlight w:val="white"/>
        </w:rPr>
        <w:t xml:space="preserve">Motson, F., 2021. Impractical Jokers: Employers' Liability </w:t>
      </w:r>
      <w:proofErr w:type="spellStart"/>
      <w:r>
        <w:rPr>
          <w:highlight w:val="white"/>
        </w:rPr>
        <w:t>for'Horseplay</w:t>
      </w:r>
      <w:proofErr w:type="spellEnd"/>
      <w:r>
        <w:rPr>
          <w:highlight w:val="white"/>
        </w:rPr>
        <w:t xml:space="preserve">'. </w:t>
      </w:r>
      <w:r>
        <w:rPr>
          <w:i/>
          <w:highlight w:val="white"/>
        </w:rPr>
        <w:t>Professional Negligence</w:t>
      </w:r>
      <w:r>
        <w:rPr>
          <w:highlight w:val="white"/>
        </w:rPr>
        <w:t xml:space="preserve">, </w:t>
      </w:r>
      <w:r>
        <w:rPr>
          <w:i/>
          <w:highlight w:val="white"/>
        </w:rPr>
        <w:t>37</w:t>
      </w:r>
      <w:r>
        <w:rPr>
          <w:highlight w:val="white"/>
        </w:rPr>
        <w:t xml:space="preserve">(2), pp.73-84. Available at: </w:t>
      </w:r>
      <w:hyperlink r:id="rId13">
        <w:r>
          <w:rPr>
            <w:highlight w:val="white"/>
            <w:u w:val="single"/>
          </w:rPr>
          <w:t>http://oro.open.ac.uk/78190/3/78190AAM.pdf</w:t>
        </w:r>
      </w:hyperlink>
      <w:r>
        <w:rPr>
          <w:color w:val="0E101A"/>
        </w:rPr>
        <w:t xml:space="preserve"> </w:t>
      </w:r>
    </w:p>
    <w:p w14:paraId="650FFF6C" w14:textId="77777777" w:rsidR="00CD68D1" w:rsidRDefault="00CD68D1">
      <w:pPr>
        <w:spacing w:line="360" w:lineRule="auto"/>
        <w:jc w:val="both"/>
        <w:rPr>
          <w:b/>
          <w:sz w:val="28"/>
          <w:szCs w:val="28"/>
        </w:rPr>
      </w:pPr>
    </w:p>
    <w:sectPr w:rsidR="00CD68D1">
      <w:footerReference w:type="default" r:id="rId14"/>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3FD3A" w14:textId="77777777" w:rsidR="00234117" w:rsidRDefault="00234117">
      <w:pPr>
        <w:spacing w:line="240" w:lineRule="auto"/>
      </w:pPr>
      <w:r>
        <w:separator/>
      </w:r>
    </w:p>
  </w:endnote>
  <w:endnote w:type="continuationSeparator" w:id="0">
    <w:p w14:paraId="05A46FB8" w14:textId="77777777" w:rsidR="00234117" w:rsidRDefault="002341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498FE" w14:textId="77777777" w:rsidR="00CD68D1"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5608FE">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5608FE">
      <w:rPr>
        <w:b/>
        <w:noProof/>
        <w:color w:val="000000"/>
      </w:rPr>
      <w:t>3</w:t>
    </w:r>
    <w:r>
      <w:rPr>
        <w:b/>
        <w:color w:val="000000"/>
      </w:rPr>
      <w:fldChar w:fldCharType="end"/>
    </w:r>
  </w:p>
  <w:p w14:paraId="316DF874" w14:textId="77777777" w:rsidR="00CD68D1" w:rsidRDefault="00CD68D1">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7C690" w14:textId="77777777" w:rsidR="00234117" w:rsidRDefault="00234117">
      <w:pPr>
        <w:spacing w:line="240" w:lineRule="auto"/>
      </w:pPr>
      <w:r>
        <w:separator/>
      </w:r>
    </w:p>
  </w:footnote>
  <w:footnote w:type="continuationSeparator" w:id="0">
    <w:p w14:paraId="78294379" w14:textId="77777777" w:rsidR="00234117" w:rsidRDefault="0023411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8D1"/>
    <w:rsid w:val="00234117"/>
    <w:rsid w:val="005608FE"/>
    <w:rsid w:val="00CD6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41236"/>
  <w15:docId w15:val="{77B714B4-00CF-4F91-B416-EB9726DEF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00" w:after="120" w:line="360" w:lineRule="auto"/>
      <w:jc w:val="both"/>
      <w:outlineLvl w:val="0"/>
    </w:pPr>
    <w:rPr>
      <w:b/>
      <w:color w:val="000000"/>
      <w:sz w:val="28"/>
      <w:szCs w:val="2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360" w:after="120" w:line="360" w:lineRule="auto"/>
      <w:jc w:val="both"/>
      <w:outlineLvl w:val="1"/>
    </w:pPr>
    <w:rPr>
      <w:b/>
      <w:color w:val="000000"/>
      <w:sz w:val="24"/>
      <w:szCs w:val="24"/>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ueaeprints.uea.ac.uk/id/eprint/66531/1/Chakraborty_CCP_Working_Paper_18_2_published_16_3_2018.pdf" TargetMode="External"/><Relationship Id="rId13" Type="http://schemas.openxmlformats.org/officeDocument/2006/relationships/hyperlink" Target="http://oro.open.ac.uk/78190/3/78190AAM.pdf" TargetMode="External"/><Relationship Id="rId3" Type="http://schemas.openxmlformats.org/officeDocument/2006/relationships/webSettings" Target="webSettings.xml"/><Relationship Id="rId7" Type="http://schemas.openxmlformats.org/officeDocument/2006/relationships/hyperlink" Target="https://discovery.dundee.ac.uk/ws/files/21959899/Author_Accepted_Manuscript_5_.pdf" TargetMode="External"/><Relationship Id="rId12" Type="http://schemas.openxmlformats.org/officeDocument/2006/relationships/hyperlink" Target="https://www.tandfonline.com/doi/pdf/10.1080/1331677X.2020.1782243"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diva-portal.org/smash/get/diva2:1369841/FULLTEXT01.pdf" TargetMode="External"/><Relationship Id="rId11" Type="http://schemas.openxmlformats.org/officeDocument/2006/relationships/hyperlink" Target="https://www.iadclaw.org/assets/1/7/9.1_-_Ventrone-_REVIEWED-_GDPR_Nine_Months_Later_Has_ETHICS-_Midyear.pdf"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eprints.glos.ac.uk/6019/1/6019%20Jones%20Storytelling%20and%20Corporate%20Social%20Responsibility%20Reporting.pdf" TargetMode="External"/><Relationship Id="rId4" Type="http://schemas.openxmlformats.org/officeDocument/2006/relationships/footnotes" Target="footnotes.xml"/><Relationship Id="rId9" Type="http://schemas.openxmlformats.org/officeDocument/2006/relationships/hyperlink" Target="https://www.researchgate.net/publication/342839628_Human_Resources_A_case_study_of_must-have_HR_Policies_Hypothetical_cases_Employment_Legal_Cases_and_their_Worst-Case_Analysi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2108</Words>
  <Characters>12021</Characters>
  <Application>Microsoft Office Word</Application>
  <DocSecurity>0</DocSecurity>
  <Lines>100</Lines>
  <Paragraphs>28</Paragraphs>
  <ScaleCrop>false</ScaleCrop>
  <Company/>
  <LinksUpToDate>false</LinksUpToDate>
  <CharactersWithSpaces>14101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Vilaia Cosmin</cp:lastModifiedBy>
  <cp:revision>2</cp:revision>
  <dcterms:created xsi:type="dcterms:W3CDTF">2022-07-08T20:10:00Z</dcterms:created>
  <dcterms:modified xsi:type="dcterms:W3CDTF">2022-07-08T20:10:00Z</dcterms:modified>
</cp:coreProperties>
</file>