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DB033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256AF86A" w:rsidR="00CD33A8" w:rsidRPr="0090390B" w:rsidRDefault="00CD33A8" w:rsidP="00CD33A8">
      <w:pPr>
        <w:tabs>
          <w:tab w:val="left" w:pos="6540"/>
        </w:tabs>
        <w:spacing w:line="360" w:lineRule="auto"/>
        <w:rPr>
          <w:rFonts w:ascii="Arial" w:hAnsi="Arial" w:cs="Arial"/>
          <w:sz w:val="28"/>
          <w:szCs w:val="28"/>
        </w:rPr>
      </w:pPr>
      <w:r w:rsidRPr="0090390B">
        <w:rPr>
          <w:rFonts w:ascii="Arial" w:hAnsi="Arial" w:cs="Arial"/>
          <w:b/>
          <w:bCs/>
          <w:sz w:val="28"/>
          <w:szCs w:val="28"/>
        </w:rPr>
        <w:t>Module name</w:t>
      </w:r>
      <w:r w:rsidRPr="0090390B">
        <w:rPr>
          <w:rFonts w:ascii="Arial" w:hAnsi="Arial" w:cs="Arial"/>
          <w:sz w:val="28"/>
          <w:szCs w:val="28"/>
        </w:rPr>
        <w:t xml:space="preserve">: </w:t>
      </w:r>
      <w:r w:rsidR="00A64E26">
        <w:rPr>
          <w:rFonts w:ascii="Arial" w:hAnsi="Arial" w:cs="Arial"/>
          <w:sz w:val="28"/>
          <w:szCs w:val="28"/>
        </w:rPr>
        <w:t>Introduction to Health and Social Care</w:t>
      </w:r>
    </w:p>
    <w:p w14:paraId="537571AF" w14:textId="3F4FCF68" w:rsidR="00CD33A8" w:rsidRPr="00A64E26" w:rsidRDefault="00CD33A8" w:rsidP="00CD33A8">
      <w:pPr>
        <w:tabs>
          <w:tab w:val="left" w:pos="6540"/>
        </w:tabs>
        <w:spacing w:line="360" w:lineRule="auto"/>
        <w:rPr>
          <w:rFonts w:ascii="Arial" w:hAnsi="Arial" w:cs="Arial"/>
          <w:sz w:val="28"/>
          <w:szCs w:val="28"/>
        </w:rPr>
      </w:pPr>
      <w:r w:rsidRPr="00A64E26">
        <w:rPr>
          <w:rFonts w:ascii="Arial" w:hAnsi="Arial" w:cs="Arial"/>
          <w:b/>
          <w:bCs/>
          <w:sz w:val="28"/>
          <w:szCs w:val="28"/>
        </w:rPr>
        <w:t>Module code</w:t>
      </w:r>
      <w:r w:rsidRPr="00A64E26">
        <w:rPr>
          <w:rFonts w:ascii="Arial" w:hAnsi="Arial" w:cs="Arial"/>
          <w:sz w:val="28"/>
          <w:szCs w:val="28"/>
        </w:rPr>
        <w:t>:</w:t>
      </w:r>
      <w:r w:rsidR="00A64E26">
        <w:rPr>
          <w:rFonts w:ascii="Arial" w:hAnsi="Arial" w:cs="Arial"/>
          <w:sz w:val="28"/>
          <w:szCs w:val="28"/>
        </w:rPr>
        <w:t xml:space="preserve"> LCHS4003</w:t>
      </w:r>
      <w:r w:rsidR="00A01192">
        <w:rPr>
          <w:rFonts w:ascii="Arial" w:hAnsi="Arial" w:cs="Arial"/>
          <w:sz w:val="28"/>
          <w:szCs w:val="28"/>
        </w:rPr>
        <w:t>_</w:t>
      </w:r>
      <w:r w:rsidR="00A64E26">
        <w:rPr>
          <w:rFonts w:ascii="Arial" w:hAnsi="Arial" w:cs="Arial"/>
          <w:sz w:val="28"/>
          <w:szCs w:val="28"/>
        </w:rPr>
        <w:t>LON</w:t>
      </w:r>
    </w:p>
    <w:p w14:paraId="529D7354" w14:textId="77777777" w:rsidR="00CD33A8" w:rsidRPr="00A64E26" w:rsidRDefault="00CD33A8" w:rsidP="00CD33A8">
      <w:pPr>
        <w:tabs>
          <w:tab w:val="left" w:pos="6540"/>
        </w:tabs>
        <w:spacing w:line="360" w:lineRule="auto"/>
        <w:rPr>
          <w:rFonts w:ascii="Arial" w:hAnsi="Arial" w:cs="Arial"/>
          <w:b/>
          <w:bCs/>
          <w:sz w:val="28"/>
          <w:szCs w:val="28"/>
        </w:rPr>
      </w:pPr>
    </w:p>
    <w:p w14:paraId="0A48766D" w14:textId="013A10E5" w:rsidR="00074402" w:rsidRPr="00D74C19" w:rsidRDefault="00074402" w:rsidP="00CD33A8">
      <w:pPr>
        <w:tabs>
          <w:tab w:val="left" w:pos="6540"/>
        </w:tabs>
        <w:spacing w:line="360" w:lineRule="auto"/>
        <w:rPr>
          <w:rFonts w:ascii="Arial" w:hAnsi="Arial" w:cs="Arial"/>
          <w:sz w:val="28"/>
          <w:szCs w:val="28"/>
        </w:rPr>
      </w:pPr>
      <w:r w:rsidRPr="00D74C19">
        <w:rPr>
          <w:rFonts w:ascii="Arial" w:hAnsi="Arial" w:cs="Arial"/>
          <w:b/>
          <w:bCs/>
          <w:sz w:val="28"/>
          <w:szCs w:val="28"/>
        </w:rPr>
        <w:t>Student name</w:t>
      </w:r>
      <w:r w:rsidRPr="00D74C19">
        <w:rPr>
          <w:rFonts w:ascii="Arial" w:hAnsi="Arial" w:cs="Arial"/>
          <w:sz w:val="28"/>
          <w:szCs w:val="28"/>
        </w:rPr>
        <w:t>:</w:t>
      </w:r>
      <w:r w:rsidR="00A64E26" w:rsidRPr="00D74C19">
        <w:rPr>
          <w:rFonts w:ascii="Arial" w:hAnsi="Arial" w:cs="Arial"/>
          <w:sz w:val="28"/>
          <w:szCs w:val="28"/>
        </w:rPr>
        <w:t xml:space="preserve"> Tahamina Akter</w:t>
      </w:r>
    </w:p>
    <w:p w14:paraId="39AA4413" w14:textId="61AD1CB2" w:rsidR="00074402" w:rsidRPr="00D74C19" w:rsidRDefault="00074402" w:rsidP="00CD33A8">
      <w:pPr>
        <w:tabs>
          <w:tab w:val="left" w:pos="6540"/>
        </w:tabs>
        <w:spacing w:line="360" w:lineRule="auto"/>
        <w:rPr>
          <w:rFonts w:ascii="Arial" w:hAnsi="Arial" w:cs="Arial"/>
          <w:sz w:val="28"/>
          <w:szCs w:val="28"/>
        </w:rPr>
      </w:pPr>
      <w:r w:rsidRPr="00D74C19">
        <w:rPr>
          <w:rFonts w:ascii="Arial" w:hAnsi="Arial" w:cs="Arial"/>
          <w:b/>
          <w:bCs/>
          <w:sz w:val="28"/>
          <w:szCs w:val="28"/>
        </w:rPr>
        <w:t>Student ID</w:t>
      </w:r>
      <w:r w:rsidRPr="00D74C19">
        <w:rPr>
          <w:rFonts w:ascii="Arial" w:hAnsi="Arial" w:cs="Arial"/>
          <w:sz w:val="28"/>
          <w:szCs w:val="28"/>
        </w:rPr>
        <w:t>:</w:t>
      </w:r>
      <w:r w:rsidR="00A64E26" w:rsidRPr="00D74C19">
        <w:rPr>
          <w:rFonts w:ascii="Arial" w:hAnsi="Arial" w:cs="Arial"/>
          <w:sz w:val="28"/>
          <w:szCs w:val="28"/>
        </w:rPr>
        <w:t xml:space="preserve"> 2523763</w:t>
      </w:r>
    </w:p>
    <w:p w14:paraId="5E81F6AD" w14:textId="77777777" w:rsidR="00074402" w:rsidRPr="00D74C19" w:rsidRDefault="00074402" w:rsidP="00CD33A8">
      <w:pPr>
        <w:tabs>
          <w:tab w:val="left" w:pos="6540"/>
        </w:tabs>
        <w:spacing w:line="360" w:lineRule="auto"/>
        <w:rPr>
          <w:rFonts w:ascii="Arial" w:hAnsi="Arial" w:cs="Arial"/>
          <w:sz w:val="28"/>
          <w:szCs w:val="28"/>
        </w:rPr>
      </w:pPr>
    </w:p>
    <w:p w14:paraId="1A0B2D2B" w14:textId="0756D514"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A64E26">
        <w:rPr>
          <w:rFonts w:ascii="Arial" w:hAnsi="Arial" w:cs="Arial"/>
          <w:sz w:val="28"/>
          <w:szCs w:val="28"/>
        </w:rPr>
        <w:t xml:space="preserve"> Sam Parker</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28C002A3"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Default="00B87E75" w:rsidP="00E620E7">
      <w:pPr>
        <w:pStyle w:val="Heading1"/>
      </w:pPr>
      <w:bookmarkStart w:id="0" w:name="_Toc236163228"/>
      <w:bookmarkStart w:id="1" w:name="_Toc236603757"/>
      <w:r w:rsidRPr="00CD33A8">
        <w:lastRenderedPageBreak/>
        <w:t>Table of contents</w:t>
      </w:r>
      <w:bookmarkEnd w:id="0"/>
      <w:bookmarkEnd w:id="1"/>
    </w:p>
    <w:sdt>
      <w:sdtPr>
        <w:id w:val="730743133"/>
        <w:docPartObj>
          <w:docPartGallery w:val="Table of Contents"/>
          <w:docPartUnique/>
        </w:docPartObj>
      </w:sdtPr>
      <w:sdtEndPr>
        <w:rPr>
          <w:rFonts w:ascii="Arial" w:hAnsi="Arial" w:cs="Arial"/>
          <w:b/>
          <w:bCs/>
        </w:rPr>
      </w:sdtEndPr>
      <w:sdtContent>
        <w:p w14:paraId="18BD2D51" w14:textId="43142778" w:rsidR="00224A29" w:rsidRPr="00224A29" w:rsidRDefault="00A64E26">
          <w:pPr>
            <w:pStyle w:val="TOC1"/>
            <w:tabs>
              <w:tab w:val="right" w:leader="dot" w:pos="9016"/>
            </w:tabs>
            <w:rPr>
              <w:rFonts w:ascii="Arial" w:eastAsiaTheme="minorEastAsia" w:hAnsi="Arial" w:cs="Arial"/>
              <w:noProof/>
              <w:kern w:val="2"/>
              <w:sz w:val="22"/>
              <w:lang w:eastAsia="en-GB"/>
              <w14:ligatures w14:val="standardContextual"/>
            </w:rPr>
          </w:pPr>
          <w:r w:rsidRPr="00285DA0">
            <w:rPr>
              <w:rFonts w:ascii="Arial" w:eastAsiaTheme="majorEastAsia" w:hAnsi="Arial" w:cs="Arial"/>
              <w:color w:val="2F5496" w:themeColor="accent1" w:themeShade="BF"/>
              <w:sz w:val="32"/>
              <w:szCs w:val="32"/>
              <w:lang w:eastAsia="en-GB"/>
            </w:rPr>
            <w:fldChar w:fldCharType="begin"/>
          </w:r>
          <w:r w:rsidRPr="00285DA0">
            <w:rPr>
              <w:rFonts w:ascii="Arial" w:hAnsi="Arial" w:cs="Arial"/>
            </w:rPr>
            <w:instrText xml:space="preserve"> TOC \o "1-3" \h \z \u </w:instrText>
          </w:r>
          <w:r w:rsidRPr="00285DA0">
            <w:rPr>
              <w:rFonts w:ascii="Arial" w:eastAsiaTheme="majorEastAsia" w:hAnsi="Arial" w:cs="Arial"/>
              <w:color w:val="2F5496" w:themeColor="accent1" w:themeShade="BF"/>
              <w:sz w:val="32"/>
              <w:szCs w:val="32"/>
              <w:lang w:eastAsia="en-GB"/>
            </w:rPr>
            <w:fldChar w:fldCharType="separate"/>
          </w:r>
          <w:hyperlink w:anchor="_Toc236603757" w:history="1">
            <w:r w:rsidR="00224A29" w:rsidRPr="00224A29">
              <w:rPr>
                <w:rStyle w:val="Hyperlink"/>
                <w:rFonts w:ascii="Arial" w:hAnsi="Arial" w:cs="Arial"/>
                <w:noProof/>
                <w:sz w:val="22"/>
              </w:rPr>
              <w:t>Table of contents</w:t>
            </w:r>
            <w:r w:rsidR="00224A29" w:rsidRPr="00224A29">
              <w:rPr>
                <w:rFonts w:ascii="Arial" w:hAnsi="Arial" w:cs="Arial"/>
                <w:noProof/>
                <w:webHidden/>
                <w:sz w:val="22"/>
              </w:rPr>
              <w:tab/>
            </w:r>
            <w:r w:rsidR="00224A29" w:rsidRPr="00224A29">
              <w:rPr>
                <w:rFonts w:ascii="Arial" w:hAnsi="Arial" w:cs="Arial"/>
                <w:noProof/>
                <w:webHidden/>
                <w:sz w:val="22"/>
              </w:rPr>
              <w:fldChar w:fldCharType="begin"/>
            </w:r>
            <w:r w:rsidR="00224A29" w:rsidRPr="00224A29">
              <w:rPr>
                <w:rFonts w:ascii="Arial" w:hAnsi="Arial" w:cs="Arial"/>
                <w:noProof/>
                <w:webHidden/>
                <w:sz w:val="22"/>
              </w:rPr>
              <w:instrText xml:space="preserve"> PAGEREF _Toc236603757 \h </w:instrText>
            </w:r>
            <w:r w:rsidR="00224A29" w:rsidRPr="00224A29">
              <w:rPr>
                <w:rFonts w:ascii="Arial" w:hAnsi="Arial" w:cs="Arial"/>
                <w:noProof/>
                <w:webHidden/>
                <w:sz w:val="22"/>
              </w:rPr>
            </w:r>
            <w:r w:rsidR="00224A29" w:rsidRPr="00224A29">
              <w:rPr>
                <w:rFonts w:ascii="Arial" w:hAnsi="Arial" w:cs="Arial"/>
                <w:noProof/>
                <w:webHidden/>
                <w:sz w:val="22"/>
              </w:rPr>
              <w:fldChar w:fldCharType="separate"/>
            </w:r>
            <w:r w:rsidR="00224A29" w:rsidRPr="00224A29">
              <w:rPr>
                <w:rFonts w:ascii="Arial" w:hAnsi="Arial" w:cs="Arial"/>
                <w:noProof/>
                <w:webHidden/>
                <w:sz w:val="22"/>
              </w:rPr>
              <w:t>2</w:t>
            </w:r>
            <w:r w:rsidR="00224A29" w:rsidRPr="00224A29">
              <w:rPr>
                <w:rFonts w:ascii="Arial" w:hAnsi="Arial" w:cs="Arial"/>
                <w:noProof/>
                <w:webHidden/>
                <w:sz w:val="22"/>
              </w:rPr>
              <w:fldChar w:fldCharType="end"/>
            </w:r>
          </w:hyperlink>
        </w:p>
        <w:p w14:paraId="2C8042DC" w14:textId="2C0B4554" w:rsidR="00224A29" w:rsidRPr="00224A29" w:rsidRDefault="00224A29">
          <w:pPr>
            <w:pStyle w:val="TOC1"/>
            <w:tabs>
              <w:tab w:val="right" w:leader="dot" w:pos="9016"/>
            </w:tabs>
            <w:rPr>
              <w:rFonts w:ascii="Arial" w:eastAsiaTheme="minorEastAsia" w:hAnsi="Arial" w:cs="Arial"/>
              <w:noProof/>
              <w:kern w:val="2"/>
              <w:sz w:val="22"/>
              <w:lang w:eastAsia="en-GB"/>
              <w14:ligatures w14:val="standardContextual"/>
            </w:rPr>
          </w:pPr>
          <w:hyperlink w:anchor="_Toc236603758" w:history="1">
            <w:r w:rsidRPr="00224A29">
              <w:rPr>
                <w:rStyle w:val="Hyperlink"/>
                <w:rFonts w:ascii="Arial" w:hAnsi="Arial" w:cs="Arial"/>
                <w:noProof/>
                <w:sz w:val="22"/>
              </w:rPr>
              <w:t>1. Introduction</w:t>
            </w:r>
            <w:r w:rsidRPr="00224A29">
              <w:rPr>
                <w:rFonts w:ascii="Arial" w:hAnsi="Arial" w:cs="Arial"/>
                <w:noProof/>
                <w:webHidden/>
                <w:sz w:val="22"/>
              </w:rPr>
              <w:tab/>
            </w:r>
            <w:r w:rsidRPr="00224A29">
              <w:rPr>
                <w:rFonts w:ascii="Arial" w:hAnsi="Arial" w:cs="Arial"/>
                <w:noProof/>
                <w:webHidden/>
                <w:sz w:val="22"/>
              </w:rPr>
              <w:fldChar w:fldCharType="begin"/>
            </w:r>
            <w:r w:rsidRPr="00224A29">
              <w:rPr>
                <w:rFonts w:ascii="Arial" w:hAnsi="Arial" w:cs="Arial"/>
                <w:noProof/>
                <w:webHidden/>
                <w:sz w:val="22"/>
              </w:rPr>
              <w:instrText xml:space="preserve"> PAGEREF _Toc236603758 \h </w:instrText>
            </w:r>
            <w:r w:rsidRPr="00224A29">
              <w:rPr>
                <w:rFonts w:ascii="Arial" w:hAnsi="Arial" w:cs="Arial"/>
                <w:noProof/>
                <w:webHidden/>
                <w:sz w:val="22"/>
              </w:rPr>
            </w:r>
            <w:r w:rsidRPr="00224A29">
              <w:rPr>
                <w:rFonts w:ascii="Arial" w:hAnsi="Arial" w:cs="Arial"/>
                <w:noProof/>
                <w:webHidden/>
                <w:sz w:val="22"/>
              </w:rPr>
              <w:fldChar w:fldCharType="separate"/>
            </w:r>
            <w:r w:rsidRPr="00224A29">
              <w:rPr>
                <w:rFonts w:ascii="Arial" w:hAnsi="Arial" w:cs="Arial"/>
                <w:noProof/>
                <w:webHidden/>
                <w:sz w:val="22"/>
              </w:rPr>
              <w:t>3</w:t>
            </w:r>
            <w:r w:rsidRPr="00224A29">
              <w:rPr>
                <w:rFonts w:ascii="Arial" w:hAnsi="Arial" w:cs="Arial"/>
                <w:noProof/>
                <w:webHidden/>
                <w:sz w:val="22"/>
              </w:rPr>
              <w:fldChar w:fldCharType="end"/>
            </w:r>
          </w:hyperlink>
        </w:p>
        <w:p w14:paraId="4F91C1DF" w14:textId="1835FA9A" w:rsidR="00224A29" w:rsidRPr="00224A29" w:rsidRDefault="00224A29">
          <w:pPr>
            <w:pStyle w:val="TOC1"/>
            <w:tabs>
              <w:tab w:val="right" w:leader="dot" w:pos="9016"/>
            </w:tabs>
            <w:rPr>
              <w:rFonts w:ascii="Arial" w:eastAsiaTheme="minorEastAsia" w:hAnsi="Arial" w:cs="Arial"/>
              <w:noProof/>
              <w:kern w:val="2"/>
              <w:sz w:val="22"/>
              <w:lang w:eastAsia="en-GB"/>
              <w14:ligatures w14:val="standardContextual"/>
            </w:rPr>
          </w:pPr>
          <w:hyperlink w:anchor="_Toc236603759" w:history="1">
            <w:r w:rsidRPr="00224A29">
              <w:rPr>
                <w:rStyle w:val="Hyperlink"/>
                <w:rFonts w:ascii="Arial" w:hAnsi="Arial" w:cs="Arial"/>
                <w:noProof/>
                <w:sz w:val="22"/>
              </w:rPr>
              <w:t>2. Importance of effective communication</w:t>
            </w:r>
            <w:r w:rsidRPr="00224A29">
              <w:rPr>
                <w:rFonts w:ascii="Arial" w:hAnsi="Arial" w:cs="Arial"/>
                <w:noProof/>
                <w:webHidden/>
                <w:sz w:val="22"/>
              </w:rPr>
              <w:tab/>
            </w:r>
            <w:r w:rsidRPr="00224A29">
              <w:rPr>
                <w:rFonts w:ascii="Arial" w:hAnsi="Arial" w:cs="Arial"/>
                <w:noProof/>
                <w:webHidden/>
                <w:sz w:val="22"/>
              </w:rPr>
              <w:fldChar w:fldCharType="begin"/>
            </w:r>
            <w:r w:rsidRPr="00224A29">
              <w:rPr>
                <w:rFonts w:ascii="Arial" w:hAnsi="Arial" w:cs="Arial"/>
                <w:noProof/>
                <w:webHidden/>
                <w:sz w:val="22"/>
              </w:rPr>
              <w:instrText xml:space="preserve"> PAGEREF _Toc236603759 \h </w:instrText>
            </w:r>
            <w:r w:rsidRPr="00224A29">
              <w:rPr>
                <w:rFonts w:ascii="Arial" w:hAnsi="Arial" w:cs="Arial"/>
                <w:noProof/>
                <w:webHidden/>
                <w:sz w:val="22"/>
              </w:rPr>
            </w:r>
            <w:r w:rsidRPr="00224A29">
              <w:rPr>
                <w:rFonts w:ascii="Arial" w:hAnsi="Arial" w:cs="Arial"/>
                <w:noProof/>
                <w:webHidden/>
                <w:sz w:val="22"/>
              </w:rPr>
              <w:fldChar w:fldCharType="separate"/>
            </w:r>
            <w:r w:rsidRPr="00224A29">
              <w:rPr>
                <w:rFonts w:ascii="Arial" w:hAnsi="Arial" w:cs="Arial"/>
                <w:noProof/>
                <w:webHidden/>
                <w:sz w:val="22"/>
              </w:rPr>
              <w:t>3</w:t>
            </w:r>
            <w:r w:rsidRPr="00224A29">
              <w:rPr>
                <w:rFonts w:ascii="Arial" w:hAnsi="Arial" w:cs="Arial"/>
                <w:noProof/>
                <w:webHidden/>
                <w:sz w:val="22"/>
              </w:rPr>
              <w:fldChar w:fldCharType="end"/>
            </w:r>
          </w:hyperlink>
        </w:p>
        <w:p w14:paraId="25C75A96" w14:textId="2837DA4E" w:rsidR="00224A29" w:rsidRPr="00224A29" w:rsidRDefault="00224A29">
          <w:pPr>
            <w:pStyle w:val="TOC1"/>
            <w:tabs>
              <w:tab w:val="right" w:leader="dot" w:pos="9016"/>
            </w:tabs>
            <w:rPr>
              <w:rFonts w:ascii="Arial" w:eastAsiaTheme="minorEastAsia" w:hAnsi="Arial" w:cs="Arial"/>
              <w:noProof/>
              <w:kern w:val="2"/>
              <w:sz w:val="22"/>
              <w:lang w:eastAsia="en-GB"/>
              <w14:ligatures w14:val="standardContextual"/>
            </w:rPr>
          </w:pPr>
          <w:hyperlink w:anchor="_Toc236603760" w:history="1">
            <w:r w:rsidRPr="00224A29">
              <w:rPr>
                <w:rStyle w:val="Hyperlink"/>
                <w:rFonts w:ascii="Arial" w:hAnsi="Arial" w:cs="Arial"/>
                <w:noProof/>
                <w:sz w:val="22"/>
              </w:rPr>
              <w:t>3. Importance of good administrative skills</w:t>
            </w:r>
            <w:r w:rsidRPr="00224A29">
              <w:rPr>
                <w:rFonts w:ascii="Arial" w:hAnsi="Arial" w:cs="Arial"/>
                <w:noProof/>
                <w:webHidden/>
                <w:sz w:val="22"/>
              </w:rPr>
              <w:tab/>
            </w:r>
            <w:r w:rsidRPr="00224A29">
              <w:rPr>
                <w:rFonts w:ascii="Arial" w:hAnsi="Arial" w:cs="Arial"/>
                <w:noProof/>
                <w:webHidden/>
                <w:sz w:val="22"/>
              </w:rPr>
              <w:fldChar w:fldCharType="begin"/>
            </w:r>
            <w:r w:rsidRPr="00224A29">
              <w:rPr>
                <w:rFonts w:ascii="Arial" w:hAnsi="Arial" w:cs="Arial"/>
                <w:noProof/>
                <w:webHidden/>
                <w:sz w:val="22"/>
              </w:rPr>
              <w:instrText xml:space="preserve"> PAGEREF _Toc236603760 \h </w:instrText>
            </w:r>
            <w:r w:rsidRPr="00224A29">
              <w:rPr>
                <w:rFonts w:ascii="Arial" w:hAnsi="Arial" w:cs="Arial"/>
                <w:noProof/>
                <w:webHidden/>
                <w:sz w:val="22"/>
              </w:rPr>
            </w:r>
            <w:r w:rsidRPr="00224A29">
              <w:rPr>
                <w:rFonts w:ascii="Arial" w:hAnsi="Arial" w:cs="Arial"/>
                <w:noProof/>
                <w:webHidden/>
                <w:sz w:val="22"/>
              </w:rPr>
              <w:fldChar w:fldCharType="separate"/>
            </w:r>
            <w:r w:rsidRPr="00224A29">
              <w:rPr>
                <w:rFonts w:ascii="Arial" w:hAnsi="Arial" w:cs="Arial"/>
                <w:noProof/>
                <w:webHidden/>
                <w:sz w:val="22"/>
              </w:rPr>
              <w:t>4</w:t>
            </w:r>
            <w:r w:rsidRPr="00224A29">
              <w:rPr>
                <w:rFonts w:ascii="Arial" w:hAnsi="Arial" w:cs="Arial"/>
                <w:noProof/>
                <w:webHidden/>
                <w:sz w:val="22"/>
              </w:rPr>
              <w:fldChar w:fldCharType="end"/>
            </w:r>
          </w:hyperlink>
        </w:p>
        <w:p w14:paraId="6BEAE669" w14:textId="0B34F3D2" w:rsidR="00224A29" w:rsidRPr="00224A29" w:rsidRDefault="00224A29">
          <w:pPr>
            <w:pStyle w:val="TOC1"/>
            <w:tabs>
              <w:tab w:val="right" w:leader="dot" w:pos="9016"/>
            </w:tabs>
            <w:rPr>
              <w:rFonts w:ascii="Arial" w:eastAsiaTheme="minorEastAsia" w:hAnsi="Arial" w:cs="Arial"/>
              <w:noProof/>
              <w:kern w:val="2"/>
              <w:sz w:val="22"/>
              <w:lang w:eastAsia="en-GB"/>
              <w14:ligatures w14:val="standardContextual"/>
            </w:rPr>
          </w:pPr>
          <w:hyperlink w:anchor="_Toc236603761" w:history="1">
            <w:r w:rsidRPr="00224A29">
              <w:rPr>
                <w:rStyle w:val="Hyperlink"/>
                <w:rFonts w:ascii="Arial" w:hAnsi="Arial" w:cs="Arial"/>
                <w:noProof/>
                <w:sz w:val="22"/>
              </w:rPr>
              <w:t>4. Importance of working collaboratively</w:t>
            </w:r>
            <w:r w:rsidRPr="00224A29">
              <w:rPr>
                <w:rFonts w:ascii="Arial" w:hAnsi="Arial" w:cs="Arial"/>
                <w:noProof/>
                <w:webHidden/>
                <w:sz w:val="22"/>
              </w:rPr>
              <w:tab/>
            </w:r>
            <w:r w:rsidRPr="00224A29">
              <w:rPr>
                <w:rFonts w:ascii="Arial" w:hAnsi="Arial" w:cs="Arial"/>
                <w:noProof/>
                <w:webHidden/>
                <w:sz w:val="22"/>
              </w:rPr>
              <w:fldChar w:fldCharType="begin"/>
            </w:r>
            <w:r w:rsidRPr="00224A29">
              <w:rPr>
                <w:rFonts w:ascii="Arial" w:hAnsi="Arial" w:cs="Arial"/>
                <w:noProof/>
                <w:webHidden/>
                <w:sz w:val="22"/>
              </w:rPr>
              <w:instrText xml:space="preserve"> PAGEREF _Toc236603761 \h </w:instrText>
            </w:r>
            <w:r w:rsidRPr="00224A29">
              <w:rPr>
                <w:rFonts w:ascii="Arial" w:hAnsi="Arial" w:cs="Arial"/>
                <w:noProof/>
                <w:webHidden/>
                <w:sz w:val="22"/>
              </w:rPr>
            </w:r>
            <w:r w:rsidRPr="00224A29">
              <w:rPr>
                <w:rFonts w:ascii="Arial" w:hAnsi="Arial" w:cs="Arial"/>
                <w:noProof/>
                <w:webHidden/>
                <w:sz w:val="22"/>
              </w:rPr>
              <w:fldChar w:fldCharType="separate"/>
            </w:r>
            <w:r w:rsidRPr="00224A29">
              <w:rPr>
                <w:rFonts w:ascii="Arial" w:hAnsi="Arial" w:cs="Arial"/>
                <w:noProof/>
                <w:webHidden/>
                <w:sz w:val="22"/>
              </w:rPr>
              <w:t>5</w:t>
            </w:r>
            <w:r w:rsidRPr="00224A29">
              <w:rPr>
                <w:rFonts w:ascii="Arial" w:hAnsi="Arial" w:cs="Arial"/>
                <w:noProof/>
                <w:webHidden/>
                <w:sz w:val="22"/>
              </w:rPr>
              <w:fldChar w:fldCharType="end"/>
            </w:r>
          </w:hyperlink>
        </w:p>
        <w:p w14:paraId="2D9633A5" w14:textId="3827822A" w:rsidR="00224A29" w:rsidRPr="00224A29" w:rsidRDefault="00224A29">
          <w:pPr>
            <w:pStyle w:val="TOC1"/>
            <w:tabs>
              <w:tab w:val="right" w:leader="dot" w:pos="9016"/>
            </w:tabs>
            <w:rPr>
              <w:rFonts w:ascii="Arial" w:eastAsiaTheme="minorEastAsia" w:hAnsi="Arial" w:cs="Arial"/>
              <w:noProof/>
              <w:kern w:val="2"/>
              <w:sz w:val="22"/>
              <w:lang w:eastAsia="en-GB"/>
              <w14:ligatures w14:val="standardContextual"/>
            </w:rPr>
          </w:pPr>
          <w:hyperlink w:anchor="_Toc236603762" w:history="1">
            <w:r w:rsidRPr="00224A29">
              <w:rPr>
                <w:rStyle w:val="Hyperlink"/>
                <w:rFonts w:ascii="Arial" w:hAnsi="Arial" w:cs="Arial"/>
                <w:noProof/>
                <w:sz w:val="22"/>
              </w:rPr>
              <w:t>5. Conclusion</w:t>
            </w:r>
            <w:r w:rsidRPr="00224A29">
              <w:rPr>
                <w:rFonts w:ascii="Arial" w:hAnsi="Arial" w:cs="Arial"/>
                <w:noProof/>
                <w:webHidden/>
                <w:sz w:val="22"/>
              </w:rPr>
              <w:tab/>
            </w:r>
            <w:r w:rsidRPr="00224A29">
              <w:rPr>
                <w:rFonts w:ascii="Arial" w:hAnsi="Arial" w:cs="Arial"/>
                <w:noProof/>
                <w:webHidden/>
                <w:sz w:val="22"/>
              </w:rPr>
              <w:fldChar w:fldCharType="begin"/>
            </w:r>
            <w:r w:rsidRPr="00224A29">
              <w:rPr>
                <w:rFonts w:ascii="Arial" w:hAnsi="Arial" w:cs="Arial"/>
                <w:noProof/>
                <w:webHidden/>
                <w:sz w:val="22"/>
              </w:rPr>
              <w:instrText xml:space="preserve"> PAGEREF _Toc236603762 \h </w:instrText>
            </w:r>
            <w:r w:rsidRPr="00224A29">
              <w:rPr>
                <w:rFonts w:ascii="Arial" w:hAnsi="Arial" w:cs="Arial"/>
                <w:noProof/>
                <w:webHidden/>
                <w:sz w:val="22"/>
              </w:rPr>
            </w:r>
            <w:r w:rsidRPr="00224A29">
              <w:rPr>
                <w:rFonts w:ascii="Arial" w:hAnsi="Arial" w:cs="Arial"/>
                <w:noProof/>
                <w:webHidden/>
                <w:sz w:val="22"/>
              </w:rPr>
              <w:fldChar w:fldCharType="separate"/>
            </w:r>
            <w:r w:rsidRPr="00224A29">
              <w:rPr>
                <w:rFonts w:ascii="Arial" w:hAnsi="Arial" w:cs="Arial"/>
                <w:noProof/>
                <w:webHidden/>
                <w:sz w:val="22"/>
              </w:rPr>
              <w:t>6</w:t>
            </w:r>
            <w:r w:rsidRPr="00224A29">
              <w:rPr>
                <w:rFonts w:ascii="Arial" w:hAnsi="Arial" w:cs="Arial"/>
                <w:noProof/>
                <w:webHidden/>
                <w:sz w:val="22"/>
              </w:rPr>
              <w:fldChar w:fldCharType="end"/>
            </w:r>
          </w:hyperlink>
        </w:p>
        <w:p w14:paraId="76481130" w14:textId="07DF4F17" w:rsidR="00224A29" w:rsidRPr="00224A29" w:rsidRDefault="00224A29">
          <w:pPr>
            <w:pStyle w:val="TOC1"/>
            <w:tabs>
              <w:tab w:val="right" w:leader="dot" w:pos="9016"/>
            </w:tabs>
            <w:rPr>
              <w:rFonts w:ascii="Arial" w:eastAsiaTheme="minorEastAsia" w:hAnsi="Arial" w:cs="Arial"/>
              <w:noProof/>
              <w:kern w:val="2"/>
              <w:sz w:val="22"/>
              <w:lang w:eastAsia="en-GB"/>
              <w14:ligatures w14:val="standardContextual"/>
            </w:rPr>
          </w:pPr>
          <w:hyperlink w:anchor="_Toc236603763" w:history="1">
            <w:r w:rsidRPr="00224A29">
              <w:rPr>
                <w:rStyle w:val="Hyperlink"/>
                <w:rFonts w:ascii="Arial" w:hAnsi="Arial" w:cs="Arial"/>
                <w:noProof/>
                <w:sz w:val="22"/>
              </w:rPr>
              <w:t>References</w:t>
            </w:r>
            <w:r w:rsidRPr="00224A29">
              <w:rPr>
                <w:rFonts w:ascii="Arial" w:hAnsi="Arial" w:cs="Arial"/>
                <w:noProof/>
                <w:webHidden/>
                <w:sz w:val="22"/>
              </w:rPr>
              <w:tab/>
            </w:r>
            <w:r w:rsidRPr="00224A29">
              <w:rPr>
                <w:rFonts w:ascii="Arial" w:hAnsi="Arial" w:cs="Arial"/>
                <w:noProof/>
                <w:webHidden/>
                <w:sz w:val="22"/>
              </w:rPr>
              <w:fldChar w:fldCharType="begin"/>
            </w:r>
            <w:r w:rsidRPr="00224A29">
              <w:rPr>
                <w:rFonts w:ascii="Arial" w:hAnsi="Arial" w:cs="Arial"/>
                <w:noProof/>
                <w:webHidden/>
                <w:sz w:val="22"/>
              </w:rPr>
              <w:instrText xml:space="preserve"> PAGEREF _Toc236603763 \h </w:instrText>
            </w:r>
            <w:r w:rsidRPr="00224A29">
              <w:rPr>
                <w:rFonts w:ascii="Arial" w:hAnsi="Arial" w:cs="Arial"/>
                <w:noProof/>
                <w:webHidden/>
                <w:sz w:val="22"/>
              </w:rPr>
            </w:r>
            <w:r w:rsidRPr="00224A29">
              <w:rPr>
                <w:rFonts w:ascii="Arial" w:hAnsi="Arial" w:cs="Arial"/>
                <w:noProof/>
                <w:webHidden/>
                <w:sz w:val="22"/>
              </w:rPr>
              <w:fldChar w:fldCharType="separate"/>
            </w:r>
            <w:r w:rsidRPr="00224A29">
              <w:rPr>
                <w:rFonts w:ascii="Arial" w:hAnsi="Arial" w:cs="Arial"/>
                <w:noProof/>
                <w:webHidden/>
                <w:sz w:val="22"/>
              </w:rPr>
              <w:t>7</w:t>
            </w:r>
            <w:r w:rsidRPr="00224A29">
              <w:rPr>
                <w:rFonts w:ascii="Arial" w:hAnsi="Arial" w:cs="Arial"/>
                <w:noProof/>
                <w:webHidden/>
                <w:sz w:val="22"/>
              </w:rPr>
              <w:fldChar w:fldCharType="end"/>
            </w:r>
          </w:hyperlink>
        </w:p>
        <w:p w14:paraId="4B027D88" w14:textId="45C84CE2" w:rsidR="00A64E26" w:rsidRPr="00285DA0" w:rsidRDefault="00A64E26">
          <w:pPr>
            <w:rPr>
              <w:rFonts w:ascii="Arial" w:hAnsi="Arial" w:cs="Arial"/>
            </w:rPr>
          </w:pPr>
          <w:r w:rsidRPr="00285DA0">
            <w:rPr>
              <w:rFonts w:ascii="Arial" w:hAnsi="Arial" w:cs="Arial"/>
              <w:b/>
              <w:bCs/>
            </w:rPr>
            <w:fldChar w:fldCharType="end"/>
          </w:r>
        </w:p>
      </w:sdtContent>
    </w:sdt>
    <w:p w14:paraId="2EE0A36A" w14:textId="77777777" w:rsidR="00A64E26" w:rsidRPr="00A64E26" w:rsidRDefault="00A64E26" w:rsidP="00A64E26"/>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00F43A03" w:rsidR="00B87E75" w:rsidRPr="00A64E26" w:rsidRDefault="00B87E75" w:rsidP="00A64E26">
      <w:pPr>
        <w:pStyle w:val="Heading1"/>
      </w:pPr>
      <w:bookmarkStart w:id="2" w:name="_Toc236603758"/>
      <w:r w:rsidRPr="00A64E26">
        <w:lastRenderedPageBreak/>
        <w:t>1. Introduction</w:t>
      </w:r>
      <w:bookmarkEnd w:id="2"/>
    </w:p>
    <w:p w14:paraId="52010A5E" w14:textId="34EB7FBB" w:rsidR="0026393A" w:rsidRPr="00F86AD6" w:rsidRDefault="00A64E26" w:rsidP="00056279">
      <w:pPr>
        <w:spacing w:line="360" w:lineRule="auto"/>
        <w:rPr>
          <w:rFonts w:ascii="Arial" w:hAnsi="Arial" w:cs="Arial"/>
          <w:sz w:val="22"/>
        </w:rPr>
      </w:pPr>
      <w:r w:rsidRPr="00F86AD6">
        <w:rPr>
          <w:rFonts w:ascii="Arial" w:hAnsi="Arial" w:cs="Arial"/>
          <w:sz w:val="22"/>
        </w:rPr>
        <w:t xml:space="preserve">When communicating with service users and the professional team, </w:t>
      </w:r>
      <w:r w:rsidR="00A01192">
        <w:rPr>
          <w:rFonts w:ascii="Arial" w:hAnsi="Arial" w:cs="Arial"/>
          <w:sz w:val="22"/>
        </w:rPr>
        <w:t>health and social care staff must communicate</w:t>
      </w:r>
      <w:r w:rsidRPr="00F86AD6">
        <w:rPr>
          <w:rFonts w:ascii="Arial" w:hAnsi="Arial" w:cs="Arial"/>
          <w:sz w:val="22"/>
        </w:rPr>
        <w:t xml:space="preserve"> effectively and adhere to best </w:t>
      </w:r>
      <w:r w:rsidR="0029639D">
        <w:rPr>
          <w:rFonts w:ascii="Arial" w:hAnsi="Arial" w:cs="Arial"/>
          <w:sz w:val="22"/>
        </w:rPr>
        <w:t>practices.</w:t>
      </w:r>
      <w:r w:rsidRPr="00F86AD6">
        <w:rPr>
          <w:rFonts w:ascii="Arial" w:hAnsi="Arial" w:cs="Arial"/>
          <w:sz w:val="22"/>
        </w:rPr>
        <w:t xml:space="preserve"> This report focuses on an 84-year-old woman with mild dementia who was recently discharged from </w:t>
      </w:r>
      <w:r w:rsidR="0029639D">
        <w:rPr>
          <w:rFonts w:ascii="Arial" w:hAnsi="Arial" w:cs="Arial"/>
          <w:sz w:val="22"/>
        </w:rPr>
        <w:t>the hospital</w:t>
      </w:r>
      <w:r w:rsidRPr="00F86AD6">
        <w:rPr>
          <w:rFonts w:ascii="Arial" w:hAnsi="Arial" w:cs="Arial"/>
          <w:sz w:val="22"/>
        </w:rPr>
        <w:t xml:space="preserve"> with pneumonia. She lives alone in sheltered housing and receives domiciliary care twice daily. A recent concern was raised when she missed 2 days of medication. This has been recorded, and a medication review has been requested. The case is under review by the local council. In this assignment, I will discuss the importance of effective communication, good administrative skills, and collaboration with other professionals in the context of Mrs Thompson’s care. Within these key aspects, I will explain how to communicate with service users and their family members, how to maintain records and apply the principles of the Data Protection Act </w:t>
      </w:r>
      <w:r w:rsidR="0029639D">
        <w:rPr>
          <w:rFonts w:ascii="Arial" w:hAnsi="Arial" w:cs="Arial"/>
          <w:sz w:val="22"/>
        </w:rPr>
        <w:t>2018 and</w:t>
      </w:r>
      <w:r w:rsidRPr="00F86AD6">
        <w:rPr>
          <w:rFonts w:ascii="Arial" w:hAnsi="Arial" w:cs="Arial"/>
          <w:sz w:val="22"/>
        </w:rPr>
        <w:t xml:space="preserve"> describe the approaches used to foster effective collaboration and examine strategies for addressing and overcoming common challenges encountered in multi-agency working.</w:t>
      </w:r>
    </w:p>
    <w:p w14:paraId="2CDE5641" w14:textId="77777777" w:rsidR="00063DF8" w:rsidRDefault="00063DF8" w:rsidP="00CD33A8">
      <w:pPr>
        <w:tabs>
          <w:tab w:val="left" w:pos="6540"/>
        </w:tabs>
        <w:spacing w:line="360" w:lineRule="auto"/>
        <w:rPr>
          <w:rFonts w:ascii="Arial" w:hAnsi="Arial" w:cs="Arial"/>
          <w:sz w:val="22"/>
        </w:rPr>
      </w:pPr>
    </w:p>
    <w:p w14:paraId="72B6BBB6" w14:textId="77777777" w:rsidR="00063DF8" w:rsidRPr="00CD33A8" w:rsidRDefault="00063DF8" w:rsidP="00CD33A8">
      <w:pPr>
        <w:tabs>
          <w:tab w:val="left" w:pos="6540"/>
        </w:tabs>
        <w:spacing w:line="360" w:lineRule="auto"/>
        <w:rPr>
          <w:rFonts w:ascii="Arial" w:hAnsi="Arial" w:cs="Arial"/>
          <w:sz w:val="22"/>
        </w:rPr>
      </w:pPr>
    </w:p>
    <w:p w14:paraId="3C1E8C32" w14:textId="40FB0541" w:rsidR="00A64E26" w:rsidRDefault="0026393A" w:rsidP="00B5548B">
      <w:pPr>
        <w:pStyle w:val="Heading1"/>
      </w:pPr>
      <w:bookmarkStart w:id="3" w:name="_Toc236603759"/>
      <w:r w:rsidRPr="00CD33A8">
        <w:t xml:space="preserve">2. </w:t>
      </w:r>
      <w:r w:rsidR="008E3943">
        <w:t>I</w:t>
      </w:r>
      <w:r w:rsidR="008E3943" w:rsidRPr="008E3943">
        <w:t>mportance of effective communication</w:t>
      </w:r>
      <w:bookmarkEnd w:id="3"/>
    </w:p>
    <w:p w14:paraId="224DEE73" w14:textId="1D442BBF" w:rsidR="002E7076" w:rsidRDefault="00B5548B" w:rsidP="00056279">
      <w:pPr>
        <w:spacing w:line="360" w:lineRule="auto"/>
        <w:rPr>
          <w:rFonts w:ascii="Arial" w:hAnsi="Arial" w:cs="Arial"/>
          <w:sz w:val="22"/>
        </w:rPr>
      </w:pPr>
      <w:r>
        <w:rPr>
          <w:rFonts w:ascii="Arial" w:hAnsi="Arial" w:cs="Arial"/>
          <w:sz w:val="22"/>
        </w:rPr>
        <w:t xml:space="preserve">Effective communication is crucial in the context of Mrs Thompson’s care because she is an 84-year-old woman with mild dementia, living alone, and she missed 2 days of her medication. Her dementia and recent confusion mean she may struggle to remember information, understand complex information, or express her needs clearly. Poor communication can lead to more missed medication, increased risk, and distress for her and her family, creating an unsafe environment. Effective communication, however, ensures that Mrs Thompson receives safe, </w:t>
      </w:r>
      <w:r w:rsidR="0029639D">
        <w:rPr>
          <w:rFonts w:ascii="Arial" w:hAnsi="Arial" w:cs="Arial"/>
          <w:sz w:val="22"/>
        </w:rPr>
        <w:t>person-centred</w:t>
      </w:r>
      <w:r>
        <w:rPr>
          <w:rFonts w:ascii="Arial" w:hAnsi="Arial" w:cs="Arial"/>
          <w:sz w:val="22"/>
        </w:rPr>
        <w:t xml:space="preserve"> care, is involved in decisions, and that her family understands her situation and care plan</w:t>
      </w:r>
      <w:r w:rsidR="002E7076">
        <w:rPr>
          <w:rFonts w:ascii="Arial" w:hAnsi="Arial" w:cs="Arial"/>
          <w:sz w:val="22"/>
        </w:rPr>
        <w:t>.</w:t>
      </w:r>
    </w:p>
    <w:p w14:paraId="186F010B" w14:textId="3C435E88" w:rsidR="00B5548B" w:rsidRDefault="002E7076" w:rsidP="00056279">
      <w:pPr>
        <w:spacing w:line="360" w:lineRule="auto"/>
        <w:rPr>
          <w:rFonts w:ascii="Arial" w:hAnsi="Arial" w:cs="Arial"/>
          <w:sz w:val="22"/>
        </w:rPr>
      </w:pPr>
      <w:r w:rsidRPr="002E7076">
        <w:rPr>
          <w:rFonts w:ascii="Arial" w:hAnsi="Arial" w:cs="Arial"/>
          <w:sz w:val="22"/>
        </w:rPr>
        <w:t>The Equality Act 2010 legally p</w:t>
      </w:r>
      <w:r>
        <w:rPr>
          <w:rFonts w:ascii="Arial" w:hAnsi="Arial" w:cs="Arial"/>
          <w:sz w:val="22"/>
        </w:rPr>
        <w:t xml:space="preserve">rotects people from discrimination in the workplace and in wider society. </w:t>
      </w:r>
      <w:r w:rsidR="00D11091">
        <w:rPr>
          <w:rFonts w:ascii="Arial" w:hAnsi="Arial" w:cs="Arial"/>
          <w:sz w:val="22"/>
        </w:rPr>
        <w:t>GOV.UK states i</w:t>
      </w:r>
      <w:r>
        <w:rPr>
          <w:rFonts w:ascii="Arial" w:hAnsi="Arial" w:cs="Arial"/>
          <w:sz w:val="22"/>
        </w:rPr>
        <w:t xml:space="preserve">t replaced preceding laws with one single act, making the law easier to understand and strengthening protections in some situations. </w:t>
      </w:r>
      <w:r w:rsidR="00314C68">
        <w:rPr>
          <w:rFonts w:ascii="Arial" w:hAnsi="Arial" w:cs="Arial"/>
          <w:sz w:val="22"/>
        </w:rPr>
        <w:t>The Equality Act includes sections that ban age discrimination against adults in the provision of services and public functions.</w:t>
      </w:r>
      <w:r w:rsidR="00AE0FED">
        <w:rPr>
          <w:rFonts w:ascii="Arial" w:hAnsi="Arial" w:cs="Arial"/>
          <w:sz w:val="22"/>
        </w:rPr>
        <w:t xml:space="preserve"> The Public Sector Equality Duty also reinforces the elimination of discrimination in public bodies. Furthermore, the Act also states that it is unlawful to discriminate on the basis of </w:t>
      </w:r>
      <w:r w:rsidR="00781D73" w:rsidRPr="00781D73">
        <w:rPr>
          <w:rFonts w:ascii="Arial" w:hAnsi="Arial" w:cs="Arial"/>
          <w:sz w:val="22"/>
        </w:rPr>
        <w:t>age-based concessions</w:t>
      </w:r>
      <w:r w:rsidR="00781D73">
        <w:rPr>
          <w:rFonts w:ascii="Arial" w:hAnsi="Arial" w:cs="Arial"/>
          <w:sz w:val="22"/>
        </w:rPr>
        <w:t xml:space="preserve">, </w:t>
      </w:r>
      <w:r w:rsidR="00781D73" w:rsidRPr="00781D73">
        <w:rPr>
          <w:rFonts w:ascii="Arial" w:hAnsi="Arial" w:cs="Arial"/>
          <w:sz w:val="22"/>
        </w:rPr>
        <w:t>age-related holidays</w:t>
      </w:r>
      <w:r w:rsidR="00781D73">
        <w:rPr>
          <w:rFonts w:ascii="Arial" w:hAnsi="Arial" w:cs="Arial"/>
          <w:sz w:val="22"/>
        </w:rPr>
        <w:t xml:space="preserve">, </w:t>
      </w:r>
      <w:r w:rsidR="00781D73" w:rsidRPr="00781D73">
        <w:rPr>
          <w:rFonts w:ascii="Arial" w:hAnsi="Arial" w:cs="Arial"/>
          <w:sz w:val="22"/>
        </w:rPr>
        <w:t>age verification</w:t>
      </w:r>
      <w:r w:rsidR="00781D73">
        <w:rPr>
          <w:rFonts w:ascii="Arial" w:hAnsi="Arial" w:cs="Arial"/>
          <w:sz w:val="22"/>
        </w:rPr>
        <w:t xml:space="preserve">, </w:t>
      </w:r>
      <w:r w:rsidR="00781D73" w:rsidRPr="00781D73">
        <w:rPr>
          <w:rFonts w:ascii="Arial" w:hAnsi="Arial" w:cs="Arial"/>
          <w:sz w:val="22"/>
        </w:rPr>
        <w:t>clubs and associations concession</w:t>
      </w:r>
      <w:r w:rsidR="00781D73">
        <w:rPr>
          <w:rFonts w:ascii="Arial" w:hAnsi="Arial" w:cs="Arial"/>
          <w:sz w:val="22"/>
        </w:rPr>
        <w:t xml:space="preserve">s, </w:t>
      </w:r>
      <w:r w:rsidR="00781D73" w:rsidRPr="00781D73">
        <w:rPr>
          <w:rFonts w:ascii="Arial" w:hAnsi="Arial" w:cs="Arial"/>
          <w:sz w:val="22"/>
        </w:rPr>
        <w:t>financial services</w:t>
      </w:r>
      <w:r w:rsidR="00781D73">
        <w:rPr>
          <w:rFonts w:ascii="Arial" w:hAnsi="Arial" w:cs="Arial"/>
          <w:sz w:val="22"/>
        </w:rPr>
        <w:t xml:space="preserve">, </w:t>
      </w:r>
      <w:r w:rsidR="00781D73" w:rsidRPr="00781D73">
        <w:rPr>
          <w:rFonts w:ascii="Arial" w:hAnsi="Arial" w:cs="Arial"/>
          <w:sz w:val="22"/>
        </w:rPr>
        <w:t>immigration</w:t>
      </w:r>
      <w:r w:rsidR="00781D73">
        <w:rPr>
          <w:rFonts w:ascii="Arial" w:hAnsi="Arial" w:cs="Arial"/>
          <w:sz w:val="22"/>
        </w:rPr>
        <w:t>, res</w:t>
      </w:r>
      <w:r w:rsidR="00781D73" w:rsidRPr="00781D73">
        <w:rPr>
          <w:rFonts w:ascii="Arial" w:hAnsi="Arial" w:cs="Arial"/>
          <w:sz w:val="22"/>
        </w:rPr>
        <w:t>idential park homes</w:t>
      </w:r>
      <w:r w:rsidR="00781D73">
        <w:rPr>
          <w:rFonts w:ascii="Arial" w:hAnsi="Arial" w:cs="Arial"/>
          <w:sz w:val="22"/>
        </w:rPr>
        <w:t xml:space="preserve"> or s</w:t>
      </w:r>
      <w:r w:rsidR="00781D73" w:rsidRPr="00781D73">
        <w:rPr>
          <w:rFonts w:ascii="Arial" w:hAnsi="Arial" w:cs="Arial"/>
          <w:sz w:val="22"/>
        </w:rPr>
        <w:t>por</w:t>
      </w:r>
      <w:r w:rsidR="00781D73">
        <w:rPr>
          <w:rFonts w:ascii="Arial" w:hAnsi="Arial" w:cs="Arial"/>
          <w:sz w:val="22"/>
        </w:rPr>
        <w:t xml:space="preserve">t </w:t>
      </w:r>
      <w:r w:rsidR="00AE0FED">
        <w:rPr>
          <w:rFonts w:ascii="Arial" w:hAnsi="Arial" w:cs="Arial"/>
          <w:sz w:val="22"/>
        </w:rPr>
        <w:t xml:space="preserve">unless the practice is covered by an exception from the ban or good reason can be </w:t>
      </w:r>
      <w:r w:rsidR="00AE0FED">
        <w:rPr>
          <w:rFonts w:ascii="Arial" w:hAnsi="Arial" w:cs="Arial"/>
          <w:sz w:val="22"/>
        </w:rPr>
        <w:lastRenderedPageBreak/>
        <w:t xml:space="preserve">shown for the differential treatment. Mrs Thompson’s age and dementia fall under </w:t>
      </w:r>
      <w:r w:rsidR="00F86AD6">
        <w:rPr>
          <w:rFonts w:ascii="Arial" w:hAnsi="Arial" w:cs="Arial"/>
          <w:sz w:val="22"/>
        </w:rPr>
        <w:t>the protected characteristics stated in the Act, meaning staff must not discriminate against her on the basis of these factors,</w:t>
      </w:r>
      <w:r w:rsidR="00AE0FED">
        <w:rPr>
          <w:rFonts w:ascii="Arial" w:hAnsi="Arial" w:cs="Arial"/>
          <w:sz w:val="22"/>
        </w:rPr>
        <w:t xml:space="preserve"> and communication is adapted to meet her individual needs to ensure she can participate in decisions. </w:t>
      </w:r>
      <w:r w:rsidR="00AE0FED" w:rsidRPr="00AE0FED">
        <w:rPr>
          <w:rFonts w:ascii="Arial" w:hAnsi="Arial" w:cs="Arial"/>
          <w:sz w:val="22"/>
        </w:rPr>
        <w:t>The Act also requires that communication practices do not disadvantage individuals, reinforcing the need for accessible, person</w:t>
      </w:r>
      <w:r w:rsidR="00AE0FED" w:rsidRPr="00AE0FED">
        <w:rPr>
          <w:rFonts w:ascii="Arial" w:hAnsi="Arial" w:cs="Arial"/>
          <w:sz w:val="22"/>
        </w:rPr>
        <w:noBreakHyphen/>
        <w:t>centred approaches.</w:t>
      </w:r>
      <w:r w:rsidR="00AE0FED">
        <w:rPr>
          <w:rFonts w:ascii="Arial" w:hAnsi="Arial" w:cs="Arial"/>
          <w:sz w:val="22"/>
        </w:rPr>
        <w:t xml:space="preserve"> (GOV.UK)</w:t>
      </w:r>
    </w:p>
    <w:p w14:paraId="39D69CB4" w14:textId="12B9E139" w:rsidR="00B5548B" w:rsidRPr="00D74C19" w:rsidRDefault="00D11091" w:rsidP="00D74C19">
      <w:pPr>
        <w:spacing w:line="360" w:lineRule="auto"/>
        <w:rPr>
          <w:rFonts w:ascii="Arial" w:hAnsi="Arial" w:cs="Arial"/>
          <w:sz w:val="22"/>
        </w:rPr>
      </w:pPr>
      <w:r>
        <w:rPr>
          <w:rFonts w:ascii="Arial" w:hAnsi="Arial" w:cs="Arial"/>
          <w:sz w:val="22"/>
        </w:rPr>
        <w:t xml:space="preserve">ResearchGate suggests that </w:t>
      </w:r>
      <w:r w:rsidR="00F86AD6" w:rsidRPr="00F86AD6">
        <w:rPr>
          <w:rFonts w:ascii="Arial" w:hAnsi="Arial" w:cs="Arial"/>
          <w:sz w:val="22"/>
        </w:rPr>
        <w:t>Berlo’s SMCR model explains that communication relies on the Source, Message, Channel and Receiver, which is especially important when supporting someone like Mrs Thompson. As the source, carers need to use clear, gentle and straightforward language, because her dementia means she can easily become confused or overwhelmed. Their tone, patience and attitude play a major role in helping her feel safe and understood. The message should be short</w:t>
      </w:r>
      <w:r w:rsidR="00F86AD6">
        <w:rPr>
          <w:rFonts w:ascii="Arial" w:hAnsi="Arial" w:cs="Arial"/>
          <w:sz w:val="22"/>
        </w:rPr>
        <w:t xml:space="preserve"> and concrete, </w:t>
      </w:r>
      <w:r w:rsidR="00F86AD6" w:rsidRPr="00F86AD6">
        <w:rPr>
          <w:rFonts w:ascii="Arial" w:hAnsi="Arial" w:cs="Arial"/>
          <w:sz w:val="22"/>
        </w:rPr>
        <w:t>delivered one step at a time, allowing her to process information without pressure. Repeating key points is often necessary to support her memory loss. The channel of communication also matters; spoken explanations work best when paired with visual prompts, gestures or simple written reminders, giving her more than one way to understand what is being said. As the receiver, Mrs Thompson needs extra time, reassurance and space to respond, as her cognitive changes affect how she interprets information. Using the SMCR model in this way helps carers communicate with her in a calm, respectful and person</w:t>
      </w:r>
      <w:r w:rsidR="00F86AD6" w:rsidRPr="00F86AD6">
        <w:rPr>
          <w:rFonts w:ascii="Arial" w:hAnsi="Arial" w:cs="Arial"/>
          <w:sz w:val="22"/>
        </w:rPr>
        <w:noBreakHyphen/>
        <w:t>centred manner, reducing anxiety and supporting her independence in daily care.</w:t>
      </w:r>
      <w:r w:rsidR="00781D73">
        <w:rPr>
          <w:rFonts w:ascii="Arial" w:hAnsi="Arial" w:cs="Arial"/>
          <w:sz w:val="22"/>
        </w:rPr>
        <w:t xml:space="preserve"> (ResearchGate) </w:t>
      </w:r>
    </w:p>
    <w:p w14:paraId="60B2CDC3" w14:textId="12EE5464" w:rsidR="00B87E75" w:rsidRPr="00CD33A8" w:rsidRDefault="0026393A" w:rsidP="00E620E7">
      <w:pPr>
        <w:pStyle w:val="Heading1"/>
      </w:pPr>
      <w:bookmarkStart w:id="4" w:name="_Toc236603760"/>
      <w:r w:rsidRPr="00CD33A8">
        <w:t>3</w:t>
      </w:r>
      <w:r w:rsidR="00B87E75" w:rsidRPr="00CD33A8">
        <w:t>.</w:t>
      </w:r>
      <w:r w:rsidR="008E3943">
        <w:t xml:space="preserve"> I</w:t>
      </w:r>
      <w:r w:rsidR="008E3943" w:rsidRPr="008E3943">
        <w:t>mportance of good administrative skills</w:t>
      </w:r>
      <w:bookmarkEnd w:id="4"/>
      <w:r w:rsidR="008E3943" w:rsidRPr="008E3943">
        <w:t xml:space="preserve"> </w:t>
      </w:r>
    </w:p>
    <w:p w14:paraId="68FFD705" w14:textId="42011A45" w:rsidR="008E3943" w:rsidRDefault="00781D73" w:rsidP="00CD33A8">
      <w:pPr>
        <w:tabs>
          <w:tab w:val="left" w:pos="6540"/>
        </w:tabs>
        <w:spacing w:line="360" w:lineRule="auto"/>
        <w:rPr>
          <w:rFonts w:asciiTheme="minorBidi" w:hAnsiTheme="minorBidi"/>
          <w:sz w:val="22"/>
        </w:rPr>
      </w:pPr>
      <w:r>
        <w:rPr>
          <w:rFonts w:asciiTheme="minorBidi" w:hAnsiTheme="minorBidi"/>
          <w:sz w:val="22"/>
        </w:rPr>
        <w:t>Strong administrative skills</w:t>
      </w:r>
      <w:r w:rsidR="00B74ED5">
        <w:rPr>
          <w:rFonts w:asciiTheme="minorBidi" w:hAnsiTheme="minorBidi"/>
          <w:sz w:val="22"/>
        </w:rPr>
        <w:t xml:space="preserve"> are skills that help professionals manage tasks, organise resources, and support smooth operations in a workplace. They are essential in health and social care because they directly influence the quality, safety and consistency of a patient’s care</w:t>
      </w:r>
      <w:r>
        <w:rPr>
          <w:rFonts w:asciiTheme="minorBidi" w:hAnsiTheme="minorBidi"/>
          <w:sz w:val="22"/>
        </w:rPr>
        <w:t>. In the context of Mrs Thompson</w:t>
      </w:r>
      <w:r w:rsidR="00056279">
        <w:rPr>
          <w:rFonts w:asciiTheme="minorBidi" w:hAnsiTheme="minorBidi"/>
          <w:sz w:val="22"/>
        </w:rPr>
        <w:t>’s case</w:t>
      </w:r>
      <w:r>
        <w:rPr>
          <w:rFonts w:asciiTheme="minorBidi" w:hAnsiTheme="minorBidi"/>
          <w:sz w:val="22"/>
        </w:rPr>
        <w:t xml:space="preserve">, </w:t>
      </w:r>
      <w:r w:rsidR="00056279">
        <w:rPr>
          <w:rFonts w:asciiTheme="minorBidi" w:hAnsiTheme="minorBidi"/>
          <w:sz w:val="22"/>
        </w:rPr>
        <w:t>strong administrative skills are central to keeping her safe at home. She lives alone, has mild dementia, and relies on twice-a-day domiciliary care, meaning effective communication and good administrative ski</w:t>
      </w:r>
      <w:r w:rsidR="00EE4F24">
        <w:rPr>
          <w:rFonts w:asciiTheme="minorBidi" w:hAnsiTheme="minorBidi"/>
          <w:sz w:val="22"/>
        </w:rPr>
        <w:t>l</w:t>
      </w:r>
      <w:r w:rsidR="00056279">
        <w:rPr>
          <w:rFonts w:asciiTheme="minorBidi" w:hAnsiTheme="minorBidi"/>
          <w:sz w:val="22"/>
        </w:rPr>
        <w:t xml:space="preserve">ls are </w:t>
      </w:r>
      <w:r w:rsidR="00EE4F24">
        <w:rPr>
          <w:rFonts w:asciiTheme="minorBidi" w:hAnsiTheme="minorBidi"/>
          <w:sz w:val="22"/>
        </w:rPr>
        <w:t>crucial to guarantee her safety and that she receives person-centred care focused around her well-being and treatment.</w:t>
      </w:r>
      <w:r w:rsidR="00B74ED5">
        <w:rPr>
          <w:rFonts w:asciiTheme="minorBidi" w:hAnsiTheme="minorBidi"/>
          <w:sz w:val="22"/>
        </w:rPr>
        <w:t xml:space="preserve"> </w:t>
      </w:r>
      <w:r w:rsidR="00D11091">
        <w:rPr>
          <w:rFonts w:asciiTheme="minorBidi" w:hAnsiTheme="minorBidi"/>
          <w:sz w:val="22"/>
        </w:rPr>
        <w:t>Cambridge University says that e</w:t>
      </w:r>
      <w:r w:rsidR="00B74ED5">
        <w:rPr>
          <w:rFonts w:asciiTheme="minorBidi" w:hAnsiTheme="minorBidi"/>
          <w:sz w:val="22"/>
        </w:rPr>
        <w:t>xamples of good administrative skills are record keeping and following the Data Protection Act 2018, because record keeping helps professionals organise resources, while following the Data Protection Act helps them support smooth operations in a workplace.</w:t>
      </w:r>
    </w:p>
    <w:p w14:paraId="3C61A29C" w14:textId="6BA34ACA" w:rsidR="00A01192" w:rsidRDefault="00B72A39" w:rsidP="00CD33A8">
      <w:pPr>
        <w:tabs>
          <w:tab w:val="left" w:pos="6540"/>
        </w:tabs>
        <w:spacing w:line="360" w:lineRule="auto"/>
        <w:rPr>
          <w:rFonts w:ascii="Arial" w:hAnsi="Arial" w:cs="Arial"/>
          <w:sz w:val="22"/>
        </w:rPr>
      </w:pPr>
      <w:r>
        <w:rPr>
          <w:rFonts w:ascii="Arial" w:hAnsi="Arial" w:cs="Arial"/>
          <w:sz w:val="22"/>
        </w:rPr>
        <w:t>Record keeping is among the most basic of clinical tools and is involved in almost every consultation. Together, th</w:t>
      </w:r>
      <w:r w:rsidR="00D74C19">
        <w:rPr>
          <w:rFonts w:ascii="Arial" w:hAnsi="Arial" w:cs="Arial"/>
          <w:sz w:val="22"/>
        </w:rPr>
        <w:t>ese records</w:t>
      </w:r>
      <w:r>
        <w:rPr>
          <w:rFonts w:ascii="Arial" w:hAnsi="Arial" w:cs="Arial"/>
          <w:sz w:val="22"/>
        </w:rPr>
        <w:t xml:space="preserve"> form a permanent account of individual considerations and the explanations for decisions. They provide a clear and accurate picture of </w:t>
      </w:r>
      <w:r w:rsidR="00D74C19">
        <w:rPr>
          <w:rFonts w:ascii="Arial" w:hAnsi="Arial" w:cs="Arial"/>
          <w:sz w:val="22"/>
        </w:rPr>
        <w:t xml:space="preserve">patient care </w:t>
      </w:r>
      <w:r w:rsidR="00D74C19">
        <w:rPr>
          <w:rFonts w:ascii="Arial" w:hAnsi="Arial" w:cs="Arial"/>
          <w:sz w:val="22"/>
        </w:rPr>
        <w:lastRenderedPageBreak/>
        <w:t>and treatment and help ensure patients</w:t>
      </w:r>
      <w:r>
        <w:rPr>
          <w:rFonts w:ascii="Arial" w:hAnsi="Arial" w:cs="Arial"/>
          <w:sz w:val="22"/>
        </w:rPr>
        <w:t xml:space="preserve"> receive the best possible care. They help doctors communicate with other doctors, other healthcare professionals, and themselves, and are essential to ensure an individual’s needs are met to a good standard. In the context of Mrs Thompson, record keeping can help organise her treatment by ensuring that every professional involved in her care has the correct information about her condition, routines, and treatment. Good records support the continuity and consistency of care, which is especially important for someone with dementia, as changes can create confusion or distress. (Cambridge University)</w:t>
      </w:r>
    </w:p>
    <w:p w14:paraId="6C5D54C6" w14:textId="6529673C" w:rsidR="00B13F42" w:rsidRPr="00056279" w:rsidRDefault="00B72A39" w:rsidP="00CD33A8">
      <w:pPr>
        <w:tabs>
          <w:tab w:val="left" w:pos="6540"/>
        </w:tabs>
        <w:spacing w:line="360" w:lineRule="auto"/>
        <w:rPr>
          <w:rFonts w:ascii="Arial" w:hAnsi="Arial" w:cs="Arial"/>
          <w:sz w:val="22"/>
        </w:rPr>
      </w:pPr>
      <w:r>
        <w:rPr>
          <w:rFonts w:ascii="Arial" w:hAnsi="Arial" w:cs="Arial"/>
          <w:sz w:val="22"/>
        </w:rPr>
        <w:t xml:space="preserve">The Data Protection Act 2018 (DPA 2018) is the main piece of legislation governing how organisations in the UK collect, store, and use personal information. </w:t>
      </w:r>
      <w:r w:rsidR="00D11091">
        <w:rPr>
          <w:rFonts w:ascii="Arial" w:hAnsi="Arial" w:cs="Arial"/>
          <w:sz w:val="22"/>
        </w:rPr>
        <w:t>Care Learning stated</w:t>
      </w:r>
      <w:r>
        <w:rPr>
          <w:rFonts w:ascii="Arial" w:hAnsi="Arial" w:cs="Arial"/>
          <w:sz w:val="22"/>
        </w:rPr>
        <w:t xml:space="preserve"> </w:t>
      </w:r>
      <w:r w:rsidR="00D74C19">
        <w:rPr>
          <w:rFonts w:ascii="Arial" w:hAnsi="Arial" w:cs="Arial"/>
          <w:sz w:val="22"/>
        </w:rPr>
        <w:t xml:space="preserve">that it sits </w:t>
      </w:r>
      <w:r>
        <w:rPr>
          <w:rFonts w:ascii="Arial" w:hAnsi="Arial" w:cs="Arial"/>
          <w:sz w:val="22"/>
        </w:rPr>
        <w:t>alongside the UK General Data Protection Regulation (UK GDPR), bringing data protection up to the standards of modern technology and practices. Every time staff process data, there must be a lawful reason. The most common reasons are consent, a legal obligation, vital interests, or a public task. Consent is not always needed in health and social care. The Act also states that individuals may request access to their records, ask for mistakes in their data to be corrected, request removal of data, ask for restriction on use of their data and object to how their data is used.</w:t>
      </w:r>
      <w:r w:rsidR="00D74C19">
        <w:rPr>
          <w:rFonts w:ascii="Arial" w:hAnsi="Arial" w:cs="Arial"/>
          <w:sz w:val="22"/>
        </w:rPr>
        <w:t xml:space="preserve"> Organisations</w:t>
      </w:r>
      <w:r w:rsidR="00B74ED5">
        <w:rPr>
          <w:rFonts w:ascii="Arial" w:hAnsi="Arial" w:cs="Arial"/>
          <w:sz w:val="22"/>
        </w:rPr>
        <w:t xml:space="preserve"> can refuse a request for a copy of records only in specific cases, such as if giving the data could cause serious harm or reveal confidential information about another individual.</w:t>
      </w:r>
      <w:r>
        <w:rPr>
          <w:rFonts w:ascii="Arial" w:hAnsi="Arial" w:cs="Arial"/>
          <w:sz w:val="22"/>
        </w:rPr>
        <w:t xml:space="preserve"> In the context of Mrs Thompson, this means that carers must communicate with </w:t>
      </w:r>
      <w:r w:rsidR="00F70E22">
        <w:rPr>
          <w:rFonts w:ascii="Arial" w:hAnsi="Arial" w:cs="Arial"/>
          <w:sz w:val="22"/>
        </w:rPr>
        <w:t>her so that her rights aren’t violated, and ensure</w:t>
      </w:r>
      <w:r w:rsidR="00B74ED5">
        <w:rPr>
          <w:rFonts w:ascii="Arial" w:hAnsi="Arial" w:cs="Arial"/>
          <w:sz w:val="22"/>
        </w:rPr>
        <w:t xml:space="preserve"> they have consent before sharing or storing data, unless there is an exception. </w:t>
      </w:r>
      <w:r w:rsidR="00ED3858">
        <w:rPr>
          <w:rFonts w:ascii="Arial" w:hAnsi="Arial" w:cs="Arial"/>
          <w:sz w:val="22"/>
        </w:rPr>
        <w:t>(Care Learning)</w:t>
      </w: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bookmarkStart w:id="5" w:name="_Toc236603761"/>
      <w:r w:rsidRPr="00CD33A8">
        <w:t>4</w:t>
      </w:r>
      <w:r w:rsidR="00B87E75" w:rsidRPr="00CD33A8">
        <w:t xml:space="preserve">. </w:t>
      </w:r>
      <w:r w:rsidR="008E3943">
        <w:t>I</w:t>
      </w:r>
      <w:r w:rsidR="008E3943" w:rsidRPr="008E3943">
        <w:t>mportance of working collaboratively</w:t>
      </w:r>
      <w:bookmarkEnd w:id="5"/>
    </w:p>
    <w:p w14:paraId="2F466BA7" w14:textId="426673D3" w:rsidR="00620376" w:rsidRPr="00563336" w:rsidRDefault="00683A27" w:rsidP="00CD33A8">
      <w:pPr>
        <w:tabs>
          <w:tab w:val="left" w:pos="6540"/>
        </w:tabs>
        <w:spacing w:line="360" w:lineRule="auto"/>
        <w:rPr>
          <w:rFonts w:asciiTheme="minorBidi" w:hAnsiTheme="minorBidi"/>
          <w:sz w:val="22"/>
        </w:rPr>
      </w:pPr>
      <w:r>
        <w:rPr>
          <w:rFonts w:asciiTheme="minorBidi" w:hAnsiTheme="minorBidi"/>
          <w:sz w:val="22"/>
        </w:rPr>
        <w:t xml:space="preserve">Collaborative working in Health and Social Care is essential to ensure better experiences and outcomes for people using care systems and </w:t>
      </w:r>
      <w:r w:rsidR="00E71ADC">
        <w:rPr>
          <w:rFonts w:asciiTheme="minorBidi" w:hAnsiTheme="minorBidi"/>
          <w:sz w:val="22"/>
        </w:rPr>
        <w:t>to support rapid decision-making during</w:t>
      </w:r>
      <w:r>
        <w:rPr>
          <w:rFonts w:asciiTheme="minorBidi" w:hAnsiTheme="minorBidi"/>
          <w:sz w:val="22"/>
        </w:rPr>
        <w:t xml:space="preserve"> intense moments. </w:t>
      </w:r>
      <w:r w:rsidR="00D11091">
        <w:rPr>
          <w:rFonts w:asciiTheme="minorBidi" w:hAnsiTheme="minorBidi"/>
          <w:sz w:val="22"/>
        </w:rPr>
        <w:t>Care Quality Commission described that w</w:t>
      </w:r>
      <w:r>
        <w:rPr>
          <w:rFonts w:asciiTheme="minorBidi" w:hAnsiTheme="minorBidi"/>
          <w:sz w:val="22"/>
        </w:rPr>
        <w:t xml:space="preserve">orking together helps to achieve creative and innovative solutions, and helps professionals work towards a unified goal, while being flexible and sharing resources. </w:t>
      </w:r>
      <w:r w:rsidR="00E71ADC">
        <w:rPr>
          <w:rFonts w:asciiTheme="minorBidi" w:hAnsiTheme="minorBidi"/>
          <w:sz w:val="22"/>
        </w:rPr>
        <w:t>Improved collaboration in technology use and shared learning enabled doctors to see more patients more efficiently, strengthening relationships among</w:t>
      </w:r>
      <w:r>
        <w:rPr>
          <w:rFonts w:asciiTheme="minorBidi" w:hAnsiTheme="minorBidi"/>
          <w:sz w:val="22"/>
        </w:rPr>
        <w:t xml:space="preserve"> colleagues. In the context of Mrs Thompson, working collaboratively brings several important benefits for her, especially since she is an older adult, and collaboration helps coordinate her care, making it safe and person-centred. It also improves patient care and safety by ensuring different professionals share their expertise </w:t>
      </w:r>
      <w:r w:rsidR="00E71ADC">
        <w:rPr>
          <w:rFonts w:asciiTheme="minorBidi" w:hAnsiTheme="minorBidi"/>
          <w:sz w:val="22"/>
        </w:rPr>
        <w:t xml:space="preserve">and contribute to a complete vision of her needs. For Mrs Thompson, who may see the GP, </w:t>
      </w:r>
      <w:r w:rsidR="00E71ADC">
        <w:rPr>
          <w:rFonts w:asciiTheme="minorBidi" w:hAnsiTheme="minorBidi"/>
          <w:sz w:val="22"/>
        </w:rPr>
        <w:lastRenderedPageBreak/>
        <w:t>community nurses and domiciliary care workers, teamwork ensures her treatment is consistent and that important information is not lost</w:t>
      </w:r>
      <w:r w:rsidR="00563336">
        <w:rPr>
          <w:rFonts w:asciiTheme="minorBidi" w:hAnsiTheme="minorBidi"/>
          <w:sz w:val="22"/>
        </w:rPr>
        <w:t>. (Care Quality Commission)</w:t>
      </w:r>
    </w:p>
    <w:p w14:paraId="15C25996" w14:textId="773DE70B" w:rsidR="008E3943" w:rsidRDefault="008D2662" w:rsidP="00CD33A8">
      <w:pPr>
        <w:tabs>
          <w:tab w:val="left" w:pos="6540"/>
        </w:tabs>
        <w:spacing w:line="360" w:lineRule="auto"/>
        <w:rPr>
          <w:rFonts w:asciiTheme="minorBidi" w:hAnsiTheme="minorBidi"/>
          <w:sz w:val="22"/>
        </w:rPr>
      </w:pPr>
      <w:r>
        <w:rPr>
          <w:rFonts w:asciiTheme="minorBidi" w:hAnsiTheme="minorBidi"/>
          <w:sz w:val="22"/>
        </w:rPr>
        <w:t xml:space="preserve">Common challenges faced in multi-agency working include </w:t>
      </w:r>
      <w:r w:rsidR="00F63D26">
        <w:rPr>
          <w:rFonts w:asciiTheme="minorBidi" w:hAnsiTheme="minorBidi"/>
          <w:sz w:val="22"/>
        </w:rPr>
        <w:t>high</w:t>
      </w:r>
      <w:r>
        <w:rPr>
          <w:rFonts w:asciiTheme="minorBidi" w:hAnsiTheme="minorBidi"/>
          <w:sz w:val="22"/>
        </w:rPr>
        <w:t xml:space="preserve"> caseloads, outdated technology</w:t>
      </w:r>
      <w:r w:rsidR="00D11091">
        <w:rPr>
          <w:rFonts w:asciiTheme="minorBidi" w:hAnsiTheme="minorBidi"/>
          <w:sz w:val="22"/>
        </w:rPr>
        <w:t>, communication barriers,</w:t>
      </w:r>
      <w:r>
        <w:rPr>
          <w:rFonts w:asciiTheme="minorBidi" w:hAnsiTheme="minorBidi"/>
          <w:sz w:val="22"/>
        </w:rPr>
        <w:t xml:space="preserve"> and limited time, resources, and funding, which hinder professionals from working at the best of their ability. To help social workers focus on what actions can support effective multi-agency working and information</w:t>
      </w:r>
      <w:r w:rsidR="00F63D26">
        <w:rPr>
          <w:rFonts w:asciiTheme="minorBidi" w:hAnsiTheme="minorBidi"/>
          <w:sz w:val="22"/>
        </w:rPr>
        <w:t xml:space="preserve"> sharing</w:t>
      </w:r>
      <w:r>
        <w:rPr>
          <w:rFonts w:asciiTheme="minorBidi" w:hAnsiTheme="minorBidi"/>
          <w:sz w:val="22"/>
        </w:rPr>
        <w:t xml:space="preserve">, NSPCC Learning has stated eight </w:t>
      </w:r>
      <w:r w:rsidR="00F63D26">
        <w:rPr>
          <w:rFonts w:asciiTheme="minorBidi" w:hAnsiTheme="minorBidi"/>
          <w:sz w:val="22"/>
        </w:rPr>
        <w:t>practice</w:t>
      </w:r>
      <w:r>
        <w:rPr>
          <w:rFonts w:asciiTheme="minorBidi" w:hAnsiTheme="minorBidi"/>
          <w:sz w:val="22"/>
        </w:rPr>
        <w:t xml:space="preserve"> </w:t>
      </w:r>
      <w:r w:rsidR="00F63D26">
        <w:rPr>
          <w:rFonts w:asciiTheme="minorBidi" w:hAnsiTheme="minorBidi"/>
          <w:sz w:val="22"/>
        </w:rPr>
        <w:t>points that can help social workers focus on what actions can support effective multi-agency working and information sharing. One of them is to identify and seek information from the key professionals and people in the family’s life and make sure the family gets the support they need. Professionals should keep other workers and agencies up to date about support provided. Another is to seek clarification when in doubt about what someone else has shared with you. If possible, workers should seek out and share information about important</w:t>
      </w:r>
      <w:r w:rsidR="009121EE">
        <w:rPr>
          <w:rFonts w:asciiTheme="minorBidi" w:hAnsiTheme="minorBidi"/>
          <w:sz w:val="22"/>
        </w:rPr>
        <w:t xml:space="preserve"> characteristics. In the context of Mrs Thompson, these challenges directly affect how well agencies can coordinate her care. High caseloads or delays in communication could mean important details about her medication, medical condition</w:t>
      </w:r>
      <w:r w:rsidR="00D11091">
        <w:rPr>
          <w:rFonts w:asciiTheme="minorBidi" w:hAnsiTheme="minorBidi"/>
          <w:sz w:val="22"/>
        </w:rPr>
        <w:t>,</w:t>
      </w:r>
      <w:r w:rsidR="009121EE">
        <w:rPr>
          <w:rFonts w:asciiTheme="minorBidi" w:hAnsiTheme="minorBidi"/>
          <w:sz w:val="22"/>
        </w:rPr>
        <w:t xml:space="preserve"> or treatment can be missed, making effective collaboration essential to keeping her safe and well.</w:t>
      </w:r>
      <w:r w:rsidR="00D11091">
        <w:rPr>
          <w:rFonts w:asciiTheme="minorBidi" w:hAnsiTheme="minorBidi"/>
          <w:sz w:val="22"/>
        </w:rPr>
        <w:t xml:space="preserve"> (NSPCC Learning)</w:t>
      </w: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bookmarkStart w:id="6" w:name="_Toc236603762"/>
      <w:r>
        <w:t>5</w:t>
      </w:r>
      <w:r w:rsidR="00B87E75" w:rsidRPr="00CD33A8">
        <w:t>. Conclusion</w:t>
      </w:r>
      <w:bookmarkEnd w:id="6"/>
      <w:r w:rsidR="00CD33A8">
        <w:t xml:space="preserve"> </w:t>
      </w:r>
    </w:p>
    <w:p w14:paraId="444BAD02" w14:textId="7F10F8CF" w:rsidR="00814A9E" w:rsidRPr="00CD33A8" w:rsidRDefault="009121EE" w:rsidP="00CD33A8">
      <w:pPr>
        <w:tabs>
          <w:tab w:val="left" w:pos="6540"/>
        </w:tabs>
        <w:spacing w:line="360" w:lineRule="auto"/>
        <w:rPr>
          <w:rFonts w:asciiTheme="minorBidi" w:hAnsiTheme="minorBidi"/>
          <w:sz w:val="22"/>
        </w:rPr>
      </w:pPr>
      <w:r>
        <w:rPr>
          <w:rFonts w:asciiTheme="minorBidi" w:hAnsiTheme="minorBidi"/>
          <w:sz w:val="22"/>
        </w:rPr>
        <w:t xml:space="preserve">Overall, Mrs Thompson’s case highlights how essential effective communication, administrative skills and collaborative working are in health and social care. Her age, dementia and recent pneumonia make her dependent on the carers and professionals working on her treatment. </w:t>
      </w:r>
      <w:r w:rsidR="00D11091">
        <w:rPr>
          <w:rFonts w:asciiTheme="minorBidi" w:hAnsiTheme="minorBidi"/>
          <w:sz w:val="22"/>
        </w:rPr>
        <w:t xml:space="preserve">It also means that professionals must communicate clearly, repeat when needed, and involve her in decisions when </w:t>
      </w:r>
      <w:r w:rsidR="00D97654">
        <w:rPr>
          <w:rFonts w:asciiTheme="minorBidi" w:hAnsiTheme="minorBidi"/>
          <w:sz w:val="22"/>
        </w:rPr>
        <w:t>required</w:t>
      </w:r>
      <w:r w:rsidR="00D11091">
        <w:rPr>
          <w:rFonts w:asciiTheme="minorBidi" w:hAnsiTheme="minorBidi"/>
          <w:sz w:val="22"/>
        </w:rPr>
        <w:t xml:space="preserve">. Good administrative skills, including record-keeping and compliance with the Data Protection Act 2018, ensure her personal information is handled lawfully, and that she and her family will have access to her records. Collaboration further strengthens her care by bringing together professionals so they can coordinate her care and learn from each other’s expertise. Although challenges such as high caseloads, outdated technology, limited time, resources and funding, and communication barriers, productive approaches like NSPCC’s eight practice points help </w:t>
      </w:r>
      <w:r w:rsidR="003B52B4">
        <w:rPr>
          <w:rFonts w:asciiTheme="minorBidi" w:hAnsiTheme="minorBidi"/>
          <w:sz w:val="22"/>
        </w:rPr>
        <w:t>social workers focus on actions that support collaborative working and information sharing.</w:t>
      </w:r>
    </w:p>
    <w:p w14:paraId="71022E41" w14:textId="77777777" w:rsidR="00814A9E" w:rsidRPr="00CD33A8" w:rsidRDefault="00814A9E"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33F8F0BD" w14:textId="5CC08DF2" w:rsidR="00B87E75" w:rsidRDefault="00B87E75" w:rsidP="003B52B4">
      <w:pPr>
        <w:pStyle w:val="Heading1"/>
      </w:pPr>
      <w:bookmarkStart w:id="7" w:name="_Toc236603763"/>
      <w:r w:rsidRPr="003B52B4">
        <w:lastRenderedPageBreak/>
        <w:t>References</w:t>
      </w:r>
      <w:bookmarkEnd w:id="7"/>
    </w:p>
    <w:p w14:paraId="1425F4AC" w14:textId="29583A31" w:rsidR="001D7C03" w:rsidRDefault="00D17022" w:rsidP="00CD33A8">
      <w:pPr>
        <w:tabs>
          <w:tab w:val="left" w:pos="6540"/>
        </w:tabs>
        <w:spacing w:line="360" w:lineRule="auto"/>
        <w:rPr>
          <w:rFonts w:ascii="Arial" w:hAnsi="Arial" w:cs="Arial"/>
          <w:sz w:val="22"/>
        </w:rPr>
      </w:pPr>
      <w:r w:rsidRPr="00D17022">
        <w:rPr>
          <w:rFonts w:ascii="Arial" w:hAnsi="Arial" w:cs="Arial"/>
          <w:sz w:val="22"/>
        </w:rPr>
        <w:t xml:space="preserve">Pullen, I. and Loudon, J. (2018) </w:t>
      </w:r>
      <w:r w:rsidRPr="00D17022">
        <w:rPr>
          <w:rFonts w:ascii="Arial" w:hAnsi="Arial" w:cs="Arial"/>
          <w:i/>
          <w:iCs/>
          <w:sz w:val="22"/>
        </w:rPr>
        <w:t>Improving standards in clinical record</w:t>
      </w:r>
      <w:r w:rsidRPr="00D17022">
        <w:rPr>
          <w:rFonts w:ascii="Arial" w:hAnsi="Arial" w:cs="Arial"/>
          <w:i/>
          <w:iCs/>
          <w:sz w:val="22"/>
        </w:rPr>
        <w:noBreakHyphen/>
        <w:t>keeping</w:t>
      </w:r>
      <w:r w:rsidRPr="00D17022">
        <w:rPr>
          <w:rFonts w:ascii="Arial" w:hAnsi="Arial" w:cs="Arial"/>
          <w:sz w:val="22"/>
        </w:rPr>
        <w:t xml:space="preserve">. </w:t>
      </w:r>
      <w:r w:rsidRPr="00D17022">
        <w:rPr>
          <w:rFonts w:ascii="Arial" w:hAnsi="Arial" w:cs="Arial"/>
          <w:i/>
          <w:iCs/>
          <w:sz w:val="22"/>
        </w:rPr>
        <w:t>Advances in Psychiatric Treatment</w:t>
      </w:r>
      <w:r w:rsidRPr="00D17022">
        <w:rPr>
          <w:rFonts w:ascii="Arial" w:hAnsi="Arial" w:cs="Arial"/>
          <w:sz w:val="22"/>
        </w:rPr>
        <w:t xml:space="preserve">. Published online: 02 January 2018. Cambridge University Press. Available at: </w:t>
      </w:r>
      <w:hyperlink r:id="rId9" w:history="1">
        <w:r w:rsidRPr="00E528B1">
          <w:rPr>
            <w:rStyle w:val="Hyperlink"/>
            <w:rFonts w:ascii="Arial" w:hAnsi="Arial" w:cs="Arial"/>
            <w:sz w:val="22"/>
          </w:rPr>
          <w:t>https://www.cambridge.org/core/journals/advances-in-psychiatric-treatment/article/improving-standards-in-clinical-recordkeeping/71A305470FB06716F5205532CC09D2B9</w:t>
        </w:r>
      </w:hyperlink>
      <w:r w:rsidRPr="00D17022">
        <w:rPr>
          <w:rFonts w:ascii="Arial" w:hAnsi="Arial" w:cs="Arial"/>
          <w:sz w:val="22"/>
        </w:rPr>
        <w:t xml:space="preserve"> (Accessed: </w:t>
      </w:r>
      <w:r>
        <w:rPr>
          <w:rFonts w:ascii="Arial" w:hAnsi="Arial" w:cs="Arial"/>
          <w:sz w:val="22"/>
        </w:rPr>
        <w:t>1</w:t>
      </w:r>
      <w:r w:rsidRPr="00D17022">
        <w:rPr>
          <w:rFonts w:ascii="Arial" w:hAnsi="Arial" w:cs="Arial"/>
          <w:sz w:val="22"/>
        </w:rPr>
        <w:t xml:space="preserve"> August 2026).</w:t>
      </w:r>
    </w:p>
    <w:p w14:paraId="4E26AFC7" w14:textId="70B0FC4C" w:rsidR="00D17022" w:rsidRDefault="004C4BD2" w:rsidP="00CD33A8">
      <w:pPr>
        <w:tabs>
          <w:tab w:val="left" w:pos="6540"/>
        </w:tabs>
        <w:spacing w:line="360" w:lineRule="auto"/>
        <w:rPr>
          <w:rFonts w:asciiTheme="minorBidi" w:hAnsiTheme="minorBidi"/>
          <w:sz w:val="22"/>
        </w:rPr>
      </w:pPr>
      <w:r w:rsidRPr="004C4BD2">
        <w:rPr>
          <w:rFonts w:asciiTheme="minorBidi" w:hAnsiTheme="minorBidi"/>
          <w:sz w:val="22"/>
        </w:rPr>
        <w:t xml:space="preserve">Care Learning (2025) </w:t>
      </w:r>
      <w:r w:rsidRPr="004C4BD2">
        <w:rPr>
          <w:rFonts w:asciiTheme="minorBidi" w:hAnsiTheme="minorBidi"/>
          <w:i/>
          <w:iCs/>
          <w:sz w:val="22"/>
        </w:rPr>
        <w:t>A guide to the Data Protection Act 2018 in health and social care</w:t>
      </w:r>
      <w:r w:rsidRPr="004C4BD2">
        <w:rPr>
          <w:rFonts w:asciiTheme="minorBidi" w:hAnsiTheme="minorBidi"/>
          <w:sz w:val="22"/>
        </w:rPr>
        <w:t xml:space="preserve">. Available at: </w:t>
      </w:r>
      <w:hyperlink r:id="rId10" w:history="1">
        <w:r w:rsidRPr="004C4BD2">
          <w:rPr>
            <w:rStyle w:val="Hyperlink"/>
            <w:rFonts w:asciiTheme="minorBidi" w:hAnsiTheme="minorBidi"/>
            <w:sz w:val="22"/>
          </w:rPr>
          <w:t>https://carelearning.org.uk/blog/data-protection-and-gdpr/data-protection-act-2018-in-health-and-social-care</w:t>
        </w:r>
      </w:hyperlink>
      <w:r w:rsidRPr="004C4BD2">
        <w:rPr>
          <w:rFonts w:asciiTheme="minorBidi" w:hAnsiTheme="minorBidi"/>
          <w:sz w:val="22"/>
        </w:rPr>
        <w:t xml:space="preserve"> (Accessed: 2 August 2026).</w:t>
      </w:r>
    </w:p>
    <w:p w14:paraId="57F90645" w14:textId="77777777" w:rsidR="004C4BD2" w:rsidRPr="004C4BD2" w:rsidRDefault="004C4BD2" w:rsidP="004C4BD2">
      <w:pPr>
        <w:tabs>
          <w:tab w:val="left" w:pos="6540"/>
        </w:tabs>
        <w:spacing w:line="360" w:lineRule="auto"/>
        <w:rPr>
          <w:rFonts w:asciiTheme="minorBidi" w:hAnsiTheme="minorBidi"/>
          <w:sz w:val="22"/>
        </w:rPr>
      </w:pPr>
      <w:r w:rsidRPr="004C4BD2">
        <w:rPr>
          <w:rFonts w:asciiTheme="minorBidi" w:hAnsiTheme="minorBidi"/>
          <w:sz w:val="22"/>
        </w:rPr>
        <w:t xml:space="preserve">Care Quality Commission (2022) </w:t>
      </w:r>
      <w:r w:rsidRPr="004C4BD2">
        <w:rPr>
          <w:rFonts w:asciiTheme="minorBidi" w:hAnsiTheme="minorBidi"/>
          <w:i/>
          <w:iCs/>
          <w:sz w:val="22"/>
        </w:rPr>
        <w:t>Better care through collaboration</w:t>
      </w:r>
      <w:r w:rsidRPr="004C4BD2">
        <w:rPr>
          <w:rFonts w:asciiTheme="minorBidi" w:hAnsiTheme="minorBidi"/>
          <w:sz w:val="22"/>
        </w:rPr>
        <w:t xml:space="preserve">. Care Quality Commission. Available at: </w:t>
      </w:r>
      <w:hyperlink r:id="rId11" w:history="1">
        <w:r w:rsidRPr="004C4BD2">
          <w:rPr>
            <w:rStyle w:val="Hyperlink"/>
            <w:rFonts w:asciiTheme="minorBidi" w:hAnsiTheme="minorBidi"/>
            <w:sz w:val="22"/>
          </w:rPr>
          <w:t>https://www.cqc.org.uk/publications/major-reports/better-care-through-collaboration</w:t>
        </w:r>
      </w:hyperlink>
      <w:r w:rsidRPr="004C4BD2">
        <w:rPr>
          <w:rFonts w:asciiTheme="minorBidi" w:hAnsiTheme="minorBidi"/>
          <w:sz w:val="22"/>
        </w:rPr>
        <w:t xml:space="preserve"> (Accessed: 2 August 2026).</w:t>
      </w:r>
    </w:p>
    <w:p w14:paraId="49AF03F6" w14:textId="661DC466" w:rsidR="004C4BD2" w:rsidRDefault="003D01EC" w:rsidP="00CD33A8">
      <w:pPr>
        <w:tabs>
          <w:tab w:val="left" w:pos="6540"/>
        </w:tabs>
        <w:spacing w:line="360" w:lineRule="auto"/>
        <w:rPr>
          <w:rFonts w:asciiTheme="minorBidi" w:hAnsiTheme="minorBidi"/>
          <w:sz w:val="22"/>
        </w:rPr>
      </w:pPr>
      <w:r w:rsidRPr="003D01EC">
        <w:rPr>
          <w:rFonts w:asciiTheme="minorBidi" w:hAnsiTheme="minorBidi"/>
          <w:sz w:val="22"/>
        </w:rPr>
        <w:t xml:space="preserve">Jogi, A., Anand, A., Bhandari, J., Jogi, V. and Kshatri, A.S. (2026) </w:t>
      </w:r>
      <w:r w:rsidRPr="003D01EC">
        <w:rPr>
          <w:rFonts w:asciiTheme="minorBidi" w:hAnsiTheme="minorBidi"/>
          <w:i/>
          <w:iCs/>
          <w:sz w:val="22"/>
        </w:rPr>
        <w:t>Classical and contemporary models of communication: Aristotle and Berlo</w:t>
      </w:r>
      <w:r w:rsidRPr="003D01EC">
        <w:rPr>
          <w:rFonts w:asciiTheme="minorBidi" w:hAnsiTheme="minorBidi"/>
          <w:sz w:val="22"/>
        </w:rPr>
        <w:t xml:space="preserve">. In: </w:t>
      </w:r>
      <w:r w:rsidRPr="003D01EC">
        <w:rPr>
          <w:rFonts w:asciiTheme="minorBidi" w:hAnsiTheme="minorBidi"/>
          <w:i/>
          <w:iCs/>
          <w:sz w:val="22"/>
        </w:rPr>
        <w:t>Diffusion and Adoption of Homestead Technologies</w:t>
      </w:r>
      <w:r w:rsidRPr="003D01EC">
        <w:rPr>
          <w:rFonts w:asciiTheme="minorBidi" w:hAnsiTheme="minorBidi"/>
          <w:sz w:val="22"/>
        </w:rPr>
        <w:t xml:space="preserve">. Elite Publishing House, pp. 71–90. Available at: </w:t>
      </w:r>
      <w:hyperlink r:id="rId12" w:history="1">
        <w:r w:rsidRPr="003D01EC">
          <w:rPr>
            <w:rStyle w:val="Hyperlink"/>
            <w:rFonts w:asciiTheme="minorBidi" w:hAnsiTheme="minorBidi"/>
            <w:sz w:val="22"/>
          </w:rPr>
          <w:t>https://www.researchgate.net/publication/403317840_Classical_and_Contemporary_Models_of_Communication_Aristotle_and_Berlo</w:t>
        </w:r>
      </w:hyperlink>
      <w:r w:rsidRPr="003D01EC">
        <w:rPr>
          <w:rFonts w:asciiTheme="minorBidi" w:hAnsiTheme="minorBidi"/>
          <w:sz w:val="22"/>
        </w:rPr>
        <w:t xml:space="preserve"> (Accessed: </w:t>
      </w:r>
      <w:r>
        <w:rPr>
          <w:rFonts w:asciiTheme="minorBidi" w:hAnsiTheme="minorBidi"/>
          <w:sz w:val="22"/>
        </w:rPr>
        <w:t>1</w:t>
      </w:r>
      <w:r w:rsidRPr="003D01EC">
        <w:rPr>
          <w:rFonts w:asciiTheme="minorBidi" w:hAnsiTheme="minorBidi"/>
          <w:sz w:val="22"/>
        </w:rPr>
        <w:t xml:space="preserve"> August 2026).</w:t>
      </w:r>
    </w:p>
    <w:p w14:paraId="784B76F5" w14:textId="40C2D53E" w:rsidR="003D01EC" w:rsidRDefault="003D01EC" w:rsidP="00CD33A8">
      <w:pPr>
        <w:tabs>
          <w:tab w:val="left" w:pos="6540"/>
        </w:tabs>
        <w:spacing w:line="360" w:lineRule="auto"/>
        <w:rPr>
          <w:rFonts w:asciiTheme="minorBidi" w:hAnsiTheme="minorBidi"/>
          <w:sz w:val="22"/>
        </w:rPr>
      </w:pPr>
      <w:r w:rsidRPr="003D01EC">
        <w:rPr>
          <w:rFonts w:asciiTheme="minorBidi" w:hAnsiTheme="minorBidi"/>
          <w:sz w:val="22"/>
        </w:rPr>
        <w:t xml:space="preserve">NSPCC (2025) </w:t>
      </w:r>
      <w:r w:rsidRPr="003D01EC">
        <w:rPr>
          <w:rFonts w:asciiTheme="minorBidi" w:hAnsiTheme="minorBidi"/>
          <w:i/>
          <w:iCs/>
          <w:sz w:val="22"/>
        </w:rPr>
        <w:t>Practice points for multi-agency working and information sharing</w:t>
      </w:r>
      <w:r w:rsidRPr="003D01EC">
        <w:rPr>
          <w:rFonts w:asciiTheme="minorBidi" w:hAnsiTheme="minorBidi"/>
          <w:sz w:val="22"/>
        </w:rPr>
        <w:t xml:space="preserve">. NSPCC Learning. Available at: </w:t>
      </w:r>
      <w:hyperlink r:id="rId13" w:history="1">
        <w:r w:rsidRPr="003D01EC">
          <w:rPr>
            <w:rStyle w:val="Hyperlink"/>
            <w:rFonts w:asciiTheme="minorBidi" w:hAnsiTheme="minorBidi"/>
            <w:sz w:val="22"/>
          </w:rPr>
          <w:t>https://learning.nspcc.org.uk/research-resources/practice-points-series/multi-agency-working-information-sharing</w:t>
        </w:r>
      </w:hyperlink>
      <w:r w:rsidRPr="003D01EC">
        <w:rPr>
          <w:rFonts w:asciiTheme="minorBidi" w:hAnsiTheme="minorBidi"/>
          <w:sz w:val="22"/>
        </w:rPr>
        <w:t xml:space="preserve"> (Accessed: 2 August 2026).</w:t>
      </w:r>
    </w:p>
    <w:p w14:paraId="445E7F7A" w14:textId="57579349" w:rsidR="003D01EC" w:rsidRPr="00CD33A8" w:rsidRDefault="003D01EC" w:rsidP="00CD33A8">
      <w:pPr>
        <w:tabs>
          <w:tab w:val="left" w:pos="6540"/>
        </w:tabs>
        <w:spacing w:line="360" w:lineRule="auto"/>
        <w:rPr>
          <w:rFonts w:asciiTheme="minorBidi" w:hAnsiTheme="minorBidi"/>
          <w:sz w:val="22"/>
        </w:rPr>
      </w:pPr>
      <w:r w:rsidRPr="003D01EC">
        <w:rPr>
          <w:rFonts w:asciiTheme="minorBidi" w:hAnsiTheme="minorBidi"/>
          <w:sz w:val="22"/>
        </w:rPr>
        <w:t xml:space="preserve">Women and Equalities Unit, Office for Equality and Opportunity, Equality and Human Rights Commission and Government Equalities Office (2026) </w:t>
      </w:r>
      <w:r w:rsidRPr="003D01EC">
        <w:rPr>
          <w:rFonts w:asciiTheme="minorBidi" w:hAnsiTheme="minorBidi"/>
          <w:i/>
          <w:iCs/>
          <w:sz w:val="22"/>
        </w:rPr>
        <w:t>Equality Act 2010: guidance</w:t>
      </w:r>
      <w:r w:rsidRPr="003D01EC">
        <w:rPr>
          <w:rFonts w:asciiTheme="minorBidi" w:hAnsiTheme="minorBidi"/>
          <w:sz w:val="22"/>
        </w:rPr>
        <w:t xml:space="preserve">. GOV.UK. Available at: </w:t>
      </w:r>
      <w:hyperlink r:id="rId14" w:history="1">
        <w:r w:rsidRPr="003D01EC">
          <w:rPr>
            <w:rStyle w:val="Hyperlink"/>
            <w:rFonts w:asciiTheme="minorBidi" w:hAnsiTheme="minorBidi"/>
            <w:sz w:val="22"/>
          </w:rPr>
          <w:t>https://www.gov.uk/guidance/equality-act-2010-guidance</w:t>
        </w:r>
      </w:hyperlink>
      <w:r w:rsidRPr="003D01EC">
        <w:rPr>
          <w:rFonts w:asciiTheme="minorBidi" w:hAnsiTheme="minorBidi"/>
          <w:sz w:val="22"/>
        </w:rPr>
        <w:t xml:space="preserve"> (Accessed: </w:t>
      </w:r>
      <w:r>
        <w:rPr>
          <w:rFonts w:asciiTheme="minorBidi" w:hAnsiTheme="minorBidi"/>
          <w:sz w:val="22"/>
        </w:rPr>
        <w:t>30 July</w:t>
      </w:r>
      <w:r w:rsidRPr="003D01EC">
        <w:rPr>
          <w:rFonts w:asciiTheme="minorBidi" w:hAnsiTheme="minorBidi"/>
          <w:sz w:val="22"/>
        </w:rPr>
        <w:t xml:space="preserve"> 2026).</w:t>
      </w:r>
    </w:p>
    <w:p w14:paraId="07D3C1C9" w14:textId="77777777" w:rsidR="00F70E22" w:rsidRPr="00CD33A8" w:rsidRDefault="00F70E22">
      <w:pPr>
        <w:tabs>
          <w:tab w:val="left" w:pos="6540"/>
        </w:tabs>
        <w:spacing w:line="360" w:lineRule="auto"/>
        <w:rPr>
          <w:rFonts w:asciiTheme="minorBidi" w:hAnsiTheme="minorBidi"/>
          <w:sz w:val="22"/>
        </w:rPr>
      </w:pPr>
    </w:p>
    <w:sectPr w:rsidR="00F70E22" w:rsidRPr="00CD33A8" w:rsidSect="00E620E7">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DF82C0" w14:textId="77777777" w:rsidR="00BC007B" w:rsidRDefault="00BC007B" w:rsidP="003E4ECF">
      <w:pPr>
        <w:spacing w:after="0" w:line="240" w:lineRule="auto"/>
      </w:pPr>
      <w:r>
        <w:separator/>
      </w:r>
    </w:p>
  </w:endnote>
  <w:endnote w:type="continuationSeparator" w:id="0">
    <w:p w14:paraId="15B70987" w14:textId="77777777" w:rsidR="00BC007B" w:rsidRDefault="00BC007B"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C441FB" w14:textId="77777777" w:rsidR="001545EF" w:rsidRDefault="00154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268463"/>
      <w:docPartObj>
        <w:docPartGallery w:val="Page Numbers (Bottom of Page)"/>
        <w:docPartUnique/>
      </w:docPartObj>
    </w:sdtPr>
    <w:sdtContent>
      <w:p w14:paraId="683028A6" w14:textId="651B707E" w:rsidR="001545EF" w:rsidRDefault="001545EF">
        <w:pPr>
          <w:pStyle w:val="Footer"/>
          <w:jc w:val="center"/>
        </w:pPr>
        <w:r>
          <w:fldChar w:fldCharType="begin"/>
        </w:r>
        <w:r>
          <w:instrText>PAGE   \* MERGEFORMAT</w:instrText>
        </w:r>
        <w:r>
          <w:fldChar w:fldCharType="separate"/>
        </w:r>
        <w:r>
          <w:t>2</w:t>
        </w:r>
        <w:r>
          <w:fldChar w:fldCharType="end"/>
        </w:r>
      </w:p>
    </w:sdtContent>
  </w:sdt>
  <w:p w14:paraId="75F0D2D9" w14:textId="77777777" w:rsidR="001545EF" w:rsidRDefault="00154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77DAB5" w14:textId="77777777" w:rsidR="00BC007B" w:rsidRDefault="00BC007B" w:rsidP="003E4ECF">
      <w:pPr>
        <w:spacing w:after="0" w:line="240" w:lineRule="auto"/>
      </w:pPr>
      <w:r>
        <w:separator/>
      </w:r>
    </w:p>
  </w:footnote>
  <w:footnote w:type="continuationSeparator" w:id="0">
    <w:p w14:paraId="61F3A2B0" w14:textId="77777777" w:rsidR="00BC007B" w:rsidRDefault="00BC007B"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3513FE" w14:textId="77777777" w:rsidR="001545EF" w:rsidRDefault="001545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B0ED2" w14:textId="77777777" w:rsidR="001545EF" w:rsidRDefault="001545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129087"/>
      <w:docPartObj>
        <w:docPartGallery w:val="Page Numbers (Top of Page)"/>
        <w:docPartUnique/>
      </w:docPartObj>
    </w:sdtPr>
    <w:sdtContent>
      <w:p w14:paraId="654C6D4A" w14:textId="292E15C6" w:rsidR="001545EF" w:rsidRDefault="00000000">
        <w:pPr>
          <w:pStyle w:val="Header"/>
          <w:jc w:val="center"/>
        </w:pPr>
      </w:p>
    </w:sdtContent>
  </w:sdt>
  <w:p w14:paraId="22FC7716" w14:textId="77777777" w:rsidR="001545EF" w:rsidRDefault="00154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26DDF"/>
    <w:multiLevelType w:val="multilevel"/>
    <w:tmpl w:val="B310E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B245FE"/>
    <w:multiLevelType w:val="multilevel"/>
    <w:tmpl w:val="A13AD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073762">
    <w:abstractNumId w:val="1"/>
  </w:num>
  <w:num w:numId="2" w16cid:durableId="1574117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6279"/>
    <w:rsid w:val="000572BF"/>
    <w:rsid w:val="00063DF8"/>
    <w:rsid w:val="00067BEC"/>
    <w:rsid w:val="00074402"/>
    <w:rsid w:val="001125EB"/>
    <w:rsid w:val="001545EF"/>
    <w:rsid w:val="001812E6"/>
    <w:rsid w:val="00181495"/>
    <w:rsid w:val="001D7C03"/>
    <w:rsid w:val="00212C74"/>
    <w:rsid w:val="00216C85"/>
    <w:rsid w:val="00224A29"/>
    <w:rsid w:val="0026393A"/>
    <w:rsid w:val="00273EDD"/>
    <w:rsid w:val="00285DA0"/>
    <w:rsid w:val="00292B3E"/>
    <w:rsid w:val="0029639D"/>
    <w:rsid w:val="002A3FC9"/>
    <w:rsid w:val="002C3965"/>
    <w:rsid w:val="002E7076"/>
    <w:rsid w:val="00314C68"/>
    <w:rsid w:val="00321C4C"/>
    <w:rsid w:val="003469ED"/>
    <w:rsid w:val="00392BBC"/>
    <w:rsid w:val="003B52B4"/>
    <w:rsid w:val="003D01EC"/>
    <w:rsid w:val="003D7C6A"/>
    <w:rsid w:val="003E4ECF"/>
    <w:rsid w:val="003E6641"/>
    <w:rsid w:val="003F2DEE"/>
    <w:rsid w:val="004A736E"/>
    <w:rsid w:val="004C4BD2"/>
    <w:rsid w:val="004F7D34"/>
    <w:rsid w:val="00563336"/>
    <w:rsid w:val="0058685F"/>
    <w:rsid w:val="005F2C6C"/>
    <w:rsid w:val="00620376"/>
    <w:rsid w:val="00683A27"/>
    <w:rsid w:val="006925AA"/>
    <w:rsid w:val="006D10F0"/>
    <w:rsid w:val="00724DD6"/>
    <w:rsid w:val="00725177"/>
    <w:rsid w:val="00781D73"/>
    <w:rsid w:val="007A1B8D"/>
    <w:rsid w:val="007E320C"/>
    <w:rsid w:val="007F198B"/>
    <w:rsid w:val="00814A9E"/>
    <w:rsid w:val="0081770A"/>
    <w:rsid w:val="008278E8"/>
    <w:rsid w:val="008511C5"/>
    <w:rsid w:val="008C2C1C"/>
    <w:rsid w:val="008D2662"/>
    <w:rsid w:val="008E3943"/>
    <w:rsid w:val="008F66E2"/>
    <w:rsid w:val="0090040D"/>
    <w:rsid w:val="0090390B"/>
    <w:rsid w:val="00911005"/>
    <w:rsid w:val="009121EE"/>
    <w:rsid w:val="00920B4F"/>
    <w:rsid w:val="00927A54"/>
    <w:rsid w:val="009360AC"/>
    <w:rsid w:val="009531AC"/>
    <w:rsid w:val="0099524A"/>
    <w:rsid w:val="00995917"/>
    <w:rsid w:val="009B028E"/>
    <w:rsid w:val="009D052C"/>
    <w:rsid w:val="009D1D1E"/>
    <w:rsid w:val="00A01192"/>
    <w:rsid w:val="00A035FD"/>
    <w:rsid w:val="00A07D7A"/>
    <w:rsid w:val="00A3730E"/>
    <w:rsid w:val="00A64E26"/>
    <w:rsid w:val="00AC13B1"/>
    <w:rsid w:val="00AC6131"/>
    <w:rsid w:val="00AD23A0"/>
    <w:rsid w:val="00AE0FED"/>
    <w:rsid w:val="00B13F42"/>
    <w:rsid w:val="00B5548B"/>
    <w:rsid w:val="00B72A39"/>
    <w:rsid w:val="00B74ED5"/>
    <w:rsid w:val="00B85894"/>
    <w:rsid w:val="00B87E75"/>
    <w:rsid w:val="00BC007B"/>
    <w:rsid w:val="00BC6D31"/>
    <w:rsid w:val="00BD2F1C"/>
    <w:rsid w:val="00C35406"/>
    <w:rsid w:val="00CB5AB0"/>
    <w:rsid w:val="00CD33A8"/>
    <w:rsid w:val="00D05606"/>
    <w:rsid w:val="00D11091"/>
    <w:rsid w:val="00D17022"/>
    <w:rsid w:val="00D74C19"/>
    <w:rsid w:val="00D97654"/>
    <w:rsid w:val="00DB0332"/>
    <w:rsid w:val="00E14AD9"/>
    <w:rsid w:val="00E5013C"/>
    <w:rsid w:val="00E569FD"/>
    <w:rsid w:val="00E620E7"/>
    <w:rsid w:val="00E71ADC"/>
    <w:rsid w:val="00E74424"/>
    <w:rsid w:val="00ED3858"/>
    <w:rsid w:val="00EE4F24"/>
    <w:rsid w:val="00EE7DA9"/>
    <w:rsid w:val="00EF35A1"/>
    <w:rsid w:val="00F0396A"/>
    <w:rsid w:val="00F10C6F"/>
    <w:rsid w:val="00F13311"/>
    <w:rsid w:val="00F2210C"/>
    <w:rsid w:val="00F6092A"/>
    <w:rsid w:val="00F63D26"/>
    <w:rsid w:val="00F66E1B"/>
    <w:rsid w:val="00F70E22"/>
    <w:rsid w:val="00F86AD6"/>
    <w:rsid w:val="00FB2206"/>
    <w:rsid w:val="00FC48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64E26"/>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4E26"/>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A64E26"/>
    <w:pPr>
      <w:spacing w:line="259" w:lineRule="auto"/>
      <w:outlineLvl w:val="9"/>
    </w:pPr>
    <w:rPr>
      <w:rFonts w:asciiTheme="majorHAnsi" w:hAnsiTheme="majorHAnsi" w:cstheme="majorBidi"/>
      <w:b w:val="0"/>
      <w:color w:val="2F5496" w:themeColor="accent1" w:themeShade="BF"/>
      <w:szCs w:val="32"/>
      <w:lang w:eastAsia="en-GB"/>
    </w:rPr>
  </w:style>
  <w:style w:type="paragraph" w:styleId="TOC1">
    <w:name w:val="toc 1"/>
    <w:basedOn w:val="Normal"/>
    <w:next w:val="Normal"/>
    <w:autoRedefine/>
    <w:uiPriority w:val="39"/>
    <w:unhideWhenUsed/>
    <w:rsid w:val="00A64E26"/>
    <w:pPr>
      <w:spacing w:after="100"/>
    </w:pPr>
  </w:style>
  <w:style w:type="character" w:styleId="Hyperlink">
    <w:name w:val="Hyperlink"/>
    <w:basedOn w:val="DefaultParagraphFont"/>
    <w:uiPriority w:val="99"/>
    <w:unhideWhenUsed/>
    <w:rsid w:val="00A64E26"/>
    <w:rPr>
      <w:color w:val="0563C1" w:themeColor="hyperlink"/>
      <w:u w:val="single"/>
    </w:rPr>
  </w:style>
  <w:style w:type="character" w:styleId="UnresolvedMention">
    <w:name w:val="Unresolved Mention"/>
    <w:basedOn w:val="DefaultParagraphFont"/>
    <w:uiPriority w:val="99"/>
    <w:semiHidden/>
    <w:unhideWhenUsed/>
    <w:rsid w:val="00D17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learning.nspcc.org.uk/research-resources/practice-points-series/multi-agency-working-information-sharing"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researchgate.net/publication/403317840_Classical_and_Contemporary_Models_of_Communication_Aristotle_and_Berlo"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publications/major-reports/better-care-through-collaboration"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carelearning.org.uk/blog/data-protection-and-gdpr/data-protection-act-2018-in-health-and-social-care"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cambridge.org/core/journals/advances-in-psychiatric-treatment/article/improving-standards-in-clinical-recordkeeping/71A305470FB06716F5205532CC09D2B9" TargetMode="External"/><Relationship Id="rId14" Type="http://schemas.openxmlformats.org/officeDocument/2006/relationships/hyperlink" Target="https://www.gov.uk/guidance/equality-act-2010-guida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5AA8C86-91FC-48DB-A5D1-E2BDF7053022}">
  <we:reference id="wa200000368" version="1.0.0.0" store="en-US" storeType="OMEX"/>
  <we:alternateReferences>
    <we:reference id="WA200000368" version="1.0.0.0" store="" storeType="OMEX"/>
  </we:alternateReferences>
  <we:properties>
    <we:property name="documentId" value="&quot;2325158aef33aa2d&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0</TotalTime>
  <Pages>7</Pages>
  <Words>2123</Words>
  <Characters>12102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Golap Arafat</cp:lastModifiedBy>
  <cp:revision>27</cp:revision>
  <dcterms:created xsi:type="dcterms:W3CDTF">2021-10-31T12:16:00Z</dcterms:created>
  <dcterms:modified xsi:type="dcterms:W3CDTF">2026-08-19T19:40:00Z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93c74dbe-9f01-4257-ad06-4401d2725c0b</vt:lpwstr>
  </property>
</Properties>
</file>