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1963C94" w:rsidR="7908378C" w:rsidRDefault="7908378C" w:rsidP="33572C6E">
            <w:pPr>
              <w:ind w:right="237"/>
              <w:rPr>
                <w:b/>
                <w:bCs/>
                <w:color w:val="auto"/>
                <w:sz w:val="32"/>
                <w:szCs w:val="32"/>
              </w:rPr>
            </w:pPr>
            <w:r w:rsidRPr="33572C6E">
              <w:rPr>
                <w:b/>
                <w:bCs/>
                <w:color w:val="auto"/>
                <w:sz w:val="32"/>
                <w:szCs w:val="32"/>
              </w:rPr>
              <w:t>Learner name:</w:t>
            </w:r>
            <w:r w:rsidR="005B0CEE">
              <w:rPr>
                <w:b/>
                <w:bCs/>
                <w:color w:val="auto"/>
                <w:sz w:val="32"/>
                <w:szCs w:val="32"/>
              </w:rPr>
              <w:t xml:space="preserve"> Olivia Joy</w:t>
            </w:r>
          </w:p>
          <w:p w14:paraId="3A3A802D" w14:textId="77777777" w:rsidR="33572C6E" w:rsidRDefault="33572C6E" w:rsidP="33572C6E">
            <w:pPr>
              <w:ind w:right="237"/>
              <w:rPr>
                <w:b/>
                <w:bCs/>
                <w:color w:val="auto"/>
                <w:sz w:val="32"/>
                <w:szCs w:val="32"/>
              </w:rPr>
            </w:pPr>
          </w:p>
          <w:p w14:paraId="5DC3CFD6" w14:textId="348268EC" w:rsidR="7908378C" w:rsidRDefault="7908378C" w:rsidP="33572C6E">
            <w:pPr>
              <w:ind w:right="237"/>
              <w:rPr>
                <w:b/>
                <w:bCs/>
                <w:color w:val="auto"/>
                <w:sz w:val="32"/>
                <w:szCs w:val="32"/>
              </w:rPr>
            </w:pPr>
            <w:r w:rsidRPr="33572C6E">
              <w:rPr>
                <w:b/>
                <w:bCs/>
                <w:color w:val="auto"/>
                <w:sz w:val="32"/>
                <w:szCs w:val="32"/>
              </w:rPr>
              <w:t>Learner’s University Registration Number:</w:t>
            </w:r>
            <w:r w:rsidR="005B0CEE">
              <w:rPr>
                <w:b/>
                <w:bCs/>
                <w:color w:val="auto"/>
                <w:sz w:val="32"/>
                <w:szCs w:val="32"/>
              </w:rPr>
              <w:t>2319909</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789CDC7A" w14:textId="77777777" w:rsidR="00522495" w:rsidRDefault="00522495" w:rsidP="5B843AF0">
      <w:pPr>
        <w:ind w:right="237"/>
        <w:jc w:val="both"/>
        <w:rPr>
          <w:rFonts w:eastAsia="Arial"/>
          <w:b/>
          <w:bCs/>
          <w:color w:val="000000" w:themeColor="text1"/>
          <w:sz w:val="24"/>
          <w:szCs w:val="24"/>
        </w:rPr>
      </w:pPr>
    </w:p>
    <w:p w14:paraId="52E0BBD5" w14:textId="77777777" w:rsidR="00522495" w:rsidRPr="00522495" w:rsidRDefault="00522495" w:rsidP="00522495">
      <w:pPr>
        <w:ind w:right="237"/>
        <w:jc w:val="both"/>
        <w:rPr>
          <w:rFonts w:eastAsia="Arial"/>
          <w:b/>
          <w:bCs/>
          <w:color w:val="000000" w:themeColor="text1"/>
          <w:sz w:val="24"/>
          <w:szCs w:val="24"/>
        </w:rPr>
      </w:pPr>
    </w:p>
    <w:p w14:paraId="1292A9A8"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 xml:space="preserve">In this essay I will provide an example of an incident that occurred whereby there was a victim of criminal damage to her property. This incident took place at night to a female living alone. The call came from the victim herself stating that her property had been extensively damaged by throwing bricks through her living room window and into her car. She was made aware of a large group of what seemed to be youths running away from her property as her car alarm was set off. Because of this she instantly called police and </w:t>
      </w:r>
      <w:proofErr w:type="gramStart"/>
      <w:r w:rsidRPr="00522495">
        <w:rPr>
          <w:rFonts w:eastAsia="Arial"/>
          <w:color w:val="000000" w:themeColor="text1"/>
          <w:sz w:val="24"/>
          <w:szCs w:val="24"/>
        </w:rPr>
        <w:t>myself</w:t>
      </w:r>
      <w:proofErr w:type="gramEnd"/>
      <w:r w:rsidRPr="00522495">
        <w:rPr>
          <w:rFonts w:eastAsia="Arial"/>
          <w:color w:val="000000" w:themeColor="text1"/>
          <w:sz w:val="24"/>
          <w:szCs w:val="24"/>
        </w:rPr>
        <w:t xml:space="preserve"> and my colleague was at her address within minutes of the call being made. This assignment will cover the approaches taken to support the victim and to tackle from anything similar happening to her again. Discussing the importance of using methodologies that have proven to work in similar circumstances to reduce crime and anti-social behaviour. Finally, to discuss repeat victimisation and how evidence-based policing and problem orientated policing can reduce ASB and crime levels. Which ultimately reduces the number of victims.</w:t>
      </w:r>
    </w:p>
    <w:p w14:paraId="1F834C41" w14:textId="77777777" w:rsidR="00522495" w:rsidRPr="00522495" w:rsidRDefault="00522495" w:rsidP="00522495">
      <w:pPr>
        <w:spacing w:line="360" w:lineRule="auto"/>
        <w:ind w:right="237"/>
        <w:jc w:val="both"/>
        <w:rPr>
          <w:rFonts w:eastAsia="Arial"/>
          <w:color w:val="000000" w:themeColor="text1"/>
          <w:sz w:val="24"/>
          <w:szCs w:val="24"/>
        </w:rPr>
      </w:pPr>
    </w:p>
    <w:p w14:paraId="0B111243"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lastRenderedPageBreak/>
        <w:t xml:space="preserve">Firstly, my priority was to ensure the victim was safe, she was in distress from the incident which was expected however felt reassured by police presence. We ensured her that patrols would be conducted throughout the night and around the forestry as this was the direction of travel by the youths/suspects. With a unit around conducting an area search and on the </w:t>
      </w:r>
      <w:proofErr w:type="spellStart"/>
      <w:r w:rsidRPr="00522495">
        <w:rPr>
          <w:rFonts w:eastAsia="Arial"/>
          <w:color w:val="000000" w:themeColor="text1"/>
          <w:sz w:val="24"/>
          <w:szCs w:val="24"/>
        </w:rPr>
        <w:t>look out</w:t>
      </w:r>
      <w:proofErr w:type="spellEnd"/>
      <w:r w:rsidRPr="00522495">
        <w:rPr>
          <w:rFonts w:eastAsia="Arial"/>
          <w:color w:val="000000" w:themeColor="text1"/>
          <w:sz w:val="24"/>
          <w:szCs w:val="24"/>
        </w:rPr>
        <w:t xml:space="preserve"> for any signs of other Anti-social behaviour (ASB). The criminal damage committed against this victim was a clear sign of ASB in the area. ASB is defined by the Metropolitan Police (2024) as “behaviour by a person which causes, or is likely to cause, harassment, alarm or distress to persons not of the same household as the person”. The criminal damage caused significant alarm and distress to our victim as well as putting her out of pocket for the damage caused.</w:t>
      </w:r>
    </w:p>
    <w:p w14:paraId="28F6541B"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 xml:space="preserve">Support was offered to the victim at the initial scene by </w:t>
      </w:r>
      <w:proofErr w:type="gramStart"/>
      <w:r w:rsidRPr="00522495">
        <w:rPr>
          <w:rFonts w:eastAsia="Arial"/>
          <w:color w:val="000000" w:themeColor="text1"/>
          <w:sz w:val="24"/>
          <w:szCs w:val="24"/>
        </w:rPr>
        <w:t>myself</w:t>
      </w:r>
      <w:proofErr w:type="gramEnd"/>
      <w:r w:rsidRPr="00522495">
        <w:rPr>
          <w:rFonts w:eastAsia="Arial"/>
          <w:color w:val="000000" w:themeColor="text1"/>
          <w:sz w:val="24"/>
          <w:szCs w:val="24"/>
        </w:rPr>
        <w:t xml:space="preserve"> as it was clear that the female was vulnerable due to her living alone and having no CCTV or lighting outside her property. CCTV and outside lightening can deter criminals away from committing crime due to them being aware there is a higher chance or being caught or seen by neighbours.</w:t>
      </w:r>
    </w:p>
    <w:p w14:paraId="0D055964"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The victim was asked if she wished to be taken to a family members/</w:t>
      </w:r>
      <w:proofErr w:type="spellStart"/>
      <w:r w:rsidRPr="00522495">
        <w:rPr>
          <w:rFonts w:eastAsia="Arial"/>
          <w:color w:val="000000" w:themeColor="text1"/>
          <w:sz w:val="24"/>
          <w:szCs w:val="24"/>
        </w:rPr>
        <w:t>friends</w:t>
      </w:r>
      <w:proofErr w:type="spellEnd"/>
      <w:r w:rsidRPr="00522495">
        <w:rPr>
          <w:rFonts w:eastAsia="Arial"/>
          <w:color w:val="000000" w:themeColor="text1"/>
          <w:sz w:val="24"/>
          <w:szCs w:val="24"/>
        </w:rPr>
        <w:t xml:space="preserve"> house for the evening so that she would not be left alone. She claimed that she wished to stay home and knew that the suspects would not </w:t>
      </w:r>
      <w:proofErr w:type="gramStart"/>
      <w:r w:rsidRPr="00522495">
        <w:rPr>
          <w:rFonts w:eastAsia="Arial"/>
          <w:color w:val="000000" w:themeColor="text1"/>
          <w:sz w:val="24"/>
          <w:szCs w:val="24"/>
        </w:rPr>
        <w:t>return back</w:t>
      </w:r>
      <w:proofErr w:type="gramEnd"/>
      <w:r w:rsidRPr="00522495">
        <w:rPr>
          <w:rFonts w:eastAsia="Arial"/>
          <w:color w:val="000000" w:themeColor="text1"/>
          <w:sz w:val="24"/>
          <w:szCs w:val="24"/>
        </w:rPr>
        <w:t xml:space="preserve"> as she felt police presence was enough to deter. Patrols also took place every hour of the evening.</w:t>
      </w:r>
    </w:p>
    <w:p w14:paraId="2143130B"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 xml:space="preserve">After the initials were completed and the house was boarded up by officers for security, support was provided in a sense of reattendance for target hardening. Vibration alarms were fitted within the next few days to target harden the property. This is also to prevent repeat victimisation as the victim did not know of anyone who would target her specifically. She was provided with a personal safety alarm if she was retargeted and to provide some security due to her living alone. The victim did not believe she was targeted as such as she would have no connection to anyone within the area, she claimed she had moved to the area recently. It was assumed then that this was a random attack which would align with the suspects being a group of youths. </w:t>
      </w:r>
    </w:p>
    <w:p w14:paraId="253E4BF0"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 xml:space="preserve">Target hardening is “used to describe the process of increasing the security of a property to make it more difficult to burgle.” (Newton, 2008). Even though the crime wasn’t a burglary the suspects had caused considerable damage to the victims’ </w:t>
      </w:r>
      <w:r w:rsidRPr="00522495">
        <w:rPr>
          <w:rFonts w:eastAsia="Arial"/>
          <w:color w:val="000000" w:themeColor="text1"/>
          <w:sz w:val="24"/>
          <w:szCs w:val="24"/>
        </w:rPr>
        <w:lastRenderedPageBreak/>
        <w:t xml:space="preserve">property by throwing large bricks through her windows. The same principles apply to target harden this victim’s property to deter people from crime. </w:t>
      </w:r>
    </w:p>
    <w:p w14:paraId="61F3FFD7"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Multiple organisations were notified of the incident to provide support to the victim, she was referred to South Wales Victim Focus for advice and support as well as our local Neighbourhood Policing Team aware to provide reassurance.</w:t>
      </w:r>
    </w:p>
    <w:p w14:paraId="68AACA26" w14:textId="77777777" w:rsidR="00522495" w:rsidRPr="00522495" w:rsidRDefault="00522495" w:rsidP="00522495">
      <w:pPr>
        <w:spacing w:line="360" w:lineRule="auto"/>
        <w:ind w:right="237"/>
        <w:jc w:val="both"/>
        <w:rPr>
          <w:rFonts w:eastAsia="Arial"/>
          <w:color w:val="000000" w:themeColor="text1"/>
          <w:sz w:val="24"/>
          <w:szCs w:val="24"/>
        </w:rPr>
      </w:pPr>
    </w:p>
    <w:p w14:paraId="7B19F4FC"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 xml:space="preserve">The College of Policing, (2022) states that Neighbourhood Watch schemes (NWS) also provide evidence that reduces crime. NWS can deter this as offenders may be “more cautious of neighbours in areas watching out for suspicious activity”. As well as this NWS enhances community support and intelligence spread from the public to the police (College of Policing, 2022). Which is both a positive for police engagement and to those living in the area. The better the relationship with the public the easier it is to police the area. </w:t>
      </w:r>
    </w:p>
    <w:p w14:paraId="2DD857F1" w14:textId="77777777" w:rsidR="00522495" w:rsidRPr="00522495" w:rsidRDefault="00522495" w:rsidP="00522495">
      <w:pPr>
        <w:spacing w:line="360" w:lineRule="auto"/>
        <w:ind w:right="237"/>
        <w:jc w:val="both"/>
        <w:rPr>
          <w:rFonts w:eastAsia="Arial"/>
          <w:color w:val="000000" w:themeColor="text1"/>
          <w:sz w:val="24"/>
          <w:szCs w:val="24"/>
        </w:rPr>
      </w:pPr>
    </w:p>
    <w:p w14:paraId="5FB27DB5"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 xml:space="preserve">People who are vulnerable such as living alone in this instant are more susceptible to being harmed by ASB according to Innes and Weston, (2010). To tackle this, police need to focus on these individuals who are most vulnerable, to lower ASB levels. It is important to support the victims of crime efficiently alongside multi-agency partnerships. Victims require updates and information regarding their case and there is strong evidence to suggest that keeping in touch with the victim and them feeling supported will provide them with a positive outlook on policing (Wedlock, 2016). With this they are more likely to want to work with police and their neighbourhood teams to address ASB and crime levels in their area. Without this support and feeling listened to the victim may be less likely to want police involvement and report any crime at all. </w:t>
      </w:r>
    </w:p>
    <w:p w14:paraId="5D8D7BB1"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The Anti-Social Behaviour, Crime and Policing Act 2014 allows police to tackle ASB by identifying the importance of the impact it can have on victims and utilising different ways of dealing with the suspects, The act involves methods such as criminal behaviour orders and community protection notices to name a few (Wales safer communities, 2024). According to the Anti-Social Behaviour Action Plan that was launched March 2023 South Wales Police has the highest perceived level of ASB within Wales. With Gwent and North Wales in between and Dyfed Powys at a lower level of the Welsh forces.</w:t>
      </w:r>
    </w:p>
    <w:p w14:paraId="17CF2792"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lastRenderedPageBreak/>
        <w:drawing>
          <wp:inline distT="0" distB="0" distL="0" distR="0" wp14:anchorId="41F538C6" wp14:editId="778FDBAB">
            <wp:extent cx="5731510" cy="6195060"/>
            <wp:effectExtent l="0" t="0" r="2540" b="0"/>
            <wp:docPr id="865769613" name="Picture 1" descr="A map of england with 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ap of england with red square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6195060"/>
                    </a:xfrm>
                    <a:prstGeom prst="rect">
                      <a:avLst/>
                    </a:prstGeom>
                    <a:noFill/>
                    <a:ln>
                      <a:noFill/>
                    </a:ln>
                  </pic:spPr>
                </pic:pic>
              </a:graphicData>
            </a:graphic>
          </wp:inline>
        </w:drawing>
      </w:r>
    </w:p>
    <w:p w14:paraId="012DBF98" w14:textId="77777777" w:rsidR="00522495" w:rsidRPr="00522495" w:rsidRDefault="00522495" w:rsidP="00522495">
      <w:pPr>
        <w:spacing w:line="360" w:lineRule="auto"/>
        <w:ind w:right="237"/>
        <w:jc w:val="both"/>
        <w:rPr>
          <w:rFonts w:eastAsia="Arial"/>
          <w:color w:val="000000" w:themeColor="text1"/>
          <w:sz w:val="24"/>
          <w:szCs w:val="24"/>
        </w:rPr>
      </w:pPr>
    </w:p>
    <w:p w14:paraId="531BDC7F"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Diagram come from HM Government Anti-Social Behaviour Action Plan of 2023.</w:t>
      </w:r>
    </w:p>
    <w:p w14:paraId="6EE6C967" w14:textId="77777777" w:rsidR="00522495" w:rsidRPr="00522495" w:rsidRDefault="00522495" w:rsidP="00522495">
      <w:pPr>
        <w:spacing w:line="360" w:lineRule="auto"/>
        <w:ind w:right="237"/>
        <w:jc w:val="both"/>
        <w:rPr>
          <w:rFonts w:eastAsia="Arial"/>
          <w:color w:val="000000" w:themeColor="text1"/>
          <w:sz w:val="24"/>
          <w:szCs w:val="24"/>
        </w:rPr>
      </w:pPr>
    </w:p>
    <w:p w14:paraId="26C974D9"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 xml:space="preserve">Evidence based policing or EBP is using the “best available evidence to inform and challenge policing policies, practices and decisions”, as stated by College of Policing, (2024). EBP is then used in scenarios best suited to lower crime levels whereby methods have previously worked in similar situations. EBP can be used and adapted to different but similar situations however this perception is more of a </w:t>
      </w:r>
      <w:proofErr w:type="spellStart"/>
      <w:r w:rsidRPr="00522495">
        <w:rPr>
          <w:rFonts w:eastAsia="Arial"/>
          <w:color w:val="000000" w:themeColor="text1"/>
          <w:sz w:val="24"/>
          <w:szCs w:val="24"/>
        </w:rPr>
        <w:t>trail</w:t>
      </w:r>
      <w:proofErr w:type="spellEnd"/>
      <w:r w:rsidRPr="00522495">
        <w:rPr>
          <w:rFonts w:eastAsia="Arial"/>
          <w:color w:val="000000" w:themeColor="text1"/>
          <w:sz w:val="24"/>
          <w:szCs w:val="24"/>
        </w:rPr>
        <w:t xml:space="preserve"> and error method to see “what works”. As stated by Bullock, (2022) “good methods of EBP can adopt problem-orientated policing (POP) principles” to have a </w:t>
      </w:r>
      <w:r w:rsidRPr="00522495">
        <w:rPr>
          <w:rFonts w:eastAsia="Arial"/>
          <w:color w:val="000000" w:themeColor="text1"/>
          <w:sz w:val="24"/>
          <w:szCs w:val="24"/>
        </w:rPr>
        <w:lastRenderedPageBreak/>
        <w:t xml:space="preserve">good mix of adapting experimentation and reusing what officers know has previously worked. </w:t>
      </w:r>
    </w:p>
    <w:p w14:paraId="19946933"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 xml:space="preserve">POP is the problem-orientated policing strategy developed by Herman Goldstein who focused on reducing crime and enhancing community safety. His method was for police to be more “proactive and search root causes of crime” with that then developing “tailor-made responses” (Hinkle,2020). </w:t>
      </w:r>
    </w:p>
    <w:p w14:paraId="6D947E20"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Furthermore, a development was made in POP from Eck and Spellman’s, (1987) SARA model. The model is an acronym of the four-step process which all officers now use within policing when problem solving. The four steps are as follows; Scanning to identify problems, analysis to analyse data and information, response where officers deliver the intervention and finally assessment where the issue is assessed if the problem has been eliminated or reduced. If the process has not worked it can be repeated with a different response (Hinkle,2024).</w:t>
      </w:r>
    </w:p>
    <w:p w14:paraId="74B77F18" w14:textId="77777777" w:rsidR="00522495" w:rsidRPr="00522495" w:rsidRDefault="00522495" w:rsidP="00522495">
      <w:pPr>
        <w:spacing w:line="360" w:lineRule="auto"/>
        <w:ind w:right="237"/>
        <w:jc w:val="both"/>
        <w:rPr>
          <w:rFonts w:eastAsia="Arial"/>
          <w:color w:val="000000" w:themeColor="text1"/>
          <w:sz w:val="24"/>
          <w:szCs w:val="24"/>
        </w:rPr>
      </w:pPr>
    </w:p>
    <w:p w14:paraId="3E93A418" w14:textId="70CE51D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 xml:space="preserve">In terms of this incident attended the approach would benefit from the use of using evidence of what has previously worked to deter revictimization. To reduce the opportunity for a further incident taking place of criminal damage to her property. The SARA model of problem solving would be efficiently used to look at the crime levels in the area where the incident took place, see if criminal damage is an issue in the area and address it. Ensuring that hot spot policing is applied where needed to lower revictimization as it is proven to work. According to the Home Office, (2024) the aim of policing in England and Wales is to “expand evidence base on hot spot policing”. Another source states a method well used by police is to pinpoint hot spots by using “crime pattern analysis” (Pease, 1999) which suggests research into the victim </w:t>
      </w:r>
      <w:r w:rsidRPr="00522495">
        <w:rPr>
          <w:rFonts w:eastAsia="Arial"/>
          <w:color w:val="000000" w:themeColor="text1"/>
          <w:sz w:val="24"/>
          <w:szCs w:val="24"/>
        </w:rPr>
        <w:t>themselves,</w:t>
      </w:r>
      <w:r w:rsidRPr="00522495">
        <w:rPr>
          <w:rFonts w:eastAsia="Arial"/>
          <w:color w:val="000000" w:themeColor="text1"/>
          <w:sz w:val="24"/>
          <w:szCs w:val="24"/>
        </w:rPr>
        <w:t xml:space="preserve"> and the area of crime committed to suggest the likelihood of the crime reoccurring. In this case the female was living in a well-known area to my team for ASB, which immediately raised our concerns to why the victim was targeted or whether it was a random attack. With little information on the suspects police did not have a lead on who to search and gather information on. However, our neighbourhood policing team did some analysis and found that there was a group of youths out committing crime that night. My colleague and I went to two incidents similar within a 5-mile radius which to us made it clear that there was a link. Because of this threat officers were patrolling the area to deter any further crimes being committed. Our response to this had worked previously in our area so it was </w:t>
      </w:r>
      <w:r w:rsidRPr="00522495">
        <w:rPr>
          <w:rFonts w:eastAsia="Arial"/>
          <w:color w:val="000000" w:themeColor="text1"/>
          <w:sz w:val="24"/>
          <w:szCs w:val="24"/>
        </w:rPr>
        <w:lastRenderedPageBreak/>
        <w:t xml:space="preserve">reapplied on the night of this incident. The use of problem-solving ideas is often used without realising in policing; however, it is important to understand and use the models as it encourages effective policing as shown on this night shift (College of Policing, 2022). </w:t>
      </w:r>
    </w:p>
    <w:p w14:paraId="410B079B" w14:textId="77777777" w:rsidR="00522495" w:rsidRPr="00522495" w:rsidRDefault="00522495" w:rsidP="00522495">
      <w:pPr>
        <w:spacing w:line="360" w:lineRule="auto"/>
        <w:ind w:right="237"/>
        <w:jc w:val="both"/>
        <w:rPr>
          <w:rFonts w:eastAsia="Arial"/>
          <w:color w:val="000000" w:themeColor="text1"/>
          <w:sz w:val="24"/>
          <w:szCs w:val="24"/>
        </w:rPr>
      </w:pPr>
    </w:p>
    <w:p w14:paraId="5F2FABCF"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It is of most importance that officers policing our communities are focusing on working with the community to determine issues in the local areas. Clarke and Eck, (2003) highlights the acronym CHEERS; community, harm, expect, events, recurring and similar. This acronym helps police understand is the issue their facing is suitable for problem solving methods such as POP and EBP. Where questions can be asked to prepare for the correct problem-solving technique used.</w:t>
      </w:r>
    </w:p>
    <w:p w14:paraId="42DF109F"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 xml:space="preserve">To face lowering crime levels police, need to be made aware of what crimes are being committed as highlighted by Ashby, (2012). With poor relationship between the community and police its less likely for crimes to be reported and making it difficult to work with the community to get justice and support others. Multi-agency organisations can work together to ensure the community feels supported and have trust in police. With citizen trust and support were able to identify the issues and prevent revictimization. </w:t>
      </w:r>
    </w:p>
    <w:p w14:paraId="028D773C" w14:textId="77777777" w:rsidR="00522495" w:rsidRPr="00522495" w:rsidRDefault="00522495" w:rsidP="00522495">
      <w:pPr>
        <w:spacing w:line="360" w:lineRule="auto"/>
        <w:ind w:right="237"/>
        <w:jc w:val="both"/>
        <w:rPr>
          <w:rFonts w:eastAsia="Arial"/>
          <w:color w:val="000000" w:themeColor="text1"/>
          <w:sz w:val="24"/>
          <w:szCs w:val="24"/>
        </w:rPr>
      </w:pPr>
    </w:p>
    <w:p w14:paraId="0823F99D"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t>Overall, forces across Wales can tackle ASB by using methods and techniques that have previously worked and reapply them to similar scenarios. These methods may not work in the same way it did previously however there is another way to get around that obstacle by using techniques such as SARA. POP and EBP have proven to have its benefits which is why it is still used in today’s policing, (Hinkle, 2024). Years of research has proven that assessing and understanding the crime level in specific areas gives officers the benefit of knowing how to go around prevention. To support the victim and provide a good public service to members of the public. EBP and POP both have their potential to reduce ASB within the South Wales area, it is to response police officers to take out the methods they’ve previously used and learn from what hasn’t. All to the documented and addressed alongside the Neighbourhood Policing teams. Not forgetting maintaining that repour with the community to minimise revictimization.</w:t>
      </w:r>
    </w:p>
    <w:p w14:paraId="672BB415" w14:textId="77777777" w:rsidR="00522495" w:rsidRPr="00522495" w:rsidRDefault="00522495" w:rsidP="00522495">
      <w:pPr>
        <w:spacing w:line="360" w:lineRule="auto"/>
        <w:ind w:right="237"/>
        <w:jc w:val="both"/>
        <w:rPr>
          <w:rFonts w:eastAsia="Arial"/>
          <w:color w:val="000000" w:themeColor="text1"/>
          <w:sz w:val="24"/>
          <w:szCs w:val="24"/>
        </w:rPr>
      </w:pPr>
    </w:p>
    <w:p w14:paraId="12A8755F" w14:textId="77777777" w:rsidR="00522495" w:rsidRPr="00522495" w:rsidRDefault="00522495" w:rsidP="00522495">
      <w:pPr>
        <w:spacing w:line="360" w:lineRule="auto"/>
        <w:ind w:right="237"/>
        <w:jc w:val="both"/>
        <w:rPr>
          <w:rFonts w:eastAsia="Arial"/>
          <w:color w:val="000000" w:themeColor="text1"/>
          <w:sz w:val="24"/>
          <w:szCs w:val="24"/>
        </w:rPr>
      </w:pPr>
    </w:p>
    <w:p w14:paraId="63AB6958" w14:textId="77777777" w:rsidR="00522495" w:rsidRPr="00522495" w:rsidRDefault="00522495" w:rsidP="00522495">
      <w:pPr>
        <w:spacing w:line="360" w:lineRule="auto"/>
        <w:ind w:right="237"/>
        <w:jc w:val="both"/>
        <w:rPr>
          <w:rFonts w:eastAsia="Arial"/>
          <w:color w:val="000000" w:themeColor="text1"/>
          <w:sz w:val="24"/>
          <w:szCs w:val="24"/>
        </w:rPr>
      </w:pPr>
      <w:r w:rsidRPr="00522495">
        <w:rPr>
          <w:rFonts w:eastAsia="Arial"/>
          <w:color w:val="000000" w:themeColor="text1"/>
          <w:sz w:val="24"/>
          <w:szCs w:val="24"/>
        </w:rPr>
        <w:lastRenderedPageBreak/>
        <w:t>Word Count: 1904</w:t>
      </w:r>
    </w:p>
    <w:p w14:paraId="3F417052" w14:textId="77777777" w:rsidR="00522495" w:rsidRPr="00522495" w:rsidRDefault="00522495" w:rsidP="00522495">
      <w:pPr>
        <w:spacing w:line="360" w:lineRule="auto"/>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06491356" w14:textId="0E947BD0" w:rsidR="00A221AB" w:rsidRDefault="00A221AB" w:rsidP="005B7593">
      <w:pPr>
        <w:overflowPunct/>
        <w:autoSpaceDE/>
        <w:autoSpaceDN/>
        <w:adjustRightInd/>
        <w:textAlignment w:val="auto"/>
        <w:rPr>
          <w:b/>
          <w:bCs/>
          <w:sz w:val="24"/>
          <w:szCs w:val="24"/>
        </w:rPr>
      </w:pPr>
    </w:p>
    <w:p w14:paraId="5505B596" w14:textId="77777777" w:rsidR="005B7593" w:rsidRDefault="005B7593" w:rsidP="005B7593">
      <w:pPr>
        <w:overflowPunct/>
        <w:autoSpaceDE/>
        <w:autoSpaceDN/>
        <w:adjustRightInd/>
        <w:textAlignment w:val="auto"/>
        <w:rPr>
          <w:b/>
          <w:bCs/>
          <w:sz w:val="24"/>
          <w:szCs w:val="24"/>
        </w:rPr>
      </w:pPr>
    </w:p>
    <w:p w14:paraId="3A159D72" w14:textId="77777777" w:rsidR="005B7593" w:rsidRDefault="005B7593" w:rsidP="005B7593">
      <w:pPr>
        <w:overflowPunct/>
        <w:autoSpaceDE/>
        <w:autoSpaceDN/>
        <w:adjustRightInd/>
        <w:textAlignment w:val="auto"/>
        <w:rPr>
          <w:b/>
          <w:bCs/>
          <w:sz w:val="24"/>
          <w:szCs w:val="24"/>
        </w:rPr>
      </w:pPr>
    </w:p>
    <w:p w14:paraId="1906EAA6" w14:textId="77777777" w:rsidR="005B7593" w:rsidRDefault="005B7593" w:rsidP="005B7593">
      <w:pPr>
        <w:overflowPunct/>
        <w:autoSpaceDE/>
        <w:autoSpaceDN/>
        <w:adjustRightInd/>
        <w:textAlignment w:val="auto"/>
        <w:rPr>
          <w:b/>
          <w:bCs/>
          <w:sz w:val="24"/>
          <w:szCs w:val="24"/>
        </w:rPr>
      </w:pPr>
    </w:p>
    <w:p w14:paraId="6750B798" w14:textId="77777777" w:rsidR="005B7593" w:rsidRDefault="005B7593" w:rsidP="005B7593">
      <w:pPr>
        <w:overflowPunct/>
        <w:autoSpaceDE/>
        <w:autoSpaceDN/>
        <w:adjustRightInd/>
        <w:textAlignment w:val="auto"/>
        <w:rPr>
          <w:b/>
          <w:bCs/>
          <w:sz w:val="24"/>
          <w:szCs w:val="24"/>
        </w:rPr>
      </w:pPr>
    </w:p>
    <w:p w14:paraId="053DB99E" w14:textId="77777777" w:rsidR="005B7593" w:rsidRDefault="005B7593" w:rsidP="005B7593">
      <w:pPr>
        <w:overflowPunct/>
        <w:autoSpaceDE/>
        <w:autoSpaceDN/>
        <w:adjustRightInd/>
        <w:textAlignment w:val="auto"/>
        <w:rPr>
          <w:b/>
          <w:bCs/>
          <w:sz w:val="24"/>
          <w:szCs w:val="24"/>
        </w:rPr>
      </w:pPr>
    </w:p>
    <w:p w14:paraId="133209BE" w14:textId="77777777" w:rsidR="005B7593" w:rsidRDefault="005B7593" w:rsidP="005B7593">
      <w:pPr>
        <w:overflowPunct/>
        <w:autoSpaceDE/>
        <w:autoSpaceDN/>
        <w:adjustRightInd/>
        <w:textAlignment w:val="auto"/>
        <w:rPr>
          <w:b/>
          <w:bCs/>
          <w:sz w:val="24"/>
          <w:szCs w:val="24"/>
        </w:rPr>
      </w:pPr>
    </w:p>
    <w:p w14:paraId="4DE7600E" w14:textId="77777777" w:rsidR="005B7593" w:rsidRDefault="005B7593" w:rsidP="005B7593">
      <w:pPr>
        <w:overflowPunct/>
        <w:autoSpaceDE/>
        <w:autoSpaceDN/>
        <w:adjustRightInd/>
        <w:textAlignment w:val="auto"/>
        <w:rPr>
          <w:b/>
          <w:bCs/>
          <w:sz w:val="24"/>
          <w:szCs w:val="24"/>
        </w:rPr>
      </w:pPr>
    </w:p>
    <w:p w14:paraId="4231CC80" w14:textId="77777777" w:rsidR="005B7593" w:rsidRDefault="005B7593" w:rsidP="005B7593">
      <w:pPr>
        <w:overflowPunct/>
        <w:autoSpaceDE/>
        <w:autoSpaceDN/>
        <w:adjustRightInd/>
        <w:textAlignment w:val="auto"/>
        <w:rPr>
          <w:b/>
          <w:bCs/>
          <w:sz w:val="24"/>
          <w:szCs w:val="24"/>
        </w:rPr>
      </w:pPr>
    </w:p>
    <w:p w14:paraId="2679DC9A" w14:textId="77777777" w:rsidR="005B7593" w:rsidRDefault="005B7593" w:rsidP="005B7593">
      <w:pPr>
        <w:overflowPunct/>
        <w:autoSpaceDE/>
        <w:autoSpaceDN/>
        <w:adjustRightInd/>
        <w:textAlignment w:val="auto"/>
        <w:rPr>
          <w:b/>
          <w:bCs/>
          <w:sz w:val="24"/>
          <w:szCs w:val="24"/>
        </w:rPr>
      </w:pPr>
    </w:p>
    <w:p w14:paraId="180DA46B" w14:textId="77777777" w:rsidR="005B7593" w:rsidRDefault="005B7593" w:rsidP="005B7593">
      <w:pPr>
        <w:overflowPunct/>
        <w:autoSpaceDE/>
        <w:autoSpaceDN/>
        <w:adjustRightInd/>
        <w:textAlignment w:val="auto"/>
        <w:rPr>
          <w:b/>
          <w:bCs/>
          <w:sz w:val="24"/>
          <w:szCs w:val="24"/>
        </w:rPr>
      </w:pPr>
    </w:p>
    <w:p w14:paraId="09BD9230" w14:textId="77777777" w:rsidR="005B7593" w:rsidRDefault="005B7593" w:rsidP="005B7593">
      <w:pPr>
        <w:overflowPunct/>
        <w:autoSpaceDE/>
        <w:autoSpaceDN/>
        <w:adjustRightInd/>
        <w:textAlignment w:val="auto"/>
        <w:rPr>
          <w:b/>
          <w:bCs/>
          <w:sz w:val="24"/>
          <w:szCs w:val="24"/>
        </w:rPr>
      </w:pPr>
    </w:p>
    <w:p w14:paraId="6EC66E76" w14:textId="77777777" w:rsidR="005B7593" w:rsidRDefault="005B7593" w:rsidP="005B7593">
      <w:pPr>
        <w:overflowPunct/>
        <w:autoSpaceDE/>
        <w:autoSpaceDN/>
        <w:adjustRightInd/>
        <w:textAlignment w:val="auto"/>
        <w:rPr>
          <w:b/>
          <w:bCs/>
          <w:sz w:val="24"/>
          <w:szCs w:val="24"/>
        </w:rPr>
      </w:pPr>
    </w:p>
    <w:p w14:paraId="0B547631" w14:textId="77777777" w:rsidR="005B7593" w:rsidRDefault="005B7593" w:rsidP="005B7593">
      <w:pPr>
        <w:overflowPunct/>
        <w:autoSpaceDE/>
        <w:autoSpaceDN/>
        <w:adjustRightInd/>
        <w:textAlignment w:val="auto"/>
        <w:rPr>
          <w:b/>
          <w:bCs/>
          <w:sz w:val="24"/>
          <w:szCs w:val="24"/>
        </w:rPr>
      </w:pPr>
    </w:p>
    <w:p w14:paraId="37A0A13F" w14:textId="77777777" w:rsidR="005B7593" w:rsidRDefault="005B7593" w:rsidP="005B7593">
      <w:pPr>
        <w:overflowPunct/>
        <w:autoSpaceDE/>
        <w:autoSpaceDN/>
        <w:adjustRightInd/>
        <w:textAlignment w:val="auto"/>
        <w:rPr>
          <w:b/>
          <w:bCs/>
          <w:sz w:val="24"/>
          <w:szCs w:val="24"/>
        </w:rPr>
      </w:pPr>
    </w:p>
    <w:p w14:paraId="24755987" w14:textId="77777777" w:rsidR="005B7593" w:rsidRDefault="005B7593" w:rsidP="005B7593">
      <w:pPr>
        <w:overflowPunct/>
        <w:autoSpaceDE/>
        <w:autoSpaceDN/>
        <w:adjustRightInd/>
        <w:textAlignment w:val="auto"/>
        <w:rPr>
          <w:b/>
          <w:bCs/>
          <w:sz w:val="24"/>
          <w:szCs w:val="24"/>
        </w:rPr>
      </w:pPr>
    </w:p>
    <w:p w14:paraId="0779067F" w14:textId="77777777" w:rsidR="005B7593" w:rsidRDefault="005B7593" w:rsidP="005B7593">
      <w:pPr>
        <w:overflowPunct/>
        <w:autoSpaceDE/>
        <w:autoSpaceDN/>
        <w:adjustRightInd/>
        <w:textAlignment w:val="auto"/>
        <w:rPr>
          <w:b/>
          <w:bCs/>
          <w:sz w:val="24"/>
          <w:szCs w:val="24"/>
        </w:rPr>
      </w:pPr>
    </w:p>
    <w:p w14:paraId="5B2EF13C" w14:textId="77777777" w:rsidR="005B7593" w:rsidRDefault="005B7593" w:rsidP="005B7593">
      <w:pPr>
        <w:overflowPunct/>
        <w:autoSpaceDE/>
        <w:autoSpaceDN/>
        <w:adjustRightInd/>
        <w:textAlignment w:val="auto"/>
        <w:rPr>
          <w:b/>
          <w:bCs/>
          <w:sz w:val="24"/>
          <w:szCs w:val="24"/>
        </w:rPr>
      </w:pPr>
    </w:p>
    <w:p w14:paraId="3FFA250D" w14:textId="77777777" w:rsidR="005B7593" w:rsidRDefault="005B7593" w:rsidP="005B7593">
      <w:pPr>
        <w:overflowPunct/>
        <w:autoSpaceDE/>
        <w:autoSpaceDN/>
        <w:adjustRightInd/>
        <w:textAlignment w:val="auto"/>
        <w:rPr>
          <w:b/>
          <w:bCs/>
          <w:sz w:val="24"/>
          <w:szCs w:val="24"/>
        </w:rPr>
      </w:pPr>
    </w:p>
    <w:p w14:paraId="229A107B" w14:textId="77777777" w:rsidR="005B7593" w:rsidRDefault="005B7593" w:rsidP="005B7593">
      <w:pPr>
        <w:overflowPunct/>
        <w:autoSpaceDE/>
        <w:autoSpaceDN/>
        <w:adjustRightInd/>
        <w:textAlignment w:val="auto"/>
        <w:rPr>
          <w:b/>
          <w:bCs/>
          <w:sz w:val="24"/>
          <w:szCs w:val="24"/>
        </w:rPr>
      </w:pPr>
    </w:p>
    <w:p w14:paraId="71E0AAC4" w14:textId="77777777" w:rsidR="005B7593" w:rsidRDefault="005B7593" w:rsidP="005B7593">
      <w:pPr>
        <w:overflowPunct/>
        <w:autoSpaceDE/>
        <w:autoSpaceDN/>
        <w:adjustRightInd/>
        <w:textAlignment w:val="auto"/>
        <w:rPr>
          <w:b/>
          <w:bCs/>
          <w:sz w:val="24"/>
          <w:szCs w:val="24"/>
        </w:rPr>
      </w:pPr>
    </w:p>
    <w:p w14:paraId="5C7D52D3" w14:textId="77777777" w:rsidR="005B7593" w:rsidRDefault="005B7593" w:rsidP="005B7593">
      <w:pPr>
        <w:overflowPunct/>
        <w:autoSpaceDE/>
        <w:autoSpaceDN/>
        <w:adjustRightInd/>
        <w:textAlignment w:val="auto"/>
        <w:rPr>
          <w:b/>
          <w:bCs/>
          <w:sz w:val="24"/>
          <w:szCs w:val="24"/>
        </w:rPr>
      </w:pPr>
    </w:p>
    <w:p w14:paraId="69A163EE" w14:textId="77777777" w:rsidR="005B7593" w:rsidRDefault="005B7593" w:rsidP="005B7593">
      <w:pPr>
        <w:overflowPunct/>
        <w:autoSpaceDE/>
        <w:autoSpaceDN/>
        <w:adjustRightInd/>
        <w:textAlignment w:val="auto"/>
        <w:rPr>
          <w:b/>
          <w:bCs/>
          <w:sz w:val="24"/>
          <w:szCs w:val="24"/>
        </w:rPr>
      </w:pPr>
    </w:p>
    <w:p w14:paraId="25068927" w14:textId="77777777" w:rsidR="005B7593" w:rsidRDefault="005B7593" w:rsidP="005B7593">
      <w:pPr>
        <w:overflowPunct/>
        <w:autoSpaceDE/>
        <w:autoSpaceDN/>
        <w:adjustRightInd/>
        <w:textAlignment w:val="auto"/>
        <w:rPr>
          <w:b/>
          <w:bCs/>
          <w:sz w:val="24"/>
          <w:szCs w:val="24"/>
        </w:rPr>
      </w:pPr>
    </w:p>
    <w:p w14:paraId="4EC1D07E" w14:textId="77777777" w:rsidR="005B7593" w:rsidRDefault="005B7593" w:rsidP="005B7593">
      <w:pPr>
        <w:overflowPunct/>
        <w:autoSpaceDE/>
        <w:autoSpaceDN/>
        <w:adjustRightInd/>
        <w:textAlignment w:val="auto"/>
        <w:rPr>
          <w:b/>
          <w:bCs/>
          <w:sz w:val="24"/>
          <w:szCs w:val="24"/>
        </w:rPr>
      </w:pPr>
    </w:p>
    <w:p w14:paraId="46B9A843" w14:textId="77777777" w:rsidR="005B7593" w:rsidRDefault="005B7593" w:rsidP="005B7593">
      <w:pPr>
        <w:overflowPunct/>
        <w:autoSpaceDE/>
        <w:autoSpaceDN/>
        <w:adjustRightInd/>
        <w:textAlignment w:val="auto"/>
        <w:rPr>
          <w:b/>
          <w:bCs/>
          <w:sz w:val="24"/>
          <w:szCs w:val="24"/>
        </w:rPr>
      </w:pPr>
    </w:p>
    <w:p w14:paraId="478E0374" w14:textId="77777777" w:rsidR="005B7593" w:rsidRDefault="005B7593" w:rsidP="005B7593">
      <w:pPr>
        <w:overflowPunct/>
        <w:autoSpaceDE/>
        <w:autoSpaceDN/>
        <w:adjustRightInd/>
        <w:textAlignment w:val="auto"/>
        <w:rPr>
          <w:b/>
          <w:bCs/>
          <w:sz w:val="24"/>
          <w:szCs w:val="24"/>
        </w:rPr>
      </w:pPr>
    </w:p>
    <w:p w14:paraId="369E6DBC" w14:textId="77777777" w:rsidR="005B7593" w:rsidRDefault="005B7593" w:rsidP="005B7593">
      <w:pPr>
        <w:overflowPunct/>
        <w:autoSpaceDE/>
        <w:autoSpaceDN/>
        <w:adjustRightInd/>
        <w:textAlignment w:val="auto"/>
        <w:rPr>
          <w:b/>
          <w:bCs/>
          <w:sz w:val="24"/>
          <w:szCs w:val="24"/>
        </w:rPr>
      </w:pPr>
    </w:p>
    <w:p w14:paraId="3A49E3F1" w14:textId="77777777" w:rsidR="005B7593" w:rsidRDefault="005B7593" w:rsidP="005B7593">
      <w:pPr>
        <w:overflowPunct/>
        <w:autoSpaceDE/>
        <w:autoSpaceDN/>
        <w:adjustRightInd/>
        <w:textAlignment w:val="auto"/>
        <w:rPr>
          <w:b/>
          <w:bCs/>
          <w:sz w:val="24"/>
          <w:szCs w:val="24"/>
        </w:rPr>
      </w:pPr>
    </w:p>
    <w:p w14:paraId="6CAE5512" w14:textId="77777777" w:rsidR="005B7593" w:rsidRDefault="005B7593" w:rsidP="005B7593">
      <w:pPr>
        <w:overflowPunct/>
        <w:autoSpaceDE/>
        <w:autoSpaceDN/>
        <w:adjustRightInd/>
        <w:textAlignment w:val="auto"/>
        <w:rPr>
          <w:b/>
          <w:bCs/>
          <w:sz w:val="24"/>
          <w:szCs w:val="24"/>
        </w:rPr>
      </w:pPr>
    </w:p>
    <w:p w14:paraId="342228DD" w14:textId="77777777" w:rsidR="005B7593" w:rsidRDefault="005B7593" w:rsidP="005B7593">
      <w:pPr>
        <w:overflowPunct/>
        <w:autoSpaceDE/>
        <w:autoSpaceDN/>
        <w:adjustRightInd/>
        <w:textAlignment w:val="auto"/>
        <w:rPr>
          <w:b/>
          <w:bCs/>
          <w:sz w:val="24"/>
          <w:szCs w:val="24"/>
        </w:rPr>
      </w:pPr>
    </w:p>
    <w:p w14:paraId="4B8C61B2" w14:textId="77777777" w:rsidR="005B7593" w:rsidRDefault="005B7593" w:rsidP="005B7593">
      <w:pPr>
        <w:overflowPunct/>
        <w:autoSpaceDE/>
        <w:autoSpaceDN/>
        <w:adjustRightInd/>
        <w:textAlignment w:val="auto"/>
        <w:rPr>
          <w:b/>
          <w:bCs/>
          <w:sz w:val="24"/>
          <w:szCs w:val="24"/>
        </w:rPr>
      </w:pPr>
    </w:p>
    <w:p w14:paraId="28241555" w14:textId="77777777" w:rsidR="005B7593" w:rsidRDefault="005B7593" w:rsidP="005B7593">
      <w:pPr>
        <w:overflowPunct/>
        <w:autoSpaceDE/>
        <w:autoSpaceDN/>
        <w:adjustRightInd/>
        <w:textAlignment w:val="auto"/>
        <w:rPr>
          <w:b/>
          <w:bCs/>
          <w:sz w:val="24"/>
          <w:szCs w:val="24"/>
        </w:rPr>
      </w:pPr>
    </w:p>
    <w:p w14:paraId="11232FD0" w14:textId="77777777" w:rsidR="005B7593" w:rsidRDefault="005B7593" w:rsidP="005B7593">
      <w:pPr>
        <w:overflowPunct/>
        <w:autoSpaceDE/>
        <w:autoSpaceDN/>
        <w:adjustRightInd/>
        <w:textAlignment w:val="auto"/>
        <w:rPr>
          <w:b/>
          <w:bCs/>
          <w:sz w:val="24"/>
          <w:szCs w:val="24"/>
        </w:rPr>
      </w:pPr>
    </w:p>
    <w:p w14:paraId="7F6D98A4" w14:textId="77777777" w:rsidR="005B7593" w:rsidRDefault="005B7593" w:rsidP="005B7593">
      <w:pPr>
        <w:overflowPunct/>
        <w:autoSpaceDE/>
        <w:autoSpaceDN/>
        <w:adjustRightInd/>
        <w:textAlignment w:val="auto"/>
        <w:rPr>
          <w:b/>
          <w:bCs/>
          <w:sz w:val="24"/>
          <w:szCs w:val="24"/>
        </w:rPr>
      </w:pPr>
    </w:p>
    <w:p w14:paraId="6B0CBC36" w14:textId="77777777" w:rsidR="005B7593" w:rsidRDefault="005B7593" w:rsidP="005B7593">
      <w:pPr>
        <w:overflowPunct/>
        <w:autoSpaceDE/>
        <w:autoSpaceDN/>
        <w:adjustRightInd/>
        <w:textAlignment w:val="auto"/>
        <w:rPr>
          <w:b/>
          <w:bCs/>
          <w:sz w:val="24"/>
          <w:szCs w:val="24"/>
        </w:rPr>
      </w:pPr>
    </w:p>
    <w:p w14:paraId="4684D514" w14:textId="77777777" w:rsidR="005B7593" w:rsidRDefault="005B7593" w:rsidP="005B7593">
      <w:pPr>
        <w:overflowPunct/>
        <w:autoSpaceDE/>
        <w:autoSpaceDN/>
        <w:adjustRightInd/>
        <w:textAlignment w:val="auto"/>
        <w:rPr>
          <w:b/>
          <w:bCs/>
          <w:sz w:val="24"/>
          <w:szCs w:val="24"/>
        </w:rPr>
      </w:pPr>
    </w:p>
    <w:p w14:paraId="262FFCFD" w14:textId="77777777" w:rsidR="005B7593" w:rsidRDefault="005B7593" w:rsidP="005B7593">
      <w:pPr>
        <w:overflowPunct/>
        <w:autoSpaceDE/>
        <w:autoSpaceDN/>
        <w:adjustRightInd/>
        <w:textAlignment w:val="auto"/>
        <w:rPr>
          <w:b/>
          <w:bCs/>
          <w:sz w:val="24"/>
          <w:szCs w:val="24"/>
        </w:rPr>
      </w:pPr>
    </w:p>
    <w:p w14:paraId="702322FE" w14:textId="77777777" w:rsidR="005B7593" w:rsidRDefault="005B7593" w:rsidP="005B7593">
      <w:pPr>
        <w:overflowPunct/>
        <w:autoSpaceDE/>
        <w:autoSpaceDN/>
        <w:adjustRightInd/>
        <w:textAlignment w:val="auto"/>
        <w:rPr>
          <w:b/>
          <w:bCs/>
          <w:sz w:val="24"/>
          <w:szCs w:val="24"/>
        </w:rPr>
      </w:pPr>
    </w:p>
    <w:p w14:paraId="674643E6" w14:textId="77777777" w:rsidR="005B7593" w:rsidRDefault="005B7593" w:rsidP="005B7593">
      <w:pPr>
        <w:overflowPunct/>
        <w:autoSpaceDE/>
        <w:autoSpaceDN/>
        <w:adjustRightInd/>
        <w:textAlignment w:val="auto"/>
        <w:rPr>
          <w:b/>
          <w:bCs/>
          <w:sz w:val="24"/>
          <w:szCs w:val="24"/>
        </w:rPr>
      </w:pPr>
    </w:p>
    <w:p w14:paraId="756C8B6B" w14:textId="77777777" w:rsidR="005B7593" w:rsidRPr="005B7593" w:rsidRDefault="005B7593" w:rsidP="005B7593">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2F675822" w14:textId="77777777" w:rsidR="00522495" w:rsidRPr="00522495" w:rsidRDefault="00522495" w:rsidP="00522495">
      <w:pPr>
        <w:spacing w:line="360" w:lineRule="auto"/>
        <w:ind w:right="237"/>
        <w:jc w:val="both"/>
        <w:rPr>
          <w:sz w:val="24"/>
          <w:szCs w:val="24"/>
        </w:rPr>
      </w:pPr>
    </w:p>
    <w:p w14:paraId="0EC3B658" w14:textId="77777777" w:rsidR="00522495" w:rsidRPr="00522495" w:rsidRDefault="00522495" w:rsidP="00522495">
      <w:pPr>
        <w:spacing w:line="360" w:lineRule="auto"/>
        <w:ind w:right="237"/>
        <w:jc w:val="both"/>
        <w:rPr>
          <w:sz w:val="24"/>
          <w:szCs w:val="24"/>
        </w:rPr>
      </w:pPr>
      <w:r w:rsidRPr="00522495">
        <w:rPr>
          <w:sz w:val="24"/>
          <w:szCs w:val="24"/>
        </w:rPr>
        <w:t xml:space="preserve">In this assignment I will discuss the challenges first attending officers face when approached with domestic violence. Expressing the importance of double crewing </w:t>
      </w:r>
      <w:r w:rsidRPr="00522495">
        <w:rPr>
          <w:sz w:val="24"/>
          <w:szCs w:val="24"/>
        </w:rPr>
        <w:lastRenderedPageBreak/>
        <w:t>officers taking positive action when dealing with these types of incidents and using techniques to manage a high-pressured emotional call. As police officers it can be difficult to understand and get involved in someone’s personal life for instance a married couple whose going through a tough time. As humans we must remain emotionally professional to show the victims and witnesses that we are more than locking up the “bad people”. With the recent exposure from body worn videos being worn by first attenders this is important for any evidence that may not get to paper from the victim for whatever their reasoning (</w:t>
      </w:r>
      <w:bookmarkStart w:id="0" w:name="_Hlk192270728"/>
      <w:r w:rsidRPr="00522495">
        <w:rPr>
          <w:sz w:val="24"/>
          <w:szCs w:val="24"/>
        </w:rPr>
        <w:t>Barrow-Grint, 2022</w:t>
      </w:r>
      <w:bookmarkEnd w:id="0"/>
      <w:r w:rsidRPr="00522495">
        <w:rPr>
          <w:sz w:val="24"/>
          <w:szCs w:val="24"/>
        </w:rPr>
        <w:t>). Regardless, domestic violence is a growing concern for crime levels in the UK and it is important police officers know how to face the issue and protect the vulnerable by providing support and advice on how to spot signs of domestic violence and abuse. Domestic abuse is defined by Section 1 of the Domestic Abuse Act 2021; 1(2) Behaviour of a person ('A') towards another person ('B') is domestic abuse if -</w:t>
      </w:r>
    </w:p>
    <w:p w14:paraId="053711B5" w14:textId="77777777" w:rsidR="00522495" w:rsidRPr="00522495" w:rsidRDefault="00522495" w:rsidP="00522495">
      <w:pPr>
        <w:spacing w:line="360" w:lineRule="auto"/>
        <w:ind w:right="237"/>
        <w:jc w:val="both"/>
        <w:rPr>
          <w:sz w:val="24"/>
          <w:szCs w:val="24"/>
        </w:rPr>
      </w:pPr>
      <w:r w:rsidRPr="00522495">
        <w:rPr>
          <w:sz w:val="24"/>
          <w:szCs w:val="24"/>
        </w:rPr>
        <w:t>(a) A and B are each aged 16 or over and are personally connected to each other, and</w:t>
      </w:r>
    </w:p>
    <w:p w14:paraId="2CAF0806" w14:textId="77777777" w:rsidR="00522495" w:rsidRPr="00522495" w:rsidRDefault="00522495" w:rsidP="00522495">
      <w:pPr>
        <w:spacing w:line="360" w:lineRule="auto"/>
        <w:ind w:right="237"/>
        <w:jc w:val="both"/>
        <w:rPr>
          <w:sz w:val="24"/>
          <w:szCs w:val="24"/>
        </w:rPr>
      </w:pPr>
      <w:r w:rsidRPr="00522495">
        <w:rPr>
          <w:sz w:val="24"/>
          <w:szCs w:val="24"/>
        </w:rPr>
        <w:t>(b) the behaviour is abusive.</w:t>
      </w:r>
    </w:p>
    <w:p w14:paraId="51D39BA8" w14:textId="77777777" w:rsidR="00522495" w:rsidRPr="00522495" w:rsidRDefault="00522495" w:rsidP="00522495">
      <w:pPr>
        <w:spacing w:line="360" w:lineRule="auto"/>
        <w:ind w:right="237"/>
        <w:jc w:val="both"/>
        <w:rPr>
          <w:sz w:val="24"/>
          <w:szCs w:val="24"/>
        </w:rPr>
      </w:pPr>
      <w:r w:rsidRPr="00522495">
        <w:rPr>
          <w:sz w:val="24"/>
          <w:szCs w:val="24"/>
        </w:rPr>
        <w:t>With the definition including behaviour that is abusive, this includes physical or sexual abuse, violent or threatening behaviour, controlling or coercive behaviour, economic abuse, psychological, emotional or other abuse.</w:t>
      </w:r>
    </w:p>
    <w:p w14:paraId="3E074ED4" w14:textId="77777777" w:rsidR="00522495" w:rsidRPr="00522495" w:rsidRDefault="00522495" w:rsidP="00522495">
      <w:pPr>
        <w:spacing w:line="360" w:lineRule="auto"/>
        <w:ind w:right="237"/>
        <w:jc w:val="both"/>
        <w:rPr>
          <w:sz w:val="24"/>
          <w:szCs w:val="24"/>
        </w:rPr>
      </w:pPr>
      <w:r w:rsidRPr="00522495">
        <w:rPr>
          <w:sz w:val="24"/>
          <w:szCs w:val="24"/>
        </w:rPr>
        <w:t>Firstly, I must mention the statistics for domestic violence in the UK, with the figures seeing no statistically significant change in the prevalence of domestic abuse experienced in 2024 stated by the Office for National Statistics, (2024). No change in these statistics show that there may not be enough support and awareness for victims and vulnerable persons. With the number of high-profile cases involving domestic related crimes, it must be priority for first responders to be aware of techniques and strategies to support and prevent reoccurring events.</w:t>
      </w:r>
    </w:p>
    <w:p w14:paraId="3967E9D7" w14:textId="77777777" w:rsidR="00522495" w:rsidRPr="00522495" w:rsidRDefault="00522495" w:rsidP="00522495">
      <w:pPr>
        <w:spacing w:line="360" w:lineRule="auto"/>
        <w:ind w:right="237"/>
        <w:jc w:val="both"/>
        <w:rPr>
          <w:sz w:val="24"/>
          <w:szCs w:val="24"/>
        </w:rPr>
      </w:pPr>
      <w:r w:rsidRPr="00522495">
        <w:rPr>
          <w:sz w:val="24"/>
          <w:szCs w:val="24"/>
        </w:rPr>
        <w:t xml:space="preserve">This assignment will involve details of a call a colleague and I attended as the public service centre received a 999-emergency call from a female within the area of Cardiff I work. The call had limited information to provide us as first responders and we were unaware of what we would walk into. The line from the female went as all she confirmed was there a man in her home whilst her children were heard crying in the background. It was clear she feared this man by the phone call and the background noise, so officers were alert and quick to respond. The response included myself, a female officer and my colleague a male officer. This can be </w:t>
      </w:r>
      <w:r w:rsidRPr="00522495">
        <w:rPr>
          <w:sz w:val="24"/>
          <w:szCs w:val="24"/>
        </w:rPr>
        <w:lastRenderedPageBreak/>
        <w:t xml:space="preserve">important to mention as some domestic cases require different genders </w:t>
      </w:r>
      <w:proofErr w:type="gramStart"/>
      <w:r w:rsidRPr="00522495">
        <w:rPr>
          <w:sz w:val="24"/>
          <w:szCs w:val="24"/>
        </w:rPr>
        <w:t>in order to</w:t>
      </w:r>
      <w:proofErr w:type="gramEnd"/>
      <w:r w:rsidRPr="00522495">
        <w:rPr>
          <w:sz w:val="24"/>
          <w:szCs w:val="24"/>
        </w:rPr>
        <w:t xml:space="preserve"> get a rapport from the victim. The College of Policing, (2024) identifies the approach officers must include when attending these types of calls, including building rapport, identifying risk and to ensure safety. Having a “friendly face” or someone the victim may feel more comfortable around may help build a trusting relationship where they feel able to share details about the incident. This can prevent revictimization by ensuring the victim stays clear from the abuser.</w:t>
      </w:r>
    </w:p>
    <w:p w14:paraId="6282BA3D" w14:textId="77777777" w:rsidR="00522495" w:rsidRPr="00522495" w:rsidRDefault="00522495" w:rsidP="00522495">
      <w:pPr>
        <w:spacing w:line="360" w:lineRule="auto"/>
        <w:ind w:right="237"/>
        <w:jc w:val="both"/>
        <w:rPr>
          <w:sz w:val="24"/>
          <w:szCs w:val="24"/>
        </w:rPr>
      </w:pPr>
      <w:r w:rsidRPr="00522495">
        <w:rPr>
          <w:sz w:val="24"/>
          <w:szCs w:val="24"/>
        </w:rPr>
        <w:t>On arrival my colleague and I split up to ensure the victim was separated from the other persons within the household. As the female of the crewing, I took the female victim into the living room with her children who were in distress. She had some visible injuries, and my body worn video captured this as well as her initial disclosures. My body worn video was used as evidence when this case went to the crown prosecution service. My colleague searched the property for any other persons and located a male in the bedroom, as soon as I gathered enough information from the female of what had occurred, I ensured her safety by informing her that we would be removing her ex-partner from the property. I had informed my colleague of the disclosures given and the male was arrested for domestic related crimes. Another unit attended the scene to take the accused to custody whilst I remained with the victim to gather evidence and provide support. It was best to gather more units that were available to ensure the safety of the victims and to gather the golden hour principles. It was important that further units were able to convey the arrested, so the first attending officers were able to gather information and evidence. At the time response officers are found to be tied up with other calls with a lack of officers to deal with incidents that are in high demand. Unfortunately, this is one of the many battles faced with response policing. It can be challenging to enforce positive action with minimal officers across sectors. According to Gibbs, (2019) police officers have a duty to take positive action when dealing with domestic abuse incidents, with this often this meaning making an arrest. If an arrest is not made due to lack of grounds officers, ensure the parties are separated for the evening to allow a cool off period.</w:t>
      </w:r>
    </w:p>
    <w:p w14:paraId="4C2FADE5" w14:textId="77777777" w:rsidR="00522495" w:rsidRPr="00522495" w:rsidRDefault="00522495" w:rsidP="00522495">
      <w:pPr>
        <w:spacing w:line="360" w:lineRule="auto"/>
        <w:ind w:right="237"/>
        <w:jc w:val="both"/>
        <w:rPr>
          <w:sz w:val="24"/>
          <w:szCs w:val="24"/>
        </w:rPr>
      </w:pPr>
      <w:r w:rsidRPr="00522495">
        <w:rPr>
          <w:sz w:val="24"/>
          <w:szCs w:val="24"/>
        </w:rPr>
        <w:t xml:space="preserve">According to Hibbitt, (2023) the first hour/s after a crime is committed should be used to gather the most important evidence, such as first accounts, statements and gathering CCTV opportunities. This may be due to victims not wishing to go ahead with police prosecution with a delay in response and witnesses leaving the scene. </w:t>
      </w:r>
      <w:r w:rsidRPr="00522495">
        <w:rPr>
          <w:sz w:val="24"/>
          <w:szCs w:val="24"/>
        </w:rPr>
        <w:lastRenderedPageBreak/>
        <w:t xml:space="preserve">Ensuring gathering this evidence as soon as possible also shows a positive response for police rather than leaving the scene with the arrested and coming back from a delayed wait in custody. With myself left at the scene I was able to gather a statement from the victim and arrange a statement to be taken from her eldest child in the morning with her grandmother who was aware of this situation. CCTV was obtained from the victim’s home and the </w:t>
      </w:r>
      <w:proofErr w:type="gramStart"/>
      <w:r w:rsidRPr="00522495">
        <w:rPr>
          <w:sz w:val="24"/>
          <w:szCs w:val="24"/>
        </w:rPr>
        <w:t>next door</w:t>
      </w:r>
      <w:proofErr w:type="gramEnd"/>
      <w:r w:rsidRPr="00522495">
        <w:rPr>
          <w:sz w:val="24"/>
          <w:szCs w:val="24"/>
        </w:rPr>
        <w:t xml:space="preserve"> neighbours, house to house enquiries were completed and all photographs were obtained from the scene and injuries caused. In terms of domestic violence, it is police protocol to obtain a form titled “The Domestic Abuse Stalking and Harassment (DASH)” to share to other agencies for support (Barrow-Grint, 2022). This form is shared (with the consent of the victim) to agencies such as Women’s Aid and social services. These forms include the details of the victim, aggressor and any children connected to the two. All containing evidence from the incident and shared for support reasons if consented by the victim.</w:t>
      </w:r>
    </w:p>
    <w:p w14:paraId="5C2F0E12" w14:textId="77777777" w:rsidR="00522495" w:rsidRPr="00522495" w:rsidRDefault="00522495" w:rsidP="00522495">
      <w:pPr>
        <w:spacing w:line="360" w:lineRule="auto"/>
        <w:ind w:right="237"/>
        <w:jc w:val="both"/>
        <w:rPr>
          <w:sz w:val="24"/>
          <w:szCs w:val="24"/>
        </w:rPr>
      </w:pPr>
      <w:r w:rsidRPr="00522495">
        <w:rPr>
          <w:sz w:val="24"/>
          <w:szCs w:val="24"/>
        </w:rPr>
        <w:t>Once a statement was obtained and the relevant support forms were submitted it was mentioned if the victim wished for a restraining order in the future, with the accused also being given bail conditions if granted bail. All these questions would provide a level of safety to the victim if granted, to prevent victimisation and prioritise THRIVE. HMICRFS, (2019) highlights first attending officers being aware if revictimization is a risk, with domestic abuse being one of the most risk impending factors to revictimization. The THIRVE (threat, harm, risk, investigation, vulnerability and engagement) approach was adopted to prioritize the victim and to spot any clues that are associated with vulnerability related risk (College of Policing, 2021). I had identified that with her engaging with me initially it was important to continue a good repour with her throughout the investigation to protect her from revictimization in the future. THRIVE was considered throughout the call allowing us to deal with the call. The complex nature of the male being father to the children and emotions being at a high meant my emotional professionalism had to adapt from the victim to the children when explaining the situation and going forward. The victim was able to get a family member to come to the address to provide further support and allow breathing space from the children.</w:t>
      </w:r>
    </w:p>
    <w:p w14:paraId="143BA740" w14:textId="77777777" w:rsidR="00522495" w:rsidRPr="00522495" w:rsidRDefault="00522495" w:rsidP="00522495">
      <w:pPr>
        <w:spacing w:line="360" w:lineRule="auto"/>
        <w:ind w:right="237"/>
        <w:jc w:val="both"/>
        <w:rPr>
          <w:sz w:val="24"/>
          <w:szCs w:val="24"/>
        </w:rPr>
      </w:pPr>
      <w:r w:rsidRPr="00522495">
        <w:rPr>
          <w:sz w:val="24"/>
          <w:szCs w:val="24"/>
        </w:rPr>
        <w:t xml:space="preserve">The victim was provided with support from Live Fear Free and a domestic violence support apps for her mobile device, Bright Sky. According to Hestia, (2023) Bright Sky is an app available on smartphones which allows users to record any evidence </w:t>
      </w:r>
      <w:r w:rsidRPr="00522495">
        <w:rPr>
          <w:sz w:val="24"/>
          <w:szCs w:val="24"/>
        </w:rPr>
        <w:lastRenderedPageBreak/>
        <w:t xml:space="preserve">and can be sent via a safe email, it can provide advice and guidance on experiencing abuse or previous experience. The victim felt at ease with this app downloaded as she felt she was able to get 24/7 support and read up on what she had been victim too as well as confidently write her feelings and thoughts down. Even with this support in place victims can too often become reluctant to support police investigation with the fear that their abuser will find out. Which is why support is so important and building that initial repour to get them to trust police. Victims can be provided with an independent domestic violence advocates (IDVA) and serve as a victim’s primary point of contact. According to HMICRFS, (2023) victims can receive a IDVA by local council services, a police referral or a self-referral. IDVAs provide a trained individual to support the victim, they can explain the process and continue that repour whilst the officer in case is maintaining the case file for the crown prosecution service. </w:t>
      </w:r>
    </w:p>
    <w:p w14:paraId="4F8C0C81" w14:textId="77777777" w:rsidR="00522495" w:rsidRPr="00522495" w:rsidRDefault="00522495" w:rsidP="00522495">
      <w:pPr>
        <w:spacing w:line="360" w:lineRule="auto"/>
        <w:ind w:right="237"/>
        <w:jc w:val="both"/>
        <w:rPr>
          <w:sz w:val="24"/>
          <w:szCs w:val="24"/>
        </w:rPr>
      </w:pPr>
      <w:r w:rsidRPr="00522495">
        <w:rPr>
          <w:sz w:val="24"/>
          <w:szCs w:val="24"/>
        </w:rPr>
        <w:t>Throughout the case the victim was updated with the release and outcome of her case by me, the officer in the case. The defendant was given a non-molestation orders (NMOs) which is designed to protect victims and are issued by the court (Gov.uk, 2022). This stopped him from being within a certain distance within her and the children’s home, it also meant he was unable to contact her directly. The victim was supported throughout and was happy with the result of her case, a third-party person was put in place for the care of the children with their father and there had been no further issues. With this result we have lowered the risk for revictimization as our victim is now aware of the red flags of domestic violence. The result of this case may not have been the same if it wasn’t for first responders to gather the evidence as soon as they could and another unit conveying the prisoner. The case may have lost evidence if the victim became unsupportive if she did not build a repour with me from the first instance or if she was not appointed an IDVA. My point is with the loss of officers across Wales due to the working conditions, officer levels and work satisfaction these results are far and few (Police federation, 2024). It is not often we get a positive outcome from domestic violence cases, which would result in loss in public trust and more crimes overall.</w:t>
      </w:r>
    </w:p>
    <w:p w14:paraId="4AC88AED" w14:textId="77777777" w:rsidR="00522495" w:rsidRPr="00522495" w:rsidRDefault="00522495" w:rsidP="00522495">
      <w:pPr>
        <w:spacing w:line="360" w:lineRule="auto"/>
        <w:ind w:right="237"/>
        <w:jc w:val="both"/>
        <w:rPr>
          <w:sz w:val="24"/>
          <w:szCs w:val="24"/>
        </w:rPr>
      </w:pPr>
      <w:r w:rsidRPr="00522495">
        <w:rPr>
          <w:sz w:val="24"/>
          <w:szCs w:val="24"/>
        </w:rPr>
        <w:t xml:space="preserve">Overall, it is important to attend high pressured emergency calls with the knowledge and techniques in mind for what were about to face. The college of policing, (2024) highlights the factors of a first attending officer and the importance of building that community trust to provide safety to our victims. This incident I attended was made </w:t>
      </w:r>
      <w:r w:rsidRPr="00522495">
        <w:rPr>
          <w:sz w:val="24"/>
          <w:szCs w:val="24"/>
        </w:rPr>
        <w:lastRenderedPageBreak/>
        <w:t>easier to build trust by gathering more officers and dealing with the suspect and victim separate. Positive action was taken against the suspect, and he was arrested as a result. The two parties were separated because of this which allowed the victim to confess the crimes committed against her. She was supported by South Wales Police and other agencies which prevented any retraction of her evidence provided also a better chance of her becoming victim to this again by the same individual. This was prevented as the prisoner was unable to contact her or have any influence on her decisions. She was protected by South Wales Police and Women’s Aid by working as a team.</w:t>
      </w:r>
    </w:p>
    <w:p w14:paraId="0A868CAE" w14:textId="77777777" w:rsidR="00522495" w:rsidRPr="00522495" w:rsidRDefault="00522495" w:rsidP="00522495">
      <w:pPr>
        <w:ind w:right="237"/>
        <w:jc w:val="both"/>
        <w:rPr>
          <w:b/>
          <w:bCs/>
          <w:sz w:val="24"/>
          <w:szCs w:val="24"/>
        </w:rPr>
      </w:pPr>
    </w:p>
    <w:p w14:paraId="66CF95DF" w14:textId="282F4277" w:rsidR="00522495" w:rsidRPr="00522495" w:rsidRDefault="00522495" w:rsidP="00522495">
      <w:pPr>
        <w:ind w:right="237"/>
        <w:jc w:val="both"/>
        <w:rPr>
          <w:b/>
          <w:bCs/>
          <w:sz w:val="24"/>
          <w:szCs w:val="24"/>
        </w:rPr>
      </w:pPr>
      <w:r>
        <w:rPr>
          <w:b/>
          <w:bCs/>
          <w:sz w:val="24"/>
          <w:szCs w:val="24"/>
        </w:rPr>
        <w:t>Word count: 1952</w:t>
      </w:r>
    </w:p>
    <w:p w14:paraId="44B581B9" w14:textId="77777777" w:rsidR="00522495" w:rsidRPr="00522495" w:rsidRDefault="00522495" w:rsidP="00522495">
      <w:pPr>
        <w:ind w:right="237"/>
        <w:jc w:val="both"/>
        <w:rPr>
          <w:b/>
          <w:bCs/>
          <w:sz w:val="24"/>
          <w:szCs w:val="24"/>
        </w:rPr>
      </w:pPr>
    </w:p>
    <w:p w14:paraId="023E7DC3" w14:textId="77777777" w:rsidR="00522495" w:rsidRPr="00522495" w:rsidRDefault="00522495" w:rsidP="00522495">
      <w:pPr>
        <w:ind w:right="237"/>
        <w:jc w:val="both"/>
        <w:rPr>
          <w:b/>
          <w:bCs/>
          <w:sz w:val="24"/>
          <w:szCs w:val="24"/>
        </w:rPr>
      </w:pPr>
    </w:p>
    <w:p w14:paraId="326B565E" w14:textId="77777777" w:rsidR="00522495" w:rsidRPr="00522495" w:rsidRDefault="00522495" w:rsidP="00522495">
      <w:pPr>
        <w:ind w:right="237"/>
        <w:jc w:val="both"/>
        <w:rPr>
          <w:b/>
          <w:bCs/>
          <w:sz w:val="24"/>
          <w:szCs w:val="24"/>
        </w:rPr>
      </w:pPr>
    </w:p>
    <w:p w14:paraId="5ADD144A" w14:textId="77777777" w:rsidR="00522495" w:rsidRPr="00522495" w:rsidRDefault="00522495" w:rsidP="00522495">
      <w:pPr>
        <w:ind w:right="237"/>
        <w:jc w:val="both"/>
        <w:rPr>
          <w:b/>
          <w:bCs/>
          <w:sz w:val="24"/>
          <w:szCs w:val="24"/>
        </w:rPr>
      </w:pPr>
    </w:p>
    <w:p w14:paraId="6E6037F1" w14:textId="77777777" w:rsidR="00522495" w:rsidRPr="00522495" w:rsidRDefault="00522495" w:rsidP="00522495">
      <w:pPr>
        <w:ind w:right="237"/>
        <w:jc w:val="both"/>
        <w:rPr>
          <w:b/>
          <w:bCs/>
          <w:sz w:val="24"/>
          <w:szCs w:val="24"/>
        </w:rPr>
      </w:pPr>
    </w:p>
    <w:p w14:paraId="7C4F0951" w14:textId="77777777" w:rsidR="00522495" w:rsidRPr="00522495" w:rsidRDefault="00522495" w:rsidP="00522495">
      <w:pPr>
        <w:ind w:right="237"/>
        <w:jc w:val="both"/>
        <w:rPr>
          <w:b/>
          <w:bCs/>
          <w:sz w:val="24"/>
          <w:szCs w:val="24"/>
        </w:rPr>
      </w:pPr>
    </w:p>
    <w:p w14:paraId="7F25507F" w14:textId="77777777" w:rsidR="00522495" w:rsidRPr="00522495" w:rsidRDefault="00522495" w:rsidP="00522495">
      <w:pPr>
        <w:ind w:right="237"/>
        <w:jc w:val="both"/>
        <w:rPr>
          <w:b/>
          <w:bCs/>
          <w:sz w:val="24"/>
          <w:szCs w:val="24"/>
        </w:rPr>
      </w:pPr>
    </w:p>
    <w:p w14:paraId="558E23E1" w14:textId="77777777" w:rsidR="00522495" w:rsidRPr="00522495" w:rsidRDefault="00522495" w:rsidP="00522495">
      <w:pPr>
        <w:ind w:right="237"/>
        <w:jc w:val="both"/>
        <w:rPr>
          <w:b/>
          <w:bCs/>
          <w:sz w:val="24"/>
          <w:szCs w:val="24"/>
        </w:rPr>
      </w:pPr>
    </w:p>
    <w:p w14:paraId="49033F70" w14:textId="77777777" w:rsidR="00522495" w:rsidRPr="00522495" w:rsidRDefault="00522495" w:rsidP="00522495">
      <w:pPr>
        <w:ind w:right="237"/>
        <w:jc w:val="both"/>
        <w:rPr>
          <w:b/>
          <w:bCs/>
          <w:sz w:val="24"/>
          <w:szCs w:val="24"/>
        </w:rPr>
      </w:pPr>
    </w:p>
    <w:p w14:paraId="1CA57738" w14:textId="77777777" w:rsidR="00522495" w:rsidRPr="00522495" w:rsidRDefault="00522495" w:rsidP="00522495">
      <w:pPr>
        <w:ind w:right="237"/>
        <w:jc w:val="both"/>
        <w:rPr>
          <w:b/>
          <w:bCs/>
          <w:sz w:val="24"/>
          <w:szCs w:val="24"/>
        </w:rPr>
      </w:pPr>
    </w:p>
    <w:p w14:paraId="12DB566B" w14:textId="77777777" w:rsidR="00522495" w:rsidRPr="00522495" w:rsidRDefault="00522495" w:rsidP="00522495">
      <w:pPr>
        <w:ind w:right="237"/>
        <w:jc w:val="both"/>
        <w:rPr>
          <w:b/>
          <w:bCs/>
          <w:sz w:val="24"/>
          <w:szCs w:val="24"/>
        </w:rPr>
      </w:pPr>
    </w:p>
    <w:p w14:paraId="038F0DC2" w14:textId="77777777" w:rsidR="00522495" w:rsidRPr="00522495" w:rsidRDefault="00522495" w:rsidP="00522495">
      <w:pPr>
        <w:ind w:right="237"/>
        <w:jc w:val="both"/>
        <w:rPr>
          <w:b/>
          <w:bCs/>
          <w:sz w:val="24"/>
          <w:szCs w:val="24"/>
        </w:rPr>
      </w:pPr>
    </w:p>
    <w:p w14:paraId="220F7883" w14:textId="77777777" w:rsidR="00522495" w:rsidRPr="00522495" w:rsidRDefault="00522495" w:rsidP="00522495">
      <w:pPr>
        <w:ind w:right="237"/>
        <w:jc w:val="both"/>
        <w:rPr>
          <w:b/>
          <w:bCs/>
          <w:sz w:val="24"/>
          <w:szCs w:val="24"/>
        </w:rPr>
      </w:pPr>
    </w:p>
    <w:p w14:paraId="468EF36F" w14:textId="77777777" w:rsidR="00522495" w:rsidRPr="00522495" w:rsidRDefault="00522495" w:rsidP="00522495">
      <w:pPr>
        <w:ind w:right="237"/>
        <w:jc w:val="both"/>
        <w:rPr>
          <w:b/>
          <w:bCs/>
          <w:sz w:val="24"/>
          <w:szCs w:val="24"/>
        </w:rPr>
      </w:pPr>
    </w:p>
    <w:p w14:paraId="751DCBDA" w14:textId="77777777" w:rsidR="00522495" w:rsidRPr="00522495" w:rsidRDefault="00522495" w:rsidP="00522495">
      <w:pPr>
        <w:ind w:right="237"/>
        <w:jc w:val="both"/>
        <w:rPr>
          <w:b/>
          <w:bCs/>
          <w:sz w:val="24"/>
          <w:szCs w:val="24"/>
        </w:rPr>
      </w:pPr>
    </w:p>
    <w:p w14:paraId="132264EE" w14:textId="77777777" w:rsidR="00522495" w:rsidRPr="00522495" w:rsidRDefault="00522495" w:rsidP="00522495">
      <w:pPr>
        <w:ind w:right="237"/>
        <w:jc w:val="both"/>
        <w:rPr>
          <w:b/>
          <w:bCs/>
          <w:sz w:val="24"/>
          <w:szCs w:val="24"/>
        </w:rPr>
      </w:pPr>
    </w:p>
    <w:p w14:paraId="2986C652" w14:textId="77777777" w:rsidR="00522495" w:rsidRPr="00522495" w:rsidRDefault="00522495" w:rsidP="00522495">
      <w:pPr>
        <w:ind w:right="237"/>
        <w:jc w:val="both"/>
        <w:rPr>
          <w:b/>
          <w:bCs/>
          <w:sz w:val="24"/>
          <w:szCs w:val="24"/>
        </w:rPr>
      </w:pPr>
    </w:p>
    <w:p w14:paraId="3272F2AF" w14:textId="77777777" w:rsidR="00522495" w:rsidRPr="00522495" w:rsidRDefault="00522495" w:rsidP="00522495">
      <w:pPr>
        <w:ind w:right="237"/>
        <w:jc w:val="both"/>
        <w:rPr>
          <w:b/>
          <w:bCs/>
          <w:sz w:val="24"/>
          <w:szCs w:val="24"/>
        </w:rPr>
      </w:pPr>
    </w:p>
    <w:p w14:paraId="7ED4F491" w14:textId="77777777" w:rsidR="00522495" w:rsidRPr="00522495" w:rsidRDefault="00522495" w:rsidP="00522495">
      <w:pPr>
        <w:ind w:right="237"/>
        <w:jc w:val="both"/>
        <w:rPr>
          <w:b/>
          <w:bCs/>
          <w:sz w:val="24"/>
          <w:szCs w:val="24"/>
        </w:rPr>
      </w:pPr>
    </w:p>
    <w:p w14:paraId="476A6DEC" w14:textId="77777777" w:rsidR="00522495" w:rsidRPr="00E676F7" w:rsidRDefault="00522495" w:rsidP="5CE196A1">
      <w:pPr>
        <w:ind w:right="237"/>
        <w:jc w:val="both"/>
        <w:rPr>
          <w:b/>
          <w:bCs/>
          <w:sz w:val="24"/>
          <w:szCs w:val="24"/>
        </w:rPr>
      </w:pP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35B71E0D" w14:textId="77777777" w:rsidR="005B0CEE" w:rsidRDefault="005B0CEE" w:rsidP="00340E9A">
      <w:pPr>
        <w:ind w:right="237"/>
        <w:rPr>
          <w:b/>
          <w:bCs/>
          <w:color w:val="000000" w:themeColor="text1"/>
          <w:sz w:val="24"/>
          <w:szCs w:val="24"/>
        </w:rPr>
      </w:pPr>
    </w:p>
    <w:p w14:paraId="61E7EDC9" w14:textId="77777777" w:rsidR="005B0CEE" w:rsidRDefault="005B0CEE" w:rsidP="00340E9A">
      <w:pPr>
        <w:ind w:right="237"/>
        <w:rPr>
          <w:b/>
          <w:bCs/>
          <w:color w:val="000000" w:themeColor="text1"/>
          <w:sz w:val="24"/>
          <w:szCs w:val="24"/>
        </w:rPr>
      </w:pPr>
    </w:p>
    <w:p w14:paraId="479A8BDC" w14:textId="77777777" w:rsidR="005B0CEE" w:rsidRDefault="005B0CEE" w:rsidP="00340E9A">
      <w:pPr>
        <w:ind w:right="237"/>
        <w:rPr>
          <w:b/>
          <w:bCs/>
          <w:color w:val="000000" w:themeColor="text1"/>
          <w:sz w:val="24"/>
          <w:szCs w:val="24"/>
        </w:rPr>
      </w:pPr>
    </w:p>
    <w:p w14:paraId="4D4E7822" w14:textId="77777777" w:rsidR="005B7593" w:rsidRDefault="005B7593" w:rsidP="00340E9A">
      <w:pPr>
        <w:ind w:right="237"/>
        <w:rPr>
          <w:b/>
          <w:bCs/>
          <w:color w:val="000000" w:themeColor="text1"/>
          <w:sz w:val="24"/>
          <w:szCs w:val="24"/>
        </w:rPr>
      </w:pPr>
    </w:p>
    <w:p w14:paraId="47374341" w14:textId="77777777" w:rsidR="005B7593" w:rsidRDefault="005B7593" w:rsidP="00340E9A">
      <w:pPr>
        <w:ind w:right="237"/>
        <w:rPr>
          <w:b/>
          <w:bCs/>
          <w:color w:val="000000" w:themeColor="text1"/>
          <w:sz w:val="24"/>
          <w:szCs w:val="24"/>
        </w:rPr>
      </w:pPr>
    </w:p>
    <w:p w14:paraId="7E2DA59D" w14:textId="77777777" w:rsidR="005B7593" w:rsidRDefault="005B7593" w:rsidP="00340E9A">
      <w:pPr>
        <w:ind w:right="237"/>
        <w:rPr>
          <w:b/>
          <w:bCs/>
          <w:color w:val="000000" w:themeColor="text1"/>
          <w:sz w:val="24"/>
          <w:szCs w:val="24"/>
        </w:rPr>
      </w:pPr>
    </w:p>
    <w:p w14:paraId="4388286C" w14:textId="77777777" w:rsidR="005B7593" w:rsidRDefault="005B7593" w:rsidP="00340E9A">
      <w:pPr>
        <w:ind w:right="237"/>
        <w:rPr>
          <w:b/>
          <w:bCs/>
          <w:color w:val="000000" w:themeColor="text1"/>
          <w:sz w:val="24"/>
          <w:szCs w:val="24"/>
        </w:rPr>
      </w:pPr>
    </w:p>
    <w:p w14:paraId="25D7894B" w14:textId="77777777" w:rsidR="005B7593" w:rsidRDefault="005B7593" w:rsidP="00340E9A">
      <w:pPr>
        <w:ind w:right="237"/>
        <w:rPr>
          <w:b/>
          <w:bCs/>
          <w:color w:val="000000" w:themeColor="text1"/>
          <w:sz w:val="24"/>
          <w:szCs w:val="24"/>
        </w:rPr>
      </w:pPr>
    </w:p>
    <w:p w14:paraId="11E7FD32" w14:textId="77777777" w:rsidR="005B7593" w:rsidRDefault="005B7593" w:rsidP="00340E9A">
      <w:pPr>
        <w:ind w:right="237"/>
        <w:rPr>
          <w:b/>
          <w:bCs/>
          <w:color w:val="000000" w:themeColor="text1"/>
          <w:sz w:val="24"/>
          <w:szCs w:val="24"/>
        </w:rPr>
      </w:pPr>
    </w:p>
    <w:p w14:paraId="09E3696A" w14:textId="77777777" w:rsidR="005B7593" w:rsidRDefault="005B7593" w:rsidP="00340E9A">
      <w:pPr>
        <w:ind w:right="237"/>
        <w:rPr>
          <w:b/>
          <w:bCs/>
          <w:color w:val="000000" w:themeColor="text1"/>
          <w:sz w:val="24"/>
          <w:szCs w:val="24"/>
        </w:rPr>
      </w:pPr>
    </w:p>
    <w:p w14:paraId="4E3575BA" w14:textId="77777777" w:rsidR="005B0CEE" w:rsidRPr="00E676F7" w:rsidRDefault="005B0CEE" w:rsidP="00340E9A">
      <w:pPr>
        <w:ind w:right="237"/>
      </w:pPr>
    </w:p>
    <w:p w14:paraId="76B6FAAC" w14:textId="78791342" w:rsidR="0FF883D4" w:rsidRDefault="0FF883D4" w:rsidP="0FF883D4">
      <w:pPr>
        <w:ind w:left="2880" w:right="225" w:firstLine="720"/>
        <w:rPr>
          <w:b/>
          <w:bCs/>
          <w:sz w:val="24"/>
          <w:szCs w:val="24"/>
          <w:lang w:eastAsia="zh-TW"/>
        </w:rPr>
      </w:pPr>
    </w:p>
    <w:p w14:paraId="1ADEFAE5" w14:textId="0000D5A3" w:rsidR="0FF883D4" w:rsidRDefault="5CE196A1" w:rsidP="5CE196A1">
      <w:r w:rsidRPr="5CE196A1">
        <w:rPr>
          <w:rFonts w:eastAsia="Arial"/>
          <w:b/>
          <w:bCs/>
          <w:color w:val="000000" w:themeColor="text1"/>
          <w:sz w:val="24"/>
          <w:szCs w:val="24"/>
        </w:rPr>
        <w:lastRenderedPageBreak/>
        <w:t xml:space="preserve">Authentication signature: </w:t>
      </w:r>
      <w:r w:rsidR="005B0CEE">
        <w:rPr>
          <w:rFonts w:eastAsia="Arial"/>
          <w:b/>
          <w:bCs/>
          <w:color w:val="000000" w:themeColor="text1"/>
          <w:sz w:val="24"/>
          <w:szCs w:val="24"/>
        </w:rPr>
        <w:t xml:space="preserve">Olivia Joy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2DD51A5" w:rsidR="0FF883D4" w:rsidRDefault="5CE196A1" w:rsidP="5CE196A1">
      <w:r w:rsidRPr="5CE196A1">
        <w:rPr>
          <w:rFonts w:eastAsia="Arial"/>
          <w:b/>
          <w:bCs/>
          <w:color w:val="000000" w:themeColor="text1"/>
          <w:sz w:val="24"/>
          <w:szCs w:val="24"/>
        </w:rPr>
        <w:t xml:space="preserve">Signed: </w:t>
      </w:r>
      <w:r w:rsidR="005B0CEE">
        <w:rPr>
          <w:rFonts w:eastAsia="Arial"/>
          <w:b/>
          <w:bCs/>
          <w:color w:val="000000" w:themeColor="text1"/>
          <w:sz w:val="24"/>
          <w:szCs w:val="24"/>
        </w:rPr>
        <w:t xml:space="preserve">Olivia Joy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3F5A62DD" w:rsidR="0FF883D4" w:rsidRPr="005B0CEE" w:rsidRDefault="5CE196A1" w:rsidP="005B0CEE">
      <w:pPr>
        <w:sectPr w:rsidR="0FF883D4" w:rsidRPr="005B0CEE" w:rsidSect="0022001B">
          <w:footerReference w:type="default" r:id="rId16"/>
          <w:pgSz w:w="11906" w:h="16838" w:code="9"/>
          <w:pgMar w:top="1440" w:right="1440" w:bottom="1440" w:left="1440" w:header="720" w:footer="720" w:gutter="0"/>
          <w:cols w:space="720"/>
          <w:docGrid w:linePitch="272"/>
        </w:sectPr>
      </w:pPr>
      <w:proofErr w:type="gramStart"/>
      <w:r w:rsidRPr="5CE196A1">
        <w:rPr>
          <w:rFonts w:eastAsia="Arial"/>
          <w:b/>
          <w:bCs/>
          <w:color w:val="000000" w:themeColor="text1"/>
          <w:sz w:val="24"/>
          <w:szCs w:val="24"/>
        </w:rPr>
        <w:t>Date</w:t>
      </w:r>
      <w:r w:rsidR="005B0CEE">
        <w:rPr>
          <w:rFonts w:eastAsia="Arial"/>
          <w:b/>
          <w:bCs/>
          <w:color w:val="000000" w:themeColor="text1"/>
          <w:sz w:val="24"/>
          <w:szCs w:val="24"/>
        </w:rPr>
        <w:t xml:space="preserve"> :</w:t>
      </w:r>
      <w:proofErr w:type="gramEnd"/>
      <w:r w:rsidR="005B0CEE">
        <w:rPr>
          <w:rFonts w:eastAsia="Arial"/>
          <w:b/>
          <w:bCs/>
          <w:color w:val="000000" w:themeColor="text1"/>
          <w:sz w:val="24"/>
          <w:szCs w:val="24"/>
        </w:rPr>
        <w:t xml:space="preserve"> </w:t>
      </w:r>
      <w:r w:rsidR="005B0CEE">
        <w:rPr>
          <w:b/>
          <w:bCs/>
          <w:sz w:val="24"/>
          <w:szCs w:val="24"/>
          <w:lang w:eastAsia="zh-TW"/>
        </w:rPr>
        <w:t>07/04/25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8AF3B2E"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p>
    <w:p w14:paraId="057E20AB"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Ashby, M. Chainey, S. (2012). “</w:t>
      </w:r>
      <w:r w:rsidRPr="005B7593">
        <w:rPr>
          <w:rFonts w:ascii="Aptos" w:eastAsia="Aptos" w:hAnsi="Aptos" w:cs="Times New Roman"/>
          <w:i/>
          <w:iCs/>
          <w:color w:val="auto"/>
          <w:kern w:val="2"/>
          <w:sz w:val="22"/>
          <w:szCs w:val="22"/>
          <w:lang w:eastAsia="en-US"/>
          <w14:ligatures w14:val="standardContextual"/>
        </w:rPr>
        <w:t>Problem Solving for Neighbourhood Policing</w:t>
      </w:r>
      <w:r w:rsidRPr="005B7593">
        <w:rPr>
          <w:rFonts w:ascii="Aptos" w:eastAsia="Aptos" w:hAnsi="Aptos" w:cs="Times New Roman"/>
          <w:color w:val="auto"/>
          <w:kern w:val="2"/>
          <w:sz w:val="22"/>
          <w:szCs w:val="22"/>
          <w:lang w:eastAsia="en-US"/>
          <w14:ligatures w14:val="standardContextual"/>
        </w:rPr>
        <w:t>”. The UCL Jill Dando Institute of Security and Crime Science.</w:t>
      </w:r>
    </w:p>
    <w:p w14:paraId="52B7E223"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 xml:space="preserve">Barrow-Grint, K., Sebire, J., Turton, J. and Weir, R., (2022). </w:t>
      </w:r>
      <w:r w:rsidRPr="005B7593">
        <w:rPr>
          <w:rFonts w:ascii="Aptos" w:eastAsia="Aptos" w:hAnsi="Aptos" w:cs="Times New Roman"/>
          <w:i/>
          <w:iCs/>
          <w:color w:val="auto"/>
          <w:kern w:val="2"/>
          <w:sz w:val="22"/>
          <w:szCs w:val="22"/>
          <w:lang w:eastAsia="en-US"/>
          <w14:ligatures w14:val="standardContextual"/>
        </w:rPr>
        <w:t>“Policing Domestic Abuse: Risk, Policy, and Practice</w:t>
      </w:r>
      <w:r w:rsidRPr="005B7593">
        <w:rPr>
          <w:rFonts w:ascii="Aptos" w:eastAsia="Aptos" w:hAnsi="Aptos" w:cs="Times New Roman"/>
          <w:color w:val="auto"/>
          <w:kern w:val="2"/>
          <w:sz w:val="22"/>
          <w:szCs w:val="22"/>
          <w:lang w:eastAsia="en-US"/>
          <w14:ligatures w14:val="standardContextual"/>
        </w:rPr>
        <w:t>”. Routledge.</w:t>
      </w:r>
    </w:p>
    <w:p w14:paraId="736B4462"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Bullock, K. et al. (2022) ‘</w:t>
      </w:r>
      <w:r w:rsidRPr="005B7593">
        <w:rPr>
          <w:rFonts w:ascii="Aptos" w:eastAsia="Aptos" w:hAnsi="Aptos" w:cs="Times New Roman"/>
          <w:i/>
          <w:iCs/>
          <w:color w:val="auto"/>
          <w:kern w:val="2"/>
          <w:sz w:val="22"/>
          <w:szCs w:val="22"/>
          <w:lang w:eastAsia="en-US"/>
          <w14:ligatures w14:val="standardContextual"/>
        </w:rPr>
        <w:t>Police perceptions of problem-oriented policing and evidence-based policing: evidence from England and Wales’</w:t>
      </w:r>
      <w:r w:rsidRPr="005B7593">
        <w:rPr>
          <w:rFonts w:ascii="Aptos" w:eastAsia="Aptos" w:hAnsi="Aptos" w:cs="Times New Roman"/>
          <w:color w:val="auto"/>
          <w:kern w:val="2"/>
          <w:sz w:val="22"/>
          <w:szCs w:val="22"/>
          <w:lang w:eastAsia="en-US"/>
          <w14:ligatures w14:val="standardContextual"/>
        </w:rPr>
        <w:t>, Police Practice and Research, 23(6), pp. 775–791.</w:t>
      </w:r>
    </w:p>
    <w:p w14:paraId="752B647A"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 xml:space="preserve">Clarke RV and Eck J. (2003). </w:t>
      </w:r>
      <w:r w:rsidRPr="005B7593">
        <w:rPr>
          <w:rFonts w:ascii="Aptos" w:eastAsia="Aptos" w:hAnsi="Aptos" w:cs="Times New Roman"/>
          <w:i/>
          <w:iCs/>
          <w:color w:val="auto"/>
          <w:kern w:val="2"/>
          <w:sz w:val="22"/>
          <w:szCs w:val="22"/>
          <w:lang w:eastAsia="en-US"/>
          <w14:ligatures w14:val="standardContextual"/>
        </w:rPr>
        <w:t>'Become a problem-solving crime analyst: In 55 small steps</w:t>
      </w:r>
      <w:r w:rsidRPr="005B7593">
        <w:rPr>
          <w:rFonts w:ascii="Aptos" w:eastAsia="Aptos" w:hAnsi="Aptos" w:cs="Times New Roman"/>
          <w:color w:val="auto"/>
          <w:kern w:val="2"/>
          <w:sz w:val="22"/>
          <w:szCs w:val="22"/>
          <w:lang w:eastAsia="en-US"/>
          <w14:ligatures w14:val="standardContextual"/>
        </w:rPr>
        <w:t>.' Jill Dando Institute of Crime Science. London: University College London.</w:t>
      </w:r>
    </w:p>
    <w:p w14:paraId="1CBA8659"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College of Policing, (2021). “</w:t>
      </w:r>
      <w:r w:rsidRPr="005B7593">
        <w:rPr>
          <w:rFonts w:ascii="Aptos" w:eastAsia="Aptos" w:hAnsi="Aptos" w:cs="Times New Roman"/>
          <w:i/>
          <w:iCs/>
          <w:color w:val="auto"/>
          <w:kern w:val="2"/>
          <w:sz w:val="22"/>
          <w:szCs w:val="22"/>
          <w:lang w:eastAsia="en-US"/>
          <w14:ligatures w14:val="standardContextual"/>
        </w:rPr>
        <w:t>Introduction to vulnerability-related risk</w:t>
      </w:r>
      <w:r w:rsidRPr="005B7593">
        <w:rPr>
          <w:rFonts w:ascii="Aptos" w:eastAsia="Aptos" w:hAnsi="Aptos" w:cs="Times New Roman"/>
          <w:color w:val="auto"/>
          <w:kern w:val="2"/>
          <w:sz w:val="22"/>
          <w:szCs w:val="22"/>
          <w:lang w:eastAsia="en-US"/>
          <w14:ligatures w14:val="standardContextual"/>
        </w:rPr>
        <w:t xml:space="preserve">”. Available at: </w:t>
      </w:r>
      <w:hyperlink r:id="rId17" w:history="1">
        <w:r w:rsidRPr="005B7593">
          <w:rPr>
            <w:rFonts w:ascii="Aptos" w:eastAsia="Aptos" w:hAnsi="Aptos" w:cs="Times New Roman"/>
            <w:color w:val="467886"/>
            <w:kern w:val="2"/>
            <w:sz w:val="22"/>
            <w:szCs w:val="22"/>
            <w:u w:val="single"/>
            <w:lang w:eastAsia="en-US"/>
            <w14:ligatures w14:val="standardContextual"/>
          </w:rPr>
          <w:t>https://www.college.police.uk/guidance/vulnerability-related-risks/introduction-vulnerability-related-risk</w:t>
        </w:r>
      </w:hyperlink>
      <w:r w:rsidRPr="005B7593">
        <w:rPr>
          <w:rFonts w:ascii="Aptos" w:eastAsia="Aptos" w:hAnsi="Aptos" w:cs="Times New Roman"/>
          <w:color w:val="auto"/>
          <w:kern w:val="2"/>
          <w:sz w:val="22"/>
          <w:szCs w:val="22"/>
          <w:lang w:eastAsia="en-US"/>
          <w14:ligatures w14:val="standardContextual"/>
        </w:rPr>
        <w:t xml:space="preserve"> Assessed on: 07/03/25.</w:t>
      </w:r>
    </w:p>
    <w:p w14:paraId="3AC0B8B5" w14:textId="44E5A71A"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College of Policing, (2022). “</w:t>
      </w:r>
      <w:r w:rsidRPr="005B7593">
        <w:rPr>
          <w:rFonts w:ascii="Aptos" w:eastAsia="Aptos" w:hAnsi="Aptos" w:cs="Times New Roman"/>
          <w:i/>
          <w:iCs/>
          <w:color w:val="auto"/>
          <w:kern w:val="2"/>
          <w:sz w:val="22"/>
          <w:szCs w:val="22"/>
          <w:lang w:eastAsia="en-US"/>
          <w14:ligatures w14:val="standardContextual"/>
        </w:rPr>
        <w:t>Interventions for situational crime prevention</w:t>
      </w:r>
      <w:r w:rsidRPr="005B7593">
        <w:rPr>
          <w:rFonts w:ascii="Aptos" w:eastAsia="Aptos" w:hAnsi="Aptos" w:cs="Times New Roman"/>
          <w:color w:val="auto"/>
          <w:kern w:val="2"/>
          <w:sz w:val="22"/>
          <w:szCs w:val="22"/>
          <w:lang w:eastAsia="en-US"/>
          <w14:ligatures w14:val="standardContextual"/>
        </w:rPr>
        <w:t>”. Available at:</w:t>
      </w:r>
      <w:r>
        <w:rPr>
          <w:rFonts w:ascii="Aptos" w:eastAsia="Aptos" w:hAnsi="Aptos" w:cs="Times New Roman"/>
          <w:color w:val="auto"/>
          <w:kern w:val="2"/>
          <w:sz w:val="22"/>
          <w:szCs w:val="22"/>
          <w:lang w:eastAsia="en-US"/>
          <w14:ligatures w14:val="standardContextual"/>
        </w:rPr>
        <w:t xml:space="preserve"> </w:t>
      </w:r>
      <w:r w:rsidRPr="005B7593">
        <w:rPr>
          <w:rFonts w:ascii="Aptos" w:eastAsia="Aptos" w:hAnsi="Aptos" w:cs="Times New Roman"/>
          <w:color w:val="auto"/>
          <w:kern w:val="2"/>
          <w:sz w:val="22"/>
          <w:szCs w:val="22"/>
          <w:lang w:eastAsia="en-US"/>
          <w14:ligatures w14:val="standardContextual"/>
        </w:rPr>
        <w:t>https://www.college.police.uk/guidance/neighbourhood-crime/interventions-situational-crime-prevention</w:t>
      </w:r>
      <w:r>
        <w:rPr>
          <w:rFonts w:ascii="Aptos" w:eastAsia="Aptos" w:hAnsi="Aptos" w:cs="Times New Roman"/>
          <w:color w:val="auto"/>
          <w:kern w:val="2"/>
          <w:sz w:val="22"/>
          <w:szCs w:val="22"/>
          <w:lang w:eastAsia="en-US"/>
          <w14:ligatures w14:val="standardContextual"/>
        </w:rPr>
        <w:t xml:space="preserve"> </w:t>
      </w:r>
      <w:r w:rsidRPr="005B7593">
        <w:rPr>
          <w:rFonts w:ascii="Aptos" w:eastAsia="Aptos" w:hAnsi="Aptos" w:cs="Times New Roman"/>
          <w:color w:val="auto"/>
          <w:kern w:val="2"/>
          <w:sz w:val="22"/>
          <w:szCs w:val="22"/>
          <w:lang w:eastAsia="en-US"/>
          <w14:ligatures w14:val="standardContextual"/>
        </w:rPr>
        <w:t xml:space="preserve">Assessed on: 05/10/24. </w:t>
      </w:r>
    </w:p>
    <w:p w14:paraId="0E7AD053"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College of Policing, (2022). “</w:t>
      </w:r>
      <w:r w:rsidRPr="005B7593">
        <w:rPr>
          <w:rFonts w:ascii="Aptos" w:eastAsia="Aptos" w:hAnsi="Aptos" w:cs="Times New Roman"/>
          <w:i/>
          <w:iCs/>
          <w:color w:val="auto"/>
          <w:kern w:val="2"/>
          <w:sz w:val="22"/>
          <w:szCs w:val="22"/>
          <w:lang w:eastAsia="en-US"/>
          <w14:ligatures w14:val="standardContextual"/>
        </w:rPr>
        <w:t>Problem-solving policing</w:t>
      </w:r>
      <w:r w:rsidRPr="005B7593">
        <w:rPr>
          <w:rFonts w:ascii="Aptos" w:eastAsia="Aptos" w:hAnsi="Aptos" w:cs="Times New Roman"/>
          <w:color w:val="auto"/>
          <w:kern w:val="2"/>
          <w:sz w:val="22"/>
          <w:szCs w:val="22"/>
          <w:lang w:eastAsia="en-US"/>
          <w14:ligatures w14:val="standardContextual"/>
        </w:rPr>
        <w:t xml:space="preserve">”. Available at: </w:t>
      </w:r>
      <w:hyperlink r:id="rId18" w:history="1">
        <w:r w:rsidRPr="005B7593">
          <w:rPr>
            <w:rFonts w:ascii="Aptos" w:eastAsia="Aptos" w:hAnsi="Aptos" w:cs="Times New Roman"/>
            <w:color w:val="467886"/>
            <w:kern w:val="2"/>
            <w:sz w:val="22"/>
            <w:szCs w:val="22"/>
            <w:u w:val="single"/>
            <w:lang w:eastAsia="en-US"/>
            <w14:ligatures w14:val="standardContextual"/>
          </w:rPr>
          <w:t>https://www.college.police.uk/guidance/problem-solving-policing</w:t>
        </w:r>
      </w:hyperlink>
      <w:r w:rsidRPr="005B7593">
        <w:rPr>
          <w:rFonts w:ascii="Aptos" w:eastAsia="Aptos" w:hAnsi="Aptos" w:cs="Times New Roman"/>
          <w:color w:val="auto"/>
          <w:kern w:val="2"/>
          <w:sz w:val="22"/>
          <w:szCs w:val="22"/>
          <w:lang w:eastAsia="en-US"/>
          <w14:ligatures w14:val="standardContextual"/>
        </w:rPr>
        <w:t xml:space="preserve">  Assessed on: 08/10/24.</w:t>
      </w:r>
    </w:p>
    <w:p w14:paraId="1896A818"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College of Policing, (2024). “</w:t>
      </w:r>
      <w:r w:rsidRPr="005B7593">
        <w:rPr>
          <w:rFonts w:ascii="Aptos" w:eastAsia="Aptos" w:hAnsi="Aptos" w:cs="Times New Roman"/>
          <w:i/>
          <w:iCs/>
          <w:color w:val="auto"/>
          <w:kern w:val="2"/>
          <w:sz w:val="22"/>
          <w:szCs w:val="22"/>
          <w:lang w:eastAsia="en-US"/>
          <w14:ligatures w14:val="standardContextual"/>
        </w:rPr>
        <w:t>Evidence based policing</w:t>
      </w:r>
      <w:r w:rsidRPr="005B7593">
        <w:rPr>
          <w:rFonts w:ascii="Aptos" w:eastAsia="Aptos" w:hAnsi="Aptos" w:cs="Times New Roman"/>
          <w:color w:val="auto"/>
          <w:kern w:val="2"/>
          <w:sz w:val="22"/>
          <w:szCs w:val="22"/>
          <w:lang w:eastAsia="en-US"/>
          <w14:ligatures w14:val="standardContextual"/>
        </w:rPr>
        <w:t xml:space="preserve">”. Available at: </w:t>
      </w:r>
      <w:hyperlink r:id="rId19" w:history="1">
        <w:r w:rsidRPr="005B7593">
          <w:rPr>
            <w:rFonts w:ascii="Aptos" w:eastAsia="Aptos" w:hAnsi="Aptos" w:cs="Times New Roman"/>
            <w:color w:val="467886"/>
            <w:kern w:val="2"/>
            <w:sz w:val="22"/>
            <w:szCs w:val="22"/>
            <w:u w:val="single"/>
            <w:lang w:eastAsia="en-US"/>
            <w14:ligatures w14:val="standardContextual"/>
          </w:rPr>
          <w:t>https://www.college.police.uk/research/evidence-based-policing-EBP</w:t>
        </w:r>
      </w:hyperlink>
      <w:r w:rsidRPr="005B7593">
        <w:rPr>
          <w:rFonts w:ascii="Aptos" w:eastAsia="Aptos" w:hAnsi="Aptos" w:cs="Times New Roman"/>
          <w:color w:val="auto"/>
          <w:kern w:val="2"/>
          <w:sz w:val="22"/>
          <w:szCs w:val="22"/>
          <w:lang w:eastAsia="en-US"/>
          <w14:ligatures w14:val="standardContextual"/>
        </w:rPr>
        <w:t xml:space="preserve">  Assessed on: 06/10/24. </w:t>
      </w:r>
    </w:p>
    <w:p w14:paraId="66BB4D13"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College of Policing, (2024). “</w:t>
      </w:r>
      <w:r w:rsidRPr="005B7593">
        <w:rPr>
          <w:rFonts w:ascii="Aptos" w:eastAsia="Aptos" w:hAnsi="Aptos" w:cs="Times New Roman"/>
          <w:i/>
          <w:iCs/>
          <w:color w:val="auto"/>
          <w:kern w:val="2"/>
          <w:sz w:val="22"/>
          <w:szCs w:val="22"/>
          <w:lang w:eastAsia="en-US"/>
          <w14:ligatures w14:val="standardContextual"/>
        </w:rPr>
        <w:t>First response</w:t>
      </w:r>
      <w:r w:rsidRPr="005B7593">
        <w:rPr>
          <w:rFonts w:ascii="Aptos" w:eastAsia="Aptos" w:hAnsi="Aptos" w:cs="Times New Roman"/>
          <w:color w:val="auto"/>
          <w:kern w:val="2"/>
          <w:sz w:val="22"/>
          <w:szCs w:val="22"/>
          <w:lang w:eastAsia="en-US"/>
          <w14:ligatures w14:val="standardContextual"/>
        </w:rPr>
        <w:t xml:space="preserve">”. Available at: </w:t>
      </w:r>
      <w:hyperlink r:id="rId20" w:history="1">
        <w:r w:rsidRPr="005B7593">
          <w:rPr>
            <w:rFonts w:ascii="Aptos" w:eastAsia="Aptos" w:hAnsi="Aptos" w:cs="Times New Roman"/>
            <w:color w:val="467886"/>
            <w:kern w:val="2"/>
            <w:sz w:val="22"/>
            <w:szCs w:val="22"/>
            <w:u w:val="single"/>
            <w:lang w:eastAsia="en-US"/>
            <w14:ligatures w14:val="standardContextual"/>
          </w:rPr>
          <w:t>https://www.college.police.uk/app/major-investigation-and-public-protection/domestic-abuse/first-response</w:t>
        </w:r>
      </w:hyperlink>
      <w:r w:rsidRPr="005B7593">
        <w:rPr>
          <w:rFonts w:ascii="Aptos" w:eastAsia="Aptos" w:hAnsi="Aptos" w:cs="Times New Roman"/>
          <w:color w:val="auto"/>
          <w:kern w:val="2"/>
          <w:sz w:val="22"/>
          <w:szCs w:val="22"/>
          <w:lang w:eastAsia="en-US"/>
          <w14:ligatures w14:val="standardContextual"/>
        </w:rPr>
        <w:t xml:space="preserve"> Assessed on: 05/03/25</w:t>
      </w:r>
    </w:p>
    <w:p w14:paraId="3A88C01F"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Eck, J.E and Spelman, W. (1987). “</w:t>
      </w:r>
      <w:r w:rsidRPr="005B7593">
        <w:rPr>
          <w:rFonts w:ascii="Aptos" w:eastAsia="Aptos" w:hAnsi="Aptos" w:cs="Times New Roman"/>
          <w:i/>
          <w:iCs/>
          <w:color w:val="auto"/>
          <w:kern w:val="2"/>
          <w:sz w:val="22"/>
          <w:szCs w:val="22"/>
          <w:lang w:eastAsia="en-US"/>
          <w14:ligatures w14:val="standardContextual"/>
        </w:rPr>
        <w:t>Problem solving: Problem -Oriented Policing in Newport News.</w:t>
      </w:r>
      <w:r w:rsidRPr="005B7593">
        <w:rPr>
          <w:rFonts w:ascii="Aptos" w:eastAsia="Aptos" w:hAnsi="Aptos" w:cs="Times New Roman"/>
          <w:color w:val="auto"/>
          <w:kern w:val="2"/>
          <w:sz w:val="22"/>
          <w:szCs w:val="22"/>
          <w:lang w:eastAsia="en-US"/>
          <w14:ligatures w14:val="standardContextual"/>
        </w:rPr>
        <w:t xml:space="preserve"> Washington, DC: Police Executive Research Forum.</w:t>
      </w:r>
    </w:p>
    <w:p w14:paraId="2B3F4685"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Gibbs, P. (2019). “</w:t>
      </w:r>
      <w:r w:rsidRPr="005B7593">
        <w:rPr>
          <w:rFonts w:ascii="Aptos" w:eastAsia="Aptos" w:hAnsi="Aptos" w:cs="Times New Roman"/>
          <w:i/>
          <w:iCs/>
          <w:color w:val="auto"/>
          <w:kern w:val="2"/>
          <w:sz w:val="22"/>
          <w:szCs w:val="22"/>
          <w:lang w:eastAsia="en-US"/>
          <w14:ligatures w14:val="standardContextual"/>
        </w:rPr>
        <w:t>Should all domestic abuse suspects be arrested?”.</w:t>
      </w:r>
      <w:r w:rsidRPr="005B7593">
        <w:rPr>
          <w:rFonts w:ascii="Aptos" w:eastAsia="Aptos" w:hAnsi="Aptos" w:cs="Times New Roman"/>
          <w:color w:val="auto"/>
          <w:kern w:val="2"/>
          <w:sz w:val="22"/>
          <w:szCs w:val="22"/>
          <w:lang w:eastAsia="en-US"/>
          <w14:ligatures w14:val="standardContextual"/>
        </w:rPr>
        <w:t xml:space="preserve"> Available at: </w:t>
      </w:r>
      <w:hyperlink r:id="rId21" w:anchor=":~:text=In%20fact%20College%20of%20Policing%20guidance%20calls%20for,and%20it%20is%20a%20necessary%20and%20proportionate%20response" w:history="1">
        <w:r w:rsidRPr="005B7593">
          <w:rPr>
            <w:rFonts w:ascii="Aptos" w:eastAsia="Aptos" w:hAnsi="Aptos" w:cs="Times New Roman"/>
            <w:color w:val="467886"/>
            <w:kern w:val="2"/>
            <w:sz w:val="22"/>
            <w:szCs w:val="22"/>
            <w:u w:val="single"/>
            <w:lang w:eastAsia="en-US"/>
            <w14:ligatures w14:val="standardContextual"/>
          </w:rPr>
          <w:t>https://www.transformjustice.org.uk/news-insight/should-all-domestic-abuse-suspects-be-arrested/#:~:text=In%20fact%20College%20of%20Policing%20guidance%20calls%20for,and%20it%20is%20a%20necessary%20and%20proportionate%20response</w:t>
        </w:r>
      </w:hyperlink>
      <w:r w:rsidRPr="005B7593">
        <w:rPr>
          <w:rFonts w:ascii="Aptos" w:eastAsia="Aptos" w:hAnsi="Aptos" w:cs="Times New Roman"/>
          <w:color w:val="auto"/>
          <w:kern w:val="2"/>
          <w:sz w:val="22"/>
          <w:szCs w:val="22"/>
          <w:lang w:eastAsia="en-US"/>
          <w14:ligatures w14:val="standardContextual"/>
        </w:rPr>
        <w:t>. Assessed on: 12/03/25.</w:t>
      </w:r>
    </w:p>
    <w:p w14:paraId="35812D51" w14:textId="6F17721A"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GOV.UK, (2022). “</w:t>
      </w:r>
      <w:r w:rsidRPr="005B7593">
        <w:rPr>
          <w:rFonts w:ascii="Aptos" w:eastAsia="Aptos" w:hAnsi="Aptos" w:cs="Times New Roman"/>
          <w:i/>
          <w:iCs/>
          <w:color w:val="auto"/>
          <w:kern w:val="2"/>
          <w:sz w:val="22"/>
          <w:szCs w:val="22"/>
          <w:lang w:eastAsia="en-US"/>
          <w14:ligatures w14:val="standardContextual"/>
        </w:rPr>
        <w:t>A duty to protect: Police use of protective measures in cases involving violence against women and girls”.</w:t>
      </w:r>
      <w:r w:rsidRPr="005B7593">
        <w:rPr>
          <w:rFonts w:ascii="Aptos" w:eastAsia="Aptos" w:hAnsi="Aptos" w:cs="Times New Roman"/>
          <w:color w:val="auto"/>
          <w:kern w:val="2"/>
          <w:sz w:val="22"/>
          <w:szCs w:val="22"/>
          <w:lang w:eastAsia="en-US"/>
          <w14:ligatures w14:val="standardContextual"/>
        </w:rPr>
        <w:t xml:space="preserve"> Available at: </w:t>
      </w:r>
      <w:hyperlink r:id="rId22" w:history="1">
        <w:r w:rsidRPr="005B7593">
          <w:rPr>
            <w:rFonts w:ascii="Aptos" w:eastAsia="Aptos" w:hAnsi="Aptos" w:cs="Times New Roman"/>
            <w:color w:val="467886"/>
            <w:kern w:val="2"/>
            <w:sz w:val="22"/>
            <w:szCs w:val="22"/>
            <w:u w:val="single"/>
            <w:lang w:eastAsia="en-US"/>
            <w14:ligatures w14:val="standardContextual"/>
          </w:rPr>
          <w:t>https://www.gov.uk/government/publications/police-use-of-protective-measures-in-cases-of-violence-against-women-and-girls/a-duty-to-protect-police-use-of-protective-measures-in-cases-involving-violence-against-women-and-girls</w:t>
        </w:r>
      </w:hyperlink>
      <w:r>
        <w:rPr>
          <w:rFonts w:ascii="Aptos" w:eastAsia="Aptos" w:hAnsi="Aptos" w:cs="Times New Roman"/>
          <w:color w:val="auto"/>
          <w:kern w:val="2"/>
          <w:sz w:val="22"/>
          <w:szCs w:val="22"/>
          <w:lang w:eastAsia="en-US"/>
          <w14:ligatures w14:val="standardContextual"/>
        </w:rPr>
        <w:t xml:space="preserve"> </w:t>
      </w:r>
      <w:r w:rsidRPr="005B7593">
        <w:rPr>
          <w:rFonts w:ascii="Aptos" w:eastAsia="Aptos" w:hAnsi="Aptos" w:cs="Times New Roman"/>
          <w:color w:val="auto"/>
          <w:kern w:val="2"/>
          <w:sz w:val="22"/>
          <w:szCs w:val="22"/>
          <w:lang w:eastAsia="en-US"/>
          <w14:ligatures w14:val="standardContextual"/>
        </w:rPr>
        <w:t>Assessed on: 07/03/25</w:t>
      </w:r>
    </w:p>
    <w:p w14:paraId="37B43D77"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lastRenderedPageBreak/>
        <w:t>Hestia, (2023). “</w:t>
      </w:r>
      <w:r w:rsidRPr="005B7593">
        <w:rPr>
          <w:rFonts w:ascii="Aptos" w:eastAsia="Aptos" w:hAnsi="Aptos" w:cs="Times New Roman"/>
          <w:i/>
          <w:iCs/>
          <w:color w:val="auto"/>
          <w:kern w:val="2"/>
          <w:sz w:val="22"/>
          <w:szCs w:val="22"/>
          <w:lang w:eastAsia="en-US"/>
          <w14:ligatures w14:val="standardContextual"/>
        </w:rPr>
        <w:t>Bright Sky</w:t>
      </w:r>
      <w:r w:rsidRPr="005B7593">
        <w:rPr>
          <w:rFonts w:ascii="Aptos" w:eastAsia="Aptos" w:hAnsi="Aptos" w:cs="Times New Roman"/>
          <w:color w:val="auto"/>
          <w:kern w:val="2"/>
          <w:sz w:val="22"/>
          <w:szCs w:val="22"/>
          <w:lang w:eastAsia="en-US"/>
          <w14:ligatures w14:val="standardContextual"/>
        </w:rPr>
        <w:t xml:space="preserve">”. Available at: </w:t>
      </w:r>
      <w:hyperlink r:id="rId23" w:history="1">
        <w:r w:rsidRPr="005B7593">
          <w:rPr>
            <w:rFonts w:ascii="Aptos" w:eastAsia="Aptos" w:hAnsi="Aptos" w:cs="Times New Roman"/>
            <w:color w:val="467886"/>
            <w:kern w:val="2"/>
            <w:sz w:val="22"/>
            <w:szCs w:val="22"/>
            <w:u w:val="single"/>
            <w:lang w:eastAsia="en-US"/>
            <w14:ligatures w14:val="standardContextual"/>
          </w:rPr>
          <w:t>https://www.hestia.org/brightsky</w:t>
        </w:r>
      </w:hyperlink>
      <w:r w:rsidRPr="005B7593">
        <w:rPr>
          <w:rFonts w:ascii="Aptos" w:eastAsia="Aptos" w:hAnsi="Aptos" w:cs="Times New Roman"/>
          <w:color w:val="auto"/>
          <w:kern w:val="2"/>
          <w:sz w:val="22"/>
          <w:szCs w:val="22"/>
          <w:lang w:eastAsia="en-US"/>
          <w14:ligatures w14:val="standardContextual"/>
        </w:rPr>
        <w:t xml:space="preserve"> Assessed on: 07/03/25.</w:t>
      </w:r>
    </w:p>
    <w:p w14:paraId="18A6CB2F"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Hibbitt, S. &amp; Shaw, G. (2023</w:t>
      </w:r>
      <w:r w:rsidRPr="005B7593">
        <w:rPr>
          <w:rFonts w:ascii="Aptos" w:eastAsia="Aptos" w:hAnsi="Aptos" w:cs="Times New Roman"/>
          <w:i/>
          <w:iCs/>
          <w:color w:val="auto"/>
          <w:kern w:val="2"/>
          <w:sz w:val="22"/>
          <w:szCs w:val="22"/>
          <w:lang w:eastAsia="en-US"/>
          <w14:ligatures w14:val="standardContextual"/>
        </w:rPr>
        <w:t>,). “Initial Stages of an Investigation</w:t>
      </w:r>
      <w:r w:rsidRPr="005B7593">
        <w:rPr>
          <w:rFonts w:ascii="Aptos" w:eastAsia="Aptos" w:hAnsi="Aptos" w:cs="Times New Roman"/>
          <w:color w:val="auto"/>
          <w:kern w:val="2"/>
          <w:sz w:val="22"/>
          <w:szCs w:val="22"/>
          <w:lang w:eastAsia="en-US"/>
          <w14:ligatures w14:val="standardContextual"/>
        </w:rPr>
        <w:t xml:space="preserve">”. Blackstone's Police. Third Edition. </w:t>
      </w:r>
    </w:p>
    <w:p w14:paraId="51CD9274"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 xml:space="preserve">Hinkle, C.J. et al. (2024). </w:t>
      </w:r>
      <w:r w:rsidRPr="005B7593">
        <w:rPr>
          <w:rFonts w:ascii="Aptos" w:eastAsia="Aptos" w:hAnsi="Aptos" w:cs="Times New Roman"/>
          <w:i/>
          <w:iCs/>
          <w:color w:val="auto"/>
          <w:kern w:val="2"/>
          <w:sz w:val="22"/>
          <w:szCs w:val="22"/>
          <w:lang w:eastAsia="en-US"/>
          <w14:ligatures w14:val="standardContextual"/>
        </w:rPr>
        <w:t>“When is problem-oriented policing most effective? A systematic examination of heterogeneity in effect sizes for reducing crime and disorder.”</w:t>
      </w:r>
      <w:r w:rsidRPr="005B7593">
        <w:rPr>
          <w:rFonts w:ascii="Aptos" w:eastAsia="Aptos" w:hAnsi="Aptos" w:cs="Times New Roman"/>
          <w:color w:val="auto"/>
          <w:kern w:val="2"/>
          <w:sz w:val="22"/>
          <w:szCs w:val="22"/>
          <w:lang w:eastAsia="en-US"/>
          <w14:ligatures w14:val="standardContextual"/>
        </w:rPr>
        <w:t xml:space="preserve"> Policing: A Journal of Policy and Practice, Volume 18. </w:t>
      </w:r>
    </w:p>
    <w:p w14:paraId="567857D0"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Hinkle, C.J. et all. (2020). “</w:t>
      </w:r>
      <w:r w:rsidRPr="005B7593">
        <w:rPr>
          <w:rFonts w:ascii="Aptos" w:eastAsia="Aptos" w:hAnsi="Aptos" w:cs="Times New Roman"/>
          <w:i/>
          <w:iCs/>
          <w:color w:val="auto"/>
          <w:kern w:val="2"/>
          <w:sz w:val="22"/>
          <w:szCs w:val="22"/>
          <w:lang w:eastAsia="en-US"/>
          <w14:ligatures w14:val="standardContextual"/>
        </w:rPr>
        <w:t>Problem-orientated policing for reducing crime and disorder: An updated systematic review and meta-analysis.</w:t>
      </w:r>
      <w:r w:rsidRPr="005B7593">
        <w:rPr>
          <w:rFonts w:ascii="Aptos" w:eastAsia="Aptos" w:hAnsi="Aptos" w:cs="Times New Roman"/>
          <w:color w:val="auto"/>
          <w:kern w:val="2"/>
          <w:sz w:val="22"/>
          <w:szCs w:val="22"/>
          <w:lang w:eastAsia="en-US"/>
          <w14:ligatures w14:val="standardContextual"/>
        </w:rPr>
        <w:t xml:space="preserve">”. Campbell </w:t>
      </w:r>
      <w:proofErr w:type="spellStart"/>
      <w:r w:rsidRPr="005B7593">
        <w:rPr>
          <w:rFonts w:ascii="Aptos" w:eastAsia="Aptos" w:hAnsi="Aptos" w:cs="Times New Roman"/>
          <w:color w:val="auto"/>
          <w:kern w:val="2"/>
          <w:sz w:val="22"/>
          <w:szCs w:val="22"/>
          <w:lang w:eastAsia="en-US"/>
          <w14:ligatures w14:val="standardContextual"/>
        </w:rPr>
        <w:t>Syst</w:t>
      </w:r>
      <w:proofErr w:type="spellEnd"/>
      <w:r w:rsidRPr="005B7593">
        <w:rPr>
          <w:rFonts w:ascii="Aptos" w:eastAsia="Aptos" w:hAnsi="Aptos" w:cs="Times New Roman"/>
          <w:color w:val="auto"/>
          <w:kern w:val="2"/>
          <w:sz w:val="22"/>
          <w:szCs w:val="22"/>
          <w:lang w:eastAsia="en-US"/>
          <w14:ligatures w14:val="standardContextual"/>
        </w:rPr>
        <w:t xml:space="preserve"> Rev.</w:t>
      </w:r>
    </w:p>
    <w:p w14:paraId="61CDA113"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HM Government, (2023). “</w:t>
      </w:r>
      <w:r w:rsidRPr="005B7593">
        <w:rPr>
          <w:rFonts w:ascii="Aptos" w:eastAsia="Aptos" w:hAnsi="Aptos" w:cs="Times New Roman"/>
          <w:i/>
          <w:iCs/>
          <w:color w:val="auto"/>
          <w:kern w:val="2"/>
          <w:sz w:val="22"/>
          <w:szCs w:val="22"/>
          <w:lang w:eastAsia="en-US"/>
          <w14:ligatures w14:val="standardContextual"/>
        </w:rPr>
        <w:t>Anti-Social Behaviour Action Plan</w:t>
      </w:r>
      <w:r w:rsidRPr="005B7593">
        <w:rPr>
          <w:rFonts w:ascii="Aptos" w:eastAsia="Aptos" w:hAnsi="Aptos" w:cs="Times New Roman"/>
          <w:color w:val="auto"/>
          <w:kern w:val="2"/>
          <w:sz w:val="22"/>
          <w:szCs w:val="22"/>
          <w:lang w:eastAsia="en-US"/>
          <w14:ligatures w14:val="standardContextual"/>
        </w:rPr>
        <w:t xml:space="preserve">”. Available at: </w:t>
      </w:r>
      <w:hyperlink r:id="rId24" w:history="1">
        <w:r w:rsidRPr="005B7593">
          <w:rPr>
            <w:rFonts w:ascii="Aptos" w:eastAsia="Aptos" w:hAnsi="Aptos" w:cs="Times New Roman"/>
            <w:color w:val="467886"/>
            <w:kern w:val="2"/>
            <w:sz w:val="22"/>
            <w:szCs w:val="22"/>
            <w:u w:val="single"/>
            <w:lang w:eastAsia="en-US"/>
            <w14:ligatures w14:val="standardContextual"/>
          </w:rPr>
          <w:t>https://assets.publishing.service.gov.uk/government/uploads/system/uploads/attachment_data/file/1157028/Anti-social_Behaviour_Action_Plan_March_2023.pdf</w:t>
        </w:r>
      </w:hyperlink>
      <w:r w:rsidRPr="005B7593">
        <w:rPr>
          <w:rFonts w:ascii="Aptos" w:eastAsia="Aptos" w:hAnsi="Aptos" w:cs="Times New Roman"/>
          <w:color w:val="auto"/>
          <w:kern w:val="2"/>
          <w:sz w:val="22"/>
          <w:szCs w:val="22"/>
          <w:lang w:eastAsia="en-US"/>
          <w14:ligatures w14:val="standardContextual"/>
        </w:rPr>
        <w:t xml:space="preserve">  Assessed on: 08/10/24.</w:t>
      </w:r>
    </w:p>
    <w:p w14:paraId="28A93FED"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HMICFRS, (2019). “</w:t>
      </w:r>
      <w:r w:rsidRPr="005B7593">
        <w:rPr>
          <w:rFonts w:ascii="Aptos" w:eastAsia="Aptos" w:hAnsi="Aptos" w:cs="Times New Roman"/>
          <w:i/>
          <w:iCs/>
          <w:color w:val="auto"/>
          <w:kern w:val="2"/>
          <w:sz w:val="22"/>
          <w:szCs w:val="22"/>
          <w:lang w:eastAsia="en-US"/>
          <w14:ligatures w14:val="standardContextual"/>
        </w:rPr>
        <w:t>The police response to domestic abuse – An update report”.</w:t>
      </w:r>
      <w:r w:rsidRPr="005B7593">
        <w:rPr>
          <w:rFonts w:ascii="Aptos" w:eastAsia="Aptos" w:hAnsi="Aptos" w:cs="Times New Roman"/>
          <w:color w:val="auto"/>
          <w:kern w:val="2"/>
          <w:sz w:val="22"/>
          <w:szCs w:val="22"/>
          <w:lang w:eastAsia="en-US"/>
          <w14:ligatures w14:val="standardContextual"/>
        </w:rPr>
        <w:t xml:space="preserve"> Available at: </w:t>
      </w:r>
      <w:hyperlink r:id="rId25" w:history="1">
        <w:r w:rsidRPr="005B7593">
          <w:rPr>
            <w:rFonts w:ascii="Aptos" w:eastAsia="Aptos" w:hAnsi="Aptos" w:cs="Times New Roman"/>
            <w:color w:val="467886"/>
            <w:kern w:val="2"/>
            <w:sz w:val="22"/>
            <w:szCs w:val="22"/>
            <w:u w:val="single"/>
            <w:lang w:eastAsia="en-US"/>
            <w14:ligatures w14:val="standardContextual"/>
          </w:rPr>
          <w:t>https://assets-hmicfrs.justiceinspectorates.gov.uk/uploads/the-police-response-to-domestic-abuse-an-update-report.pdf</w:t>
        </w:r>
      </w:hyperlink>
      <w:r w:rsidRPr="005B7593">
        <w:rPr>
          <w:rFonts w:ascii="Aptos" w:eastAsia="Aptos" w:hAnsi="Aptos" w:cs="Times New Roman"/>
          <w:color w:val="auto"/>
          <w:kern w:val="2"/>
          <w:sz w:val="22"/>
          <w:szCs w:val="22"/>
          <w:lang w:eastAsia="en-US"/>
          <w14:ligatures w14:val="standardContextual"/>
        </w:rPr>
        <w:t xml:space="preserve"> Assessed on: 07/03/25</w:t>
      </w:r>
    </w:p>
    <w:p w14:paraId="000641C4"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Home Office, (2024). “</w:t>
      </w:r>
      <w:r w:rsidRPr="005B7593">
        <w:rPr>
          <w:rFonts w:ascii="Aptos" w:eastAsia="Aptos" w:hAnsi="Aptos" w:cs="Times New Roman"/>
          <w:i/>
          <w:iCs/>
          <w:color w:val="auto"/>
          <w:kern w:val="2"/>
          <w:sz w:val="22"/>
          <w:szCs w:val="22"/>
          <w:lang w:eastAsia="en-US"/>
          <w14:ligatures w14:val="standardContextual"/>
        </w:rPr>
        <w:t>Evaluation report on grip and bespoke-funded hot spot policing</w:t>
      </w:r>
      <w:r w:rsidRPr="005B7593">
        <w:rPr>
          <w:rFonts w:ascii="Aptos" w:eastAsia="Aptos" w:hAnsi="Aptos" w:cs="Times New Roman"/>
          <w:color w:val="auto"/>
          <w:kern w:val="2"/>
          <w:sz w:val="22"/>
          <w:szCs w:val="22"/>
          <w:lang w:eastAsia="en-US"/>
          <w14:ligatures w14:val="standardContextual"/>
        </w:rPr>
        <w:t xml:space="preserve">”. Available at: </w:t>
      </w:r>
      <w:hyperlink r:id="rId26" w:history="1">
        <w:r w:rsidRPr="005B7593">
          <w:rPr>
            <w:rFonts w:ascii="Aptos" w:eastAsia="Aptos" w:hAnsi="Aptos" w:cs="Times New Roman"/>
            <w:color w:val="467886"/>
            <w:kern w:val="2"/>
            <w:sz w:val="22"/>
            <w:szCs w:val="22"/>
            <w:u w:val="single"/>
            <w:lang w:eastAsia="en-US"/>
            <w14:ligatures w14:val="standardContextual"/>
          </w:rPr>
          <w:t>https://www.gov.uk/government/publications/hot-spot-policing-in-england-and-wales-year-ending-march-2022/evaluation-report-on-grip-and-bespoke-funded-hot-spot-policing</w:t>
        </w:r>
      </w:hyperlink>
      <w:r w:rsidRPr="005B7593">
        <w:rPr>
          <w:rFonts w:ascii="Aptos" w:eastAsia="Aptos" w:hAnsi="Aptos" w:cs="Times New Roman"/>
          <w:color w:val="auto"/>
          <w:kern w:val="2"/>
          <w:sz w:val="22"/>
          <w:szCs w:val="22"/>
          <w:lang w:eastAsia="en-US"/>
          <w14:ligatures w14:val="standardContextual"/>
        </w:rPr>
        <w:t xml:space="preserve"> Assessed on: 06/10/24. </w:t>
      </w:r>
    </w:p>
    <w:p w14:paraId="0B15A771"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Innes M. and Weston, N. (2010). “</w:t>
      </w:r>
      <w:r w:rsidRPr="005B7593">
        <w:rPr>
          <w:rFonts w:ascii="Aptos" w:eastAsia="Aptos" w:hAnsi="Aptos" w:cs="Times New Roman"/>
          <w:i/>
          <w:iCs/>
          <w:color w:val="auto"/>
          <w:kern w:val="2"/>
          <w:sz w:val="22"/>
          <w:szCs w:val="22"/>
          <w:lang w:eastAsia="en-US"/>
          <w14:ligatures w14:val="standardContextual"/>
        </w:rPr>
        <w:t>Re-thinking the policing of anti-social behaviour</w:t>
      </w:r>
      <w:r w:rsidRPr="005B7593">
        <w:rPr>
          <w:rFonts w:ascii="Aptos" w:eastAsia="Aptos" w:hAnsi="Aptos" w:cs="Times New Roman"/>
          <w:color w:val="auto"/>
          <w:kern w:val="2"/>
          <w:sz w:val="22"/>
          <w:szCs w:val="22"/>
          <w:lang w:eastAsia="en-US"/>
          <w14:ligatures w14:val="standardContextual"/>
        </w:rPr>
        <w:t xml:space="preserve">”. London: Her Majesty’s Inspectorate of Constabulary (HMIC). </w:t>
      </w:r>
    </w:p>
    <w:p w14:paraId="58C5461C"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Metropolitan Police, (2024). “</w:t>
      </w:r>
      <w:r w:rsidRPr="005B7593">
        <w:rPr>
          <w:rFonts w:ascii="Aptos" w:eastAsia="Aptos" w:hAnsi="Aptos" w:cs="Times New Roman"/>
          <w:i/>
          <w:iCs/>
          <w:color w:val="auto"/>
          <w:kern w:val="2"/>
          <w:sz w:val="22"/>
          <w:szCs w:val="22"/>
          <w:lang w:eastAsia="en-US"/>
          <w14:ligatures w14:val="standardContextual"/>
        </w:rPr>
        <w:t>What is Anti-social behaviour</w:t>
      </w:r>
      <w:r w:rsidRPr="005B7593">
        <w:rPr>
          <w:rFonts w:ascii="Aptos" w:eastAsia="Aptos" w:hAnsi="Aptos" w:cs="Times New Roman"/>
          <w:color w:val="auto"/>
          <w:kern w:val="2"/>
          <w:sz w:val="22"/>
          <w:szCs w:val="22"/>
          <w:lang w:eastAsia="en-US"/>
          <w14:ligatures w14:val="standardContextual"/>
        </w:rPr>
        <w:t xml:space="preserve">”. Available at: </w:t>
      </w:r>
      <w:hyperlink r:id="rId27" w:history="1">
        <w:r w:rsidRPr="005B7593">
          <w:rPr>
            <w:rFonts w:ascii="Aptos" w:eastAsia="Aptos" w:hAnsi="Aptos" w:cs="Times New Roman"/>
            <w:color w:val="467886"/>
            <w:kern w:val="2"/>
            <w:sz w:val="22"/>
            <w:szCs w:val="22"/>
            <w:u w:val="single"/>
            <w:lang w:eastAsia="en-US"/>
            <w14:ligatures w14:val="standardContextual"/>
          </w:rPr>
          <w:t>https://www.met.police.uk/advice/advice-and-information/asb/asb/antisocial-behaviour/what-is-antisocial-behaviour/</w:t>
        </w:r>
      </w:hyperlink>
      <w:r w:rsidRPr="005B7593">
        <w:rPr>
          <w:rFonts w:ascii="Aptos" w:eastAsia="Aptos" w:hAnsi="Aptos" w:cs="Times New Roman"/>
          <w:color w:val="auto"/>
          <w:kern w:val="2"/>
          <w:sz w:val="22"/>
          <w:szCs w:val="22"/>
          <w:lang w:eastAsia="en-US"/>
          <w14:ligatures w14:val="standardContextual"/>
        </w:rPr>
        <w:t xml:space="preserve">  assessed on: 08/10/24.</w:t>
      </w:r>
    </w:p>
    <w:p w14:paraId="231F802D"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Newton, A. Rogerson, M. Hirschfield, A. (2008). “</w:t>
      </w:r>
      <w:r w:rsidRPr="005B7593">
        <w:rPr>
          <w:rFonts w:ascii="Aptos" w:eastAsia="Aptos" w:hAnsi="Aptos" w:cs="Times New Roman"/>
          <w:i/>
          <w:iCs/>
          <w:color w:val="auto"/>
          <w:kern w:val="2"/>
          <w:sz w:val="22"/>
          <w:szCs w:val="22"/>
          <w:lang w:eastAsia="en-US"/>
          <w14:ligatures w14:val="standardContextual"/>
        </w:rPr>
        <w:t>Relating Target Hardening to Burglary Risk</w:t>
      </w:r>
      <w:r w:rsidRPr="005B7593">
        <w:rPr>
          <w:rFonts w:ascii="Aptos" w:eastAsia="Aptos" w:hAnsi="Aptos" w:cs="Times New Roman"/>
          <w:color w:val="auto"/>
          <w:kern w:val="2"/>
          <w:sz w:val="22"/>
          <w:szCs w:val="22"/>
          <w:lang w:eastAsia="en-US"/>
          <w14:ligatures w14:val="standardContextual"/>
        </w:rPr>
        <w:t xml:space="preserve">”. University of Huddersfield. The British Society of Criminology. Vol 8 Pages: 153-174. </w:t>
      </w:r>
    </w:p>
    <w:p w14:paraId="0A85041C"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Office for National Statistics (ONS), (2024). “</w:t>
      </w:r>
      <w:r w:rsidRPr="005B7593">
        <w:rPr>
          <w:rFonts w:ascii="Aptos" w:eastAsia="Aptos" w:hAnsi="Aptos" w:cs="Times New Roman"/>
          <w:i/>
          <w:iCs/>
          <w:color w:val="auto"/>
          <w:kern w:val="2"/>
          <w:sz w:val="22"/>
          <w:szCs w:val="22"/>
          <w:lang w:eastAsia="en-US"/>
          <w14:ligatures w14:val="standardContextual"/>
        </w:rPr>
        <w:t>Domestic abuse in England and Wales overview: November 2024</w:t>
      </w:r>
      <w:r w:rsidRPr="005B7593">
        <w:rPr>
          <w:rFonts w:ascii="Aptos" w:eastAsia="Aptos" w:hAnsi="Aptos" w:cs="Times New Roman"/>
          <w:color w:val="auto"/>
          <w:kern w:val="2"/>
          <w:sz w:val="22"/>
          <w:szCs w:val="22"/>
          <w:lang w:eastAsia="en-US"/>
          <w14:ligatures w14:val="standardContextual"/>
        </w:rPr>
        <w:t xml:space="preserve">.” Available at: </w:t>
      </w:r>
      <w:hyperlink r:id="rId28" w:history="1">
        <w:r w:rsidRPr="005B7593">
          <w:rPr>
            <w:rFonts w:ascii="Aptos" w:eastAsia="Aptos" w:hAnsi="Aptos" w:cs="Times New Roman"/>
            <w:color w:val="467886"/>
            <w:kern w:val="2"/>
            <w:sz w:val="22"/>
            <w:szCs w:val="22"/>
            <w:u w:val="single"/>
            <w:lang w:eastAsia="en-US"/>
            <w14:ligatures w14:val="standardContextual"/>
          </w:rPr>
          <w:t>https://www.ons.gov.uk/peoplepopulationandcommunity/crimeandjustice/bulletins/domesticabuseinenglandandwalesoverview/november2024</w:t>
        </w:r>
      </w:hyperlink>
      <w:r w:rsidRPr="005B7593">
        <w:rPr>
          <w:rFonts w:ascii="Aptos" w:eastAsia="Aptos" w:hAnsi="Aptos" w:cs="Times New Roman"/>
          <w:color w:val="auto"/>
          <w:kern w:val="2"/>
          <w:sz w:val="22"/>
          <w:szCs w:val="22"/>
          <w:lang w:eastAsia="en-US"/>
          <w14:ligatures w14:val="standardContextual"/>
        </w:rPr>
        <w:t xml:space="preserve"> Assessed on: 05/03/25</w:t>
      </w:r>
    </w:p>
    <w:p w14:paraId="2BFB5DC5"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Pease, K. Laycock, G. (1999). “</w:t>
      </w:r>
      <w:proofErr w:type="spellStart"/>
      <w:r w:rsidRPr="005B7593">
        <w:rPr>
          <w:rFonts w:ascii="Aptos" w:eastAsia="Aptos" w:hAnsi="Aptos" w:cs="Times New Roman"/>
          <w:i/>
          <w:iCs/>
          <w:color w:val="auto"/>
          <w:kern w:val="2"/>
          <w:sz w:val="22"/>
          <w:szCs w:val="22"/>
          <w:lang w:eastAsia="en-US"/>
          <w14:ligatures w14:val="standardContextual"/>
        </w:rPr>
        <w:t>Revictimisation</w:t>
      </w:r>
      <w:proofErr w:type="spellEnd"/>
      <w:r w:rsidRPr="005B7593">
        <w:rPr>
          <w:rFonts w:ascii="Aptos" w:eastAsia="Aptos" w:hAnsi="Aptos" w:cs="Times New Roman"/>
          <w:i/>
          <w:iCs/>
          <w:color w:val="auto"/>
          <w:kern w:val="2"/>
          <w:sz w:val="22"/>
          <w:szCs w:val="22"/>
          <w:lang w:eastAsia="en-US"/>
          <w14:ligatures w14:val="standardContextual"/>
        </w:rPr>
        <w:t>: Reducing the heat on hot victims</w:t>
      </w:r>
      <w:r w:rsidRPr="005B7593">
        <w:rPr>
          <w:rFonts w:ascii="Aptos" w:eastAsia="Aptos" w:hAnsi="Aptos" w:cs="Times New Roman"/>
          <w:color w:val="auto"/>
          <w:kern w:val="2"/>
          <w:sz w:val="22"/>
          <w:szCs w:val="22"/>
          <w:lang w:eastAsia="en-US"/>
          <w14:ligatures w14:val="standardContextual"/>
        </w:rPr>
        <w:t xml:space="preserve">”. Trends and Issues in Crime and Criminal Justice. </w:t>
      </w:r>
    </w:p>
    <w:p w14:paraId="65491FDD"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Police Federation, (2024). “</w:t>
      </w:r>
      <w:r w:rsidRPr="005B7593">
        <w:rPr>
          <w:rFonts w:ascii="Aptos" w:eastAsia="Aptos" w:hAnsi="Aptos" w:cs="Times New Roman"/>
          <w:i/>
          <w:iCs/>
          <w:color w:val="auto"/>
          <w:kern w:val="2"/>
          <w:sz w:val="22"/>
          <w:szCs w:val="22"/>
          <w:lang w:eastAsia="en-US"/>
          <w14:ligatures w14:val="standardContextual"/>
        </w:rPr>
        <w:t>Challenges faced by police demand urgent attention and reform</w:t>
      </w:r>
      <w:r w:rsidRPr="005B7593">
        <w:rPr>
          <w:rFonts w:ascii="Aptos" w:eastAsia="Aptos" w:hAnsi="Aptos" w:cs="Times New Roman"/>
          <w:color w:val="auto"/>
          <w:kern w:val="2"/>
          <w:sz w:val="22"/>
          <w:szCs w:val="22"/>
          <w:lang w:eastAsia="en-US"/>
          <w14:ligatures w14:val="standardContextual"/>
        </w:rPr>
        <w:t xml:space="preserve">”. Available at: </w:t>
      </w:r>
      <w:hyperlink r:id="rId29" w:history="1">
        <w:r w:rsidRPr="005B7593">
          <w:rPr>
            <w:rFonts w:ascii="Aptos" w:eastAsia="Aptos" w:hAnsi="Aptos" w:cs="Times New Roman"/>
            <w:color w:val="467886"/>
            <w:kern w:val="2"/>
            <w:sz w:val="22"/>
            <w:szCs w:val="22"/>
            <w:u w:val="single"/>
            <w:lang w:eastAsia="en-US"/>
            <w14:ligatures w14:val="standardContextual"/>
          </w:rPr>
          <w:t>https://www.polfed.org/news/latest-news/2024/challenges-faced-by-police-demand-urgent-attention-and-reform/</w:t>
        </w:r>
      </w:hyperlink>
      <w:r w:rsidRPr="005B7593">
        <w:rPr>
          <w:rFonts w:ascii="Aptos" w:eastAsia="Aptos" w:hAnsi="Aptos" w:cs="Times New Roman"/>
          <w:color w:val="auto"/>
          <w:kern w:val="2"/>
          <w:sz w:val="22"/>
          <w:szCs w:val="22"/>
          <w:lang w:eastAsia="en-US"/>
          <w14:ligatures w14:val="standardContextual"/>
        </w:rPr>
        <w:t xml:space="preserve"> Assessed on: 12/03/25.</w:t>
      </w:r>
    </w:p>
    <w:p w14:paraId="41583E32" w14:textId="77777777" w:rsidR="005B7593"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Wales safer communities, (2024). “</w:t>
      </w:r>
      <w:r w:rsidRPr="005B7593">
        <w:rPr>
          <w:rFonts w:ascii="Aptos" w:eastAsia="Aptos" w:hAnsi="Aptos" w:cs="Times New Roman"/>
          <w:i/>
          <w:iCs/>
          <w:color w:val="auto"/>
          <w:kern w:val="2"/>
          <w:sz w:val="22"/>
          <w:szCs w:val="22"/>
          <w:lang w:eastAsia="en-US"/>
          <w14:ligatures w14:val="standardContextual"/>
        </w:rPr>
        <w:t>Anti-social Behaviour and Disorder</w:t>
      </w:r>
      <w:r w:rsidRPr="005B7593">
        <w:rPr>
          <w:rFonts w:ascii="Aptos" w:eastAsia="Aptos" w:hAnsi="Aptos" w:cs="Times New Roman"/>
          <w:color w:val="auto"/>
          <w:kern w:val="2"/>
          <w:sz w:val="22"/>
          <w:szCs w:val="22"/>
          <w:lang w:eastAsia="en-US"/>
          <w14:ligatures w14:val="standardContextual"/>
        </w:rPr>
        <w:t xml:space="preserve">”. Available at: </w:t>
      </w:r>
      <w:hyperlink r:id="rId30" w:history="1">
        <w:r w:rsidRPr="005B7593">
          <w:rPr>
            <w:rFonts w:ascii="Aptos" w:eastAsia="Aptos" w:hAnsi="Aptos" w:cs="Times New Roman"/>
            <w:color w:val="467886"/>
            <w:kern w:val="2"/>
            <w:sz w:val="22"/>
            <w:szCs w:val="22"/>
            <w:u w:val="single"/>
            <w:lang w:eastAsia="en-US"/>
            <w14:ligatures w14:val="standardContextual"/>
          </w:rPr>
          <w:t>https://safercommunities.wales/anti-social-behaviour-disorder/</w:t>
        </w:r>
      </w:hyperlink>
      <w:r w:rsidRPr="005B7593">
        <w:rPr>
          <w:rFonts w:ascii="Aptos" w:eastAsia="Aptos" w:hAnsi="Aptos" w:cs="Times New Roman"/>
          <w:color w:val="auto"/>
          <w:kern w:val="2"/>
          <w:sz w:val="22"/>
          <w:szCs w:val="22"/>
          <w:lang w:eastAsia="en-US"/>
          <w14:ligatures w14:val="standardContextual"/>
        </w:rPr>
        <w:t xml:space="preserve">  Assessed on:08/10/24. </w:t>
      </w:r>
    </w:p>
    <w:p w14:paraId="1312E361" w14:textId="7518D131" w:rsidR="00522495" w:rsidRPr="005B7593" w:rsidRDefault="005B7593" w:rsidP="005B7593">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5B7593">
        <w:rPr>
          <w:rFonts w:ascii="Aptos" w:eastAsia="Aptos" w:hAnsi="Aptos" w:cs="Times New Roman"/>
          <w:color w:val="auto"/>
          <w:kern w:val="2"/>
          <w:sz w:val="22"/>
          <w:szCs w:val="22"/>
          <w:lang w:eastAsia="en-US"/>
          <w14:ligatures w14:val="standardContextual"/>
        </w:rPr>
        <w:t xml:space="preserve">Wedlock, E. Tapley, J. (2016). </w:t>
      </w:r>
      <w:r w:rsidRPr="005B7593">
        <w:rPr>
          <w:rFonts w:ascii="Aptos" w:eastAsia="Aptos" w:hAnsi="Aptos" w:cs="Times New Roman"/>
          <w:i/>
          <w:iCs/>
          <w:color w:val="auto"/>
          <w:kern w:val="2"/>
          <w:sz w:val="22"/>
          <w:szCs w:val="22"/>
          <w:lang w:eastAsia="en-US"/>
          <w14:ligatures w14:val="standardContextual"/>
        </w:rPr>
        <w:t>“What works in supporting victims of crime: A rapid evidence assessment</w:t>
      </w:r>
      <w:r w:rsidRPr="005B7593">
        <w:rPr>
          <w:rFonts w:ascii="Aptos" w:eastAsia="Aptos" w:hAnsi="Aptos" w:cs="Times New Roman"/>
          <w:color w:val="auto"/>
          <w:kern w:val="2"/>
          <w:sz w:val="22"/>
          <w:szCs w:val="22"/>
          <w:lang w:eastAsia="en-US"/>
          <w14:ligatures w14:val="standardContextual"/>
        </w:rPr>
        <w:t>”. University of Portsmouth</w:t>
      </w:r>
      <w:r>
        <w:rPr>
          <w:rFonts w:ascii="Aptos" w:eastAsia="Aptos" w:hAnsi="Aptos" w:cs="Times New Roman"/>
          <w:color w:val="auto"/>
          <w:kern w:val="2"/>
          <w:sz w:val="22"/>
          <w:szCs w:val="22"/>
          <w:lang w:eastAsia="en-US"/>
          <w14:ligatures w14:val="standardContextual"/>
        </w:rPr>
        <w:t>.</w:t>
      </w:r>
    </w:p>
    <w:sectPr w:rsidR="00522495" w:rsidRPr="005B759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9E320A" w14:textId="77777777" w:rsidR="006F4581" w:rsidRDefault="006F4581">
      <w:r>
        <w:separator/>
      </w:r>
    </w:p>
  </w:endnote>
  <w:endnote w:type="continuationSeparator" w:id="0">
    <w:p w14:paraId="43272A21" w14:textId="77777777" w:rsidR="006F4581" w:rsidRDefault="006F45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D0F21" w14:textId="77777777" w:rsidR="006F4581" w:rsidRDefault="006F4581">
      <w:r>
        <w:separator/>
      </w:r>
    </w:p>
  </w:footnote>
  <w:footnote w:type="continuationSeparator" w:id="0">
    <w:p w14:paraId="3A2C1DAB" w14:textId="77777777" w:rsidR="006F4581" w:rsidRDefault="006F4581">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2495"/>
    <w:rsid w:val="005354E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0CEE"/>
    <w:rsid w:val="005B7593"/>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6F4581"/>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29FC"/>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5224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problem-solving-policing" TargetMode="External"/><Relationship Id="rId26" Type="http://schemas.openxmlformats.org/officeDocument/2006/relationships/hyperlink" Target="https://www.gov.uk/government/publications/hot-spot-policing-in-england-and-wales-year-ending-march-2022/evaluation-report-on-grip-and-bespoke-funded-hot-spot-policing" TargetMode="External"/><Relationship Id="rId3" Type="http://schemas.openxmlformats.org/officeDocument/2006/relationships/customXml" Target="../customXml/item3.xml"/><Relationship Id="rId21" Type="http://schemas.openxmlformats.org/officeDocument/2006/relationships/hyperlink" Target="https://www.transformjustice.org.uk/news-insight/should-all-domestic-abuse-suspects-be-arrested/"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vulnerability-related-risks/introduction-vulnerability-related-risk" TargetMode="External"/><Relationship Id="rId25" Type="http://schemas.openxmlformats.org/officeDocument/2006/relationships/hyperlink" Target="https://assets-hmicfrs.justiceinspectorates.gov.uk/uploads/the-police-response-to-domestic-abuse-an-update-report.pdf"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major-investigation-and-public-protection/domestic-abuse/first-response" TargetMode="External"/><Relationship Id="rId29" Type="http://schemas.openxmlformats.org/officeDocument/2006/relationships/hyperlink" Target="https://www.polfed.org/news/latest-news/2024/challenges-faced-by-police-demand-urgent-attention-and-refor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1157028/Anti-social_Behaviour_Action_Plan_March_2023.pdf"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hestia.org/brightsky" TargetMode="External"/><Relationship Id="rId28" Type="http://schemas.openxmlformats.org/officeDocument/2006/relationships/hyperlink" Target="https://www.ons.gov.uk/peoplepopulationandcommunity/crimeandjustice/bulletins/domesticabuseinenglandandwalesoverview/november2024" TargetMode="External"/><Relationship Id="rId10" Type="http://schemas.openxmlformats.org/officeDocument/2006/relationships/endnotes" Target="endnotes.xml"/><Relationship Id="rId19" Type="http://schemas.openxmlformats.org/officeDocument/2006/relationships/hyperlink" Target="https://www.college.police.uk/research/evidence-based-policing-EBP"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gov.uk/government/publications/police-use-of-protective-measures-in-cases-of-violence-against-women-and-girls/a-duty-to-protect-police-use-of-protective-measures-in-cases-involving-violence-against-women-and-girls" TargetMode="External"/><Relationship Id="rId27" Type="http://schemas.openxmlformats.org/officeDocument/2006/relationships/hyperlink" Target="https://www.met.police.uk/advice/advice-and-information/asb/asb/antisocial-behaviour/what-is-antisocial-behaviour/" TargetMode="External"/><Relationship Id="rId30" Type="http://schemas.openxmlformats.org/officeDocument/2006/relationships/hyperlink" Target="https://safercommunities.wales/anti-social-behaviour-disorder/"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5836</Words>
  <Characters>33271</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Joy,Olivia swp8783</cp:lastModifiedBy>
  <cp:revision>2</cp:revision>
  <cp:lastPrinted>2014-08-26T08:55:00Z</cp:lastPrinted>
  <dcterms:created xsi:type="dcterms:W3CDTF">2025-04-07T22:13:00Z</dcterms:created>
  <dcterms:modified xsi:type="dcterms:W3CDTF">2025-04-07T22:13:00Z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2025-04-07T22:13:05Z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64c7b9b1-91e3-4b8c-9ad7-c47710d058a2</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