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pPr>
        <w:bidi w:val="0"/>
        <w:spacing w:line="360" w:lineRule="auto"/>
        <w:jc w:val="center"/>
        <w:rPr>
          <w:sz w:val="24"/>
          <w:szCs w:val="24"/>
          <w:u w:val="single"/>
        </w:rPr>
      </w:pPr>
      <w:r>
        <w:rPr>
          <w:b/>
          <w:bCs/>
          <w:sz w:val="24"/>
          <w:szCs w:val="24"/>
          <w:u w:val="single"/>
          <w:lang w:val="en-GB" w:eastAsia="zh-CN" w:bidi="hi-IN"/>
        </w:rPr>
        <w:t>Methodology of collective memory studies</w:t>
      </w:r>
    </w:p>
    <w:p>
      <w:pPr>
        <w:bidi w:val="0"/>
        <w:spacing w:line="360" w:lineRule="auto"/>
        <w:jc w:val="both"/>
        <w:rPr>
          <w:sz w:val="24"/>
          <w:szCs w:val="24"/>
        </w:rPr>
      </w:pPr>
      <w:r>
        <w:rPr>
          <w:sz w:val="24"/>
          <w:szCs w:val="24"/>
          <w:lang w:val="en-GB" w:eastAsia="zh-CN" w:bidi="hi-IN"/>
        </w:rPr>
        <w:tab/>
        <w:t xml:space="preserve">Collective memory is an interdisciplinary notion: it comprises in its very “memory” part history, psychology and neurology. The “collective” part of the notion refers, however, not to the biological </w:t>
      </w:r>
      <w:r>
        <w:rPr>
          <w:sz w:val="24"/>
          <w:szCs w:val="24"/>
          <w:lang w:val="en-GB" w:eastAsia="zh-CN" w:bidi="hi-IN"/>
        </w:rPr>
        <w:t>side</w:t>
      </w:r>
      <w:r>
        <w:rPr>
          <w:sz w:val="24"/>
          <w:szCs w:val="24"/>
          <w:lang w:val="en-GB" w:eastAsia="zh-CN" w:bidi="hi-IN"/>
        </w:rPr>
        <w:t xml:space="preserve"> of the memory, but to the social aspect of it, the cultural reflection of history in the modern world, – which is a general direction of the study of collective memory conducted by Pierre Nora (</w:t>
      </w:r>
      <w:r>
        <w:rPr>
          <w:sz w:val="24"/>
          <w:szCs w:val="24"/>
          <w:u w:val="none"/>
          <w:lang w:val="en-GB" w:eastAsia="zh-CN" w:bidi="hi-IN"/>
        </w:rPr>
        <w:t>Wood, 1994</w:t>
      </w:r>
      <w:r>
        <w:rPr>
          <w:sz w:val="24"/>
          <w:szCs w:val="24"/>
          <w:lang w:val="en-GB" w:eastAsia="zh-CN" w:bidi="hi-IN"/>
        </w:rPr>
        <w:t xml:space="preserve">). The question of the precise definition, which would reflect all the details of what the collective memory implies, is not the only question raised in academic works. I suggest that academic works on collective memory may be classified depending on their topic into two complementing categories. The first one deals with the research in the field of collective memory: such are the works of </w:t>
      </w:r>
      <w:r>
        <w:rPr>
          <w:sz w:val="24"/>
          <w:szCs w:val="24"/>
          <w:lang w:val="en-GB" w:eastAsia="zh-CN" w:bidi="hi-IN"/>
        </w:rPr>
        <w:t>French historian</w:t>
      </w:r>
      <w:r>
        <w:rPr>
          <w:sz w:val="24"/>
          <w:szCs w:val="24"/>
          <w:lang w:val="en-GB" w:eastAsia="zh-CN" w:bidi="hi-IN"/>
        </w:rPr>
        <w:t xml:space="preserve"> Pierre Nora and </w:t>
      </w:r>
      <w:r>
        <w:rPr>
          <w:sz w:val="24"/>
          <w:szCs w:val="24"/>
          <w:lang w:val="en-GB" w:eastAsia="zh-CN" w:bidi="hi-IN"/>
        </w:rPr>
        <w:t xml:space="preserve">French sociologist </w:t>
      </w:r>
      <w:r>
        <w:rPr>
          <w:sz w:val="24"/>
          <w:szCs w:val="24"/>
          <w:lang w:val="en-GB" w:eastAsia="zh-CN" w:bidi="hi-IN"/>
        </w:rPr>
        <w:t xml:space="preserve">Maurice Halbwachs: </w:t>
      </w:r>
      <w:r>
        <w:rPr>
          <w:sz w:val="24"/>
          <w:szCs w:val="24"/>
          <w:lang w:val="en-GB" w:eastAsia="zh-CN" w:bidi="hi-IN"/>
        </w:rPr>
        <w:t>the two names that most of the works on collective memory mention</w:t>
      </w:r>
      <w:r>
        <w:rPr>
          <w:sz w:val="24"/>
          <w:szCs w:val="24"/>
          <w:lang w:val="en-GB" w:eastAsia="zh-CN" w:bidi="hi-IN"/>
        </w:rPr>
        <w:t xml:space="preserve">. In the second category are the works of a more methodological kind, which analyze the current methodological approach, problematize the use of certain tools or propose new means for the research. </w:t>
      </w:r>
      <w:r>
        <w:rPr>
          <w:sz w:val="24"/>
          <w:szCs w:val="24"/>
          <w:lang w:val="en-GB" w:eastAsia="zh-CN" w:bidi="hi-IN"/>
        </w:rPr>
        <w:t xml:space="preserve">As follows from the fact that to this day the researchers had not come up with </w:t>
      </w:r>
      <w:r>
        <w:rPr>
          <w:sz w:val="24"/>
          <w:szCs w:val="24"/>
          <w:lang w:val="en-GB" w:eastAsia="zh-CN" w:bidi="hi-IN"/>
        </w:rPr>
        <w:t xml:space="preserve">the definition of collective memory, the methodological possibilities are corresponding: there is no precise set of tools which a researcher may use to uncover the selected piece of </w:t>
      </w:r>
      <w:r>
        <w:rPr>
          <w:sz w:val="24"/>
          <w:szCs w:val="24"/>
          <w:lang w:val="en-GB" w:eastAsia="zh-CN" w:bidi="hi-IN"/>
        </w:rPr>
        <w:t>historical narrative.</w:t>
      </w:r>
    </w:p>
    <w:p>
      <w:pPr>
        <w:bidi w:val="0"/>
        <w:spacing w:line="360" w:lineRule="auto"/>
        <w:jc w:val="both"/>
        <w:rPr>
          <w:sz w:val="24"/>
          <w:szCs w:val="24"/>
        </w:rPr>
      </w:pPr>
      <w:r>
        <w:rPr>
          <w:sz w:val="24"/>
          <w:szCs w:val="24"/>
          <w:lang w:val="en-GB" w:eastAsia="zh-CN" w:bidi="hi-IN"/>
        </w:rPr>
        <w:tab/>
        <w:t>The difference in approach used to examine collective memory lies in the way a researcher addresses the question and where they look for the evidence. Such an approach is uncovered in the work of William Hirst and David Mainer (2008; p. 185), they tackle it by answering the question: "Where are collective memories located?", – and simultaneously propose the two answers: they are located either in the world or in the individual. The fascinating aspect is, both are useful when studying collective memory. The collective memory consists in fact of both of these parts: it exists partially as suggested by Pierre Nora – in the world, such as monuments, the symbolism of the nation and its myth comprised of the way the history is taught (Wood, 1994; ); and in the individual, a such example would be the war stories, the stories of genocides or other significant events, passed down the generations. In such a system exist an in-between piece, an embodiment of collective memory: narratives. Narratives are the spoken or written ways the past is described today. The very study of memory is, in its way, a narrative, which differs from one researcher to the other – and that is why there is no single definition of collective memory.</w:t>
      </w:r>
    </w:p>
    <w:p>
      <w:pPr>
        <w:bidi w:val="0"/>
        <w:spacing w:line="360" w:lineRule="auto"/>
        <w:jc w:val="both"/>
        <w:rPr>
          <w:sz w:val="24"/>
          <w:szCs w:val="24"/>
        </w:rPr>
      </w:pPr>
      <w:r>
        <w:rPr>
          <w:sz w:val="24"/>
          <w:szCs w:val="24"/>
          <w:lang w:val="en-GB" w:eastAsia="zh-CN" w:bidi="hi-IN"/>
        </w:rPr>
        <w:tab/>
        <w:t xml:space="preserve">If the central part of the research is the collective memory in the individual, then a researcher may use corresponding means of the study: such would be surveys and personal interviews (Hirst and Mainer, 2008; pp. 194). An example of the use of the method of a personal interview in studying collective memory is provided in the work of Kaja Kazmierska (2002) on the memories of the invasion of Poland from the two sisters, who survived all the hardships. Therefore, what should be problematized is the remarks made by the author in-between the pieces of the interview, such as: "These memories instead should evoke a feeling of sadness" (p. 293) or "neither Julia nor Anne said any more about the deaths..." (p. 296). Both of the phrases seem not quite correct: the first imposes the personal opinion of the author, which does not necessarily reflect if the emotions are "proper" or "right". The second sentence comes shortly after the whole page of historical explanation of why the death was considered otherwise – because it was part of the national defence, thus, a reason to be proud (p. 295). The additional remark was completely unnecessary, as it stresses the point which was already pointed out, therefore, suggesting that the author wanted to make this highlight one more time on purpose. </w:t>
      </w:r>
      <w:r>
        <w:rPr>
          <w:sz w:val="24"/>
          <w:szCs w:val="24"/>
          <w:lang w:val="en-GB" w:eastAsia="zh-CN" w:bidi="hi-IN"/>
        </w:rPr>
        <w:t xml:space="preserve">To expand this methodology, to make it more specific, it may be useful to refer to the methodological </w:t>
      </w:r>
      <w:r>
        <w:rPr>
          <w:sz w:val="24"/>
          <w:szCs w:val="24"/>
          <w:lang w:val="en-GB" w:eastAsia="zh-CN" w:bidi="hi-IN"/>
        </w:rPr>
        <w:t>scheme of individual memory maps proposed by Qi Wang (2008; p. 314). It suggest</w:t>
      </w:r>
      <w:r>
        <w:rPr>
          <w:sz w:val="24"/>
          <w:szCs w:val="24"/>
          <w:lang w:val="en-GB" w:eastAsia="zh-CN" w:bidi="hi-IN"/>
        </w:rPr>
        <w:t>s</w:t>
      </w:r>
      <w:r>
        <w:rPr>
          <w:sz w:val="24"/>
          <w:szCs w:val="24"/>
          <w:lang w:val="en-GB" w:eastAsia="zh-CN" w:bidi="hi-IN"/>
        </w:rPr>
        <w:t xml:space="preserve"> that an individual exists </w:t>
      </w:r>
      <w:r>
        <w:rPr>
          <w:sz w:val="24"/>
          <w:szCs w:val="24"/>
          <w:lang w:val="en-GB" w:eastAsia="zh-CN" w:bidi="hi-IN"/>
        </w:rPr>
        <w:t xml:space="preserve">within a group within a context of cultural history. Thus, the approach applies to the works centred on the individual interview. The individual narrative may only be fully uncovered in the scope of two contexts: the </w:t>
      </w:r>
      <w:r>
        <w:rPr>
          <w:sz w:val="24"/>
          <w:szCs w:val="24"/>
          <w:lang w:val="en-GB" w:eastAsia="zh-CN" w:bidi="hi-IN"/>
        </w:rPr>
        <w:t xml:space="preserve">surrounding group and the national-cultural context. </w:t>
      </w:r>
    </w:p>
    <w:p>
      <w:pPr>
        <w:bidi w:val="0"/>
        <w:spacing w:line="360" w:lineRule="auto"/>
        <w:jc w:val="both"/>
        <w:rPr>
          <w:sz w:val="24"/>
          <w:szCs w:val="24"/>
        </w:rPr>
      </w:pPr>
      <w:r>
        <w:rPr>
          <w:sz w:val="24"/>
          <w:szCs w:val="24"/>
          <w:lang w:val="en-GB" w:eastAsia="zh-CN" w:bidi="hi-IN"/>
        </w:rPr>
        <w:tab/>
        <w:t>However, it is not only the author that can easily add different detours around the main point. The accuracy of the individual study of memory is subject to the individuality and character of the individual, which may contribute not only positively, but also negatively to the details or the whole picture. Daniel Schachter, Joan Chiao and Jason Mitchell (2003; p. 228) identify such negative factors as "sins of memory". Because of these "sins" existence, the personal narrative is not reliable. A couple of changes in the personal information in the interview are used as an example in the work, and a man now has four kids, even though he was only married for four months (Schachter et al, 2003; p. 230). It can thus be suggested that for accuracy several personal narratives should be used, thus decreasing the impact of details on the picture of the past.</w:t>
      </w:r>
    </w:p>
    <w:p>
      <w:pPr>
        <w:bidi w:val="0"/>
        <w:spacing w:line="360" w:lineRule="auto"/>
        <w:jc w:val="both"/>
        <w:rPr>
          <w:sz w:val="24"/>
          <w:szCs w:val="24"/>
        </w:rPr>
      </w:pPr>
      <w:r>
        <w:rPr>
          <w:sz w:val="24"/>
          <w:szCs w:val="24"/>
          <w:lang w:val="en-GB" w:eastAsia="zh-CN" w:bidi="hi-IN"/>
        </w:rPr>
        <w:tab/>
        <w:t xml:space="preserve">If the research focuses on the "lieux de memoire", the places of memory – that suggests more specific work with documented sources of information, historical documents and little to no "face-to-face" approach. An example of such work would be "The Texture of Memory" by James Young (2006), a detailed examination of the memorials which commemorate the Holocaust. There are two elements: places and their history. Such research suggests a precise structure, which is framed by the places, and documents, that already exist. </w:t>
      </w:r>
    </w:p>
    <w:p>
      <w:pPr>
        <w:bidi w:val="0"/>
        <w:spacing w:line="360" w:lineRule="auto"/>
        <w:jc w:val="both"/>
        <w:rPr>
          <w:sz w:val="24"/>
          <w:szCs w:val="24"/>
        </w:rPr>
      </w:pPr>
      <w:r>
        <w:rPr>
          <w:sz w:val="24"/>
          <w:szCs w:val="24"/>
          <w:lang w:val="en-GB" w:eastAsia="zh-CN" w:bidi="hi-IN"/>
        </w:rPr>
        <w:tab/>
        <w:t xml:space="preserve">Both types of collective memory research use methods with consensus toward the desired outcome. However, there </w:t>
      </w:r>
      <w:r>
        <w:rPr>
          <w:sz w:val="24"/>
          <w:szCs w:val="24"/>
          <w:lang w:val="en-GB" w:eastAsia="zh-CN" w:bidi="hi-IN"/>
        </w:rPr>
        <w:t>is a couple of "outliers" in this approach.</w:t>
      </w:r>
      <w:r>
        <w:rPr>
          <w:sz w:val="24"/>
          <w:szCs w:val="24"/>
          <w:lang w:val="en-GB" w:eastAsia="zh-CN" w:bidi="hi-IN"/>
        </w:rPr>
        <w:t xml:space="preserve"> </w:t>
      </w:r>
      <w:r>
        <w:rPr>
          <w:sz w:val="24"/>
          <w:szCs w:val="24"/>
          <w:lang w:val="en-GB" w:eastAsia="zh-CN" w:bidi="hi-IN"/>
        </w:rPr>
        <w:t>O</w:t>
      </w:r>
      <w:r>
        <w:rPr>
          <w:sz w:val="24"/>
          <w:szCs w:val="24"/>
          <w:lang w:val="en-GB" w:eastAsia="zh-CN" w:bidi="hi-IN"/>
        </w:rPr>
        <w:t xml:space="preserve">ne more </w:t>
      </w:r>
      <w:r>
        <w:rPr>
          <w:sz w:val="24"/>
          <w:szCs w:val="24"/>
          <w:lang w:val="en-GB" w:eastAsia="zh-CN" w:bidi="hi-IN"/>
        </w:rPr>
        <w:t>research methodology relates to the concept that is</w:t>
      </w:r>
      <w:r>
        <w:rPr>
          <w:sz w:val="24"/>
          <w:szCs w:val="24"/>
          <w:lang w:val="en-GB" w:eastAsia="zh-CN" w:bidi="hi-IN"/>
        </w:rPr>
        <w:t xml:space="preserve"> </w:t>
      </w:r>
      <w:r>
        <w:rPr>
          <w:sz w:val="24"/>
          <w:szCs w:val="24"/>
          <w:lang w:val="en-GB" w:eastAsia="zh-CN" w:bidi="hi-IN"/>
        </w:rPr>
        <w:t>a</w:t>
      </w:r>
      <w:r>
        <w:rPr>
          <w:sz w:val="24"/>
          <w:szCs w:val="24"/>
          <w:lang w:val="en-GB" w:eastAsia="zh-CN" w:bidi="hi-IN"/>
        </w:rPr>
        <w:t xml:space="preserve">n embodiment of collective memory, the narrative. In general, the narrative is the line that passes through the work, story, or speech, an article, a news program and in history textbooks – </w:t>
      </w:r>
      <w:r>
        <w:rPr>
          <w:sz w:val="24"/>
          <w:szCs w:val="24"/>
          <w:lang w:val="en-GB" w:eastAsia="zh-CN" w:bidi="hi-IN"/>
        </w:rPr>
        <w:t>that would be a linguistic approach to narratives</w:t>
      </w:r>
      <w:r>
        <w:rPr>
          <w:sz w:val="24"/>
          <w:szCs w:val="24"/>
          <w:lang w:val="en-GB" w:eastAsia="zh-CN" w:bidi="hi-IN"/>
        </w:rPr>
        <w:t xml:space="preserve">. </w:t>
      </w:r>
      <w:r>
        <w:rPr>
          <w:sz w:val="24"/>
          <w:szCs w:val="24"/>
          <w:lang w:val="en-GB" w:eastAsia="zh-CN" w:bidi="hi-IN"/>
        </w:rPr>
        <w:t>Narratives</w:t>
      </w:r>
      <w:r>
        <w:rPr>
          <w:sz w:val="24"/>
          <w:szCs w:val="24"/>
          <w:lang w:val="en-GB" w:eastAsia="zh-CN" w:bidi="hi-IN"/>
        </w:rPr>
        <w:t xml:space="preserve"> </w:t>
      </w:r>
      <w:r>
        <w:rPr>
          <w:sz w:val="24"/>
          <w:szCs w:val="24"/>
          <w:lang w:val="en-GB" w:eastAsia="zh-CN" w:bidi="hi-IN"/>
        </w:rPr>
        <w:t>are</w:t>
      </w:r>
      <w:r>
        <w:rPr>
          <w:sz w:val="24"/>
          <w:szCs w:val="24"/>
          <w:lang w:val="en-GB" w:eastAsia="zh-CN" w:bidi="hi-IN"/>
        </w:rPr>
        <w:t xml:space="preserve"> not only limited to the collective memory, but it is an important part of it, as "the way we remember the past" can be rephrased into "the narratives we use to describe our past". In collective memory studies the narrative is analyzed, sometimes it is a personal story, and sometimes it is the historical documents and mementoes, such as photographs or radio records. </w:t>
      </w:r>
      <w:r>
        <w:rPr>
          <w:sz w:val="24"/>
          <w:szCs w:val="24"/>
          <w:lang w:val="en-GB" w:eastAsia="zh-CN" w:bidi="hi-IN"/>
        </w:rPr>
        <w:t xml:space="preserve">With regards to the narrative being the style of writing and word choice, the metamorphosis of the content of the source might be impossible to ignore. </w:t>
      </w:r>
      <w:r>
        <w:rPr>
          <w:sz w:val="24"/>
          <w:szCs w:val="24"/>
          <w:lang w:val="en-GB" w:eastAsia="zh-CN" w:bidi="hi-IN"/>
        </w:rPr>
        <w:t>The different narratives of collective memory events visibly problematize the use of cultural history in politics and social life (</w:t>
      </w:r>
      <w:r>
        <w:rPr>
          <w:sz w:val="24"/>
          <w:szCs w:val="24"/>
          <w:lang w:val="en-GB" w:eastAsia="zh-CN" w:bidi="hi-IN"/>
        </w:rPr>
        <w:t xml:space="preserve">Alon Confino, 1997; </w:t>
      </w:r>
      <w:r>
        <w:rPr>
          <w:sz w:val="24"/>
          <w:szCs w:val="24"/>
          <w:lang w:val="en-GB" w:eastAsia="zh-CN" w:bidi="hi-IN"/>
        </w:rPr>
        <w:t>p.</w:t>
      </w:r>
      <w:r>
        <w:rPr>
          <w:sz w:val="24"/>
          <w:szCs w:val="24"/>
          <w:lang w:val="en-GB" w:eastAsia="zh-CN" w:bidi="hi-IN"/>
        </w:rPr>
        <w:t xml:space="preserve"> </w:t>
      </w:r>
      <w:r>
        <w:rPr>
          <w:sz w:val="24"/>
          <w:szCs w:val="24"/>
          <w:lang w:val="en-GB" w:eastAsia="zh-CN" w:bidi="hi-IN"/>
        </w:rPr>
        <w:t>1388</w:t>
      </w:r>
      <w:r>
        <w:rPr>
          <w:sz w:val="24"/>
          <w:szCs w:val="24"/>
          <w:lang w:val="en-GB" w:eastAsia="zh-CN" w:bidi="hi-IN"/>
        </w:rPr>
        <w:t xml:space="preserve">). </w:t>
      </w:r>
      <w:r>
        <w:rPr>
          <w:sz w:val="24"/>
          <w:szCs w:val="24"/>
          <w:lang w:val="en-GB" w:eastAsia="zh-CN" w:bidi="hi-IN"/>
        </w:rPr>
        <w:t>The use of such narratives to study collective memory leads to an analysis of the manipulations of collective memory. An example of this type of research would be the work of Dina Khapaeva (2016) who studies not the individual or remnant, but a "</w:t>
      </w:r>
      <w:r>
        <w:rPr>
          <w:sz w:val="24"/>
          <w:szCs w:val="24"/>
          <w:lang w:val="en-GB" w:eastAsia="zh-CN" w:bidi="hi-IN"/>
        </w:rPr>
        <w:t>cultural system</w:t>
      </w:r>
      <w:r>
        <w:rPr>
          <w:sz w:val="24"/>
          <w:szCs w:val="24"/>
          <w:lang w:val="en-GB" w:eastAsia="zh-CN" w:bidi="hi-IN"/>
        </w:rPr>
        <w:t xml:space="preserve">” </w:t>
      </w:r>
      <w:r>
        <w:rPr>
          <w:sz w:val="24"/>
          <w:szCs w:val="24"/>
          <w:lang w:val="en-GB" w:eastAsia="zh-CN" w:bidi="hi-IN"/>
        </w:rPr>
        <w:t xml:space="preserve">(p. 62), which incorporates manipulations of the past as a tool to rule in the present time. </w:t>
      </w:r>
      <w:r>
        <w:rPr>
          <w:sz w:val="24"/>
          <w:szCs w:val="24"/>
          <w:lang w:val="en-GB" w:eastAsia="zh-CN" w:bidi="hi-IN"/>
        </w:rPr>
        <w:t>The essential problem with regard to the narratives is the fact, that it implies the problem of a narrative being "a product of imagination" (A. Norman, 1991; p. 119), and therefore is subjected to inaccura</w:t>
      </w:r>
      <w:r>
        <w:rPr>
          <w:sz w:val="24"/>
          <w:szCs w:val="24"/>
          <w:lang w:val="en-GB" w:eastAsia="zh-CN" w:bidi="hi-IN"/>
        </w:rPr>
        <w:t xml:space="preserve">cy. </w:t>
      </w:r>
      <w:r>
        <w:rPr>
          <w:sz w:val="24"/>
          <w:szCs w:val="24"/>
          <w:lang w:val="en-GB" w:eastAsia="zh-CN" w:bidi="hi-IN"/>
        </w:rPr>
        <w:t xml:space="preserve">To complete an understanding of a certain collective memory piece, I suggest </w:t>
      </w:r>
      <w:r>
        <w:rPr>
          <w:sz w:val="24"/>
          <w:szCs w:val="24"/>
          <w:lang w:val="en-GB" w:eastAsia="zh-CN" w:bidi="hi-IN"/>
        </w:rPr>
        <w:t>comparing different perspectives around one question. Such would provide the work with not just one point of view, which, as follows, may or may not be accurate.</w:t>
      </w:r>
    </w:p>
    <w:p>
      <w:pPr>
        <w:bidi w:val="0"/>
        <w:spacing w:line="360" w:lineRule="auto"/>
        <w:jc w:val="both"/>
        <w:rPr>
          <w:sz w:val="24"/>
          <w:szCs w:val="24"/>
        </w:rPr>
      </w:pPr>
      <w:r>
        <w:rPr>
          <w:sz w:val="24"/>
          <w:szCs w:val="24"/>
          <w:lang w:val="en-GB" w:eastAsia="zh-CN" w:bidi="hi-IN"/>
        </w:rPr>
        <w:tab/>
        <w:t xml:space="preserve">The other methodological challenge is subjected to the course of time. The Internet, accessible media and development of the political standards are the reasons behind the progress of collective memory. Given the new means of </w:t>
      </w:r>
      <w:r>
        <w:rPr>
          <w:sz w:val="24"/>
          <w:szCs w:val="24"/>
          <w:lang w:val="en-GB" w:eastAsia="zh-CN" w:bidi="hi-IN"/>
        </w:rPr>
        <w:t xml:space="preserve">communication and public dialogue, collective memory is also </w:t>
      </w:r>
      <w:r>
        <w:rPr>
          <w:sz w:val="24"/>
          <w:szCs w:val="24"/>
          <w:lang w:val="en-GB" w:eastAsia="zh-CN" w:bidi="hi-IN"/>
        </w:rPr>
        <w:t xml:space="preserve">progressing. One of the modern directions, the mediatised memory is identified by Paul O'Connor (2019; p. 642). Such type or mode of collective memory is realized in movies, and various sorts of screenplays – mostly the cultural aspect of the collective memory. </w:t>
      </w:r>
      <w:r>
        <w:rPr>
          <w:sz w:val="24"/>
          <w:szCs w:val="24"/>
          <w:lang w:val="en-GB" w:eastAsia="zh-CN" w:bidi="hi-IN"/>
        </w:rPr>
        <w:t xml:space="preserve">What is missed in this cultural mediatised approach is the Internet part, which has less to do with the </w:t>
      </w:r>
      <w:r>
        <w:rPr>
          <w:sz w:val="24"/>
          <w:szCs w:val="24"/>
          <w:lang w:val="en-GB" w:eastAsia="zh-CN" w:bidi="hi-IN"/>
        </w:rPr>
        <w:t xml:space="preserve">art, but rather with </w:t>
      </w:r>
      <w:r>
        <w:rPr>
          <w:sz w:val="24"/>
          <w:szCs w:val="24"/>
          <w:lang w:val="en-GB" w:eastAsia="zh-CN" w:bidi="hi-IN"/>
        </w:rPr>
        <w:t xml:space="preserve">human activity in general – therefore, with history. The first source with </w:t>
      </w:r>
      <w:r>
        <w:rPr>
          <w:sz w:val="24"/>
          <w:szCs w:val="24"/>
          <w:lang w:val="en-GB" w:eastAsia="zh-CN" w:bidi="hi-IN"/>
        </w:rPr>
        <w:t xml:space="preserve">the “people’s” narrative, such is the example of Wikipedia, described in the research piece of Taha Yasseri (et al, 2022; </w:t>
      </w:r>
      <w:r>
        <w:rPr>
          <w:sz w:val="24"/>
          <w:szCs w:val="24"/>
          <w:lang w:val="en-GB" w:eastAsia="zh-CN" w:bidi="hi-IN"/>
        </w:rPr>
        <w:t>p. 10-11</w:t>
      </w:r>
      <w:r>
        <w:rPr>
          <w:sz w:val="24"/>
          <w:szCs w:val="24"/>
          <w:lang w:val="en-GB" w:eastAsia="zh-CN" w:bidi="hi-IN"/>
        </w:rPr>
        <w:t xml:space="preserve">). </w:t>
      </w:r>
      <w:r>
        <w:rPr>
          <w:sz w:val="24"/>
          <w:szCs w:val="24"/>
          <w:lang w:val="en-GB" w:eastAsia="zh-CN" w:bidi="hi-IN"/>
        </w:rPr>
        <w:t xml:space="preserve">For younger generations printed sources become less and less relevant with time, and the media also is moving </w:t>
      </w:r>
      <w:r>
        <w:rPr>
          <w:sz w:val="24"/>
          <w:szCs w:val="24"/>
          <w:lang w:val="en-GB" w:eastAsia="zh-CN" w:bidi="hi-IN"/>
        </w:rPr>
        <w:t>to the web. More primary sources are existing now exclusively in the online form, posing a new challenge for the researchers.</w:t>
      </w:r>
    </w:p>
    <w:p>
      <w:pPr>
        <w:bidi w:val="0"/>
        <w:spacing w:line="360" w:lineRule="auto"/>
        <w:jc w:val="both"/>
        <w:rPr>
          <w:sz w:val="24"/>
          <w:szCs w:val="24"/>
        </w:rPr>
      </w:pPr>
      <w:r>
        <w:rPr>
          <w:sz w:val="24"/>
          <w:szCs w:val="24"/>
          <w:lang w:val="en-GB" w:eastAsia="zh-CN" w:bidi="hi-IN"/>
        </w:rPr>
        <w:tab/>
        <w:t xml:space="preserve">The paper concludes by arguing a variety of research methods exist each for its purpose. The modern works on collective memory </w:t>
      </w:r>
      <w:r>
        <w:rPr>
          <w:sz w:val="24"/>
          <w:szCs w:val="24"/>
          <w:lang w:val="en-GB" w:eastAsia="zh-CN" w:bidi="hi-IN"/>
        </w:rPr>
        <w:t>are various. Some works</w:t>
      </w:r>
      <w:r>
        <w:rPr>
          <w:sz w:val="24"/>
          <w:szCs w:val="24"/>
          <w:lang w:val="en-GB" w:eastAsia="zh-CN" w:bidi="hi-IN"/>
        </w:rPr>
        <w:t xml:space="preserve"> target the commemoration of the past in present, mainly by a thorough analysis of the places of memory and the stories that they correspond to. The </w:t>
      </w:r>
      <w:r>
        <w:rPr>
          <w:sz w:val="24"/>
          <w:szCs w:val="24"/>
          <w:lang w:val="en-GB" w:eastAsia="zh-CN" w:bidi="hi-IN"/>
        </w:rPr>
        <w:t>other studies centred on</w:t>
      </w:r>
      <w:r>
        <w:rPr>
          <w:sz w:val="24"/>
          <w:szCs w:val="24"/>
          <w:lang w:val="en-GB" w:eastAsia="zh-CN" w:bidi="hi-IN"/>
        </w:rPr>
        <w:t xml:space="preserve"> individual </w:t>
      </w:r>
      <w:r>
        <w:rPr>
          <w:sz w:val="24"/>
          <w:szCs w:val="24"/>
          <w:lang w:val="en-GB" w:eastAsia="zh-CN" w:bidi="hi-IN"/>
        </w:rPr>
        <w:t xml:space="preserve">memory inspect the individual narratives in the scope of cultural context and community. The technology poses new challenges for the methodological approaches, </w:t>
      </w:r>
      <w:r>
        <w:rPr>
          <w:sz w:val="24"/>
          <w:szCs w:val="24"/>
          <w:lang w:val="en-GB" w:eastAsia="zh-CN" w:bidi="hi-IN"/>
        </w:rPr>
        <w:t>urging the researchers to contemplate the primary sources outside of the libraries in the space with no categories. The availability of internet primary sources call</w:t>
      </w:r>
      <w:r>
        <w:rPr>
          <w:sz w:val="24"/>
          <w:szCs w:val="24"/>
          <w:lang w:val="en-GB" w:eastAsia="zh-CN" w:bidi="hi-IN"/>
        </w:rPr>
        <w:t>s</w:t>
      </w:r>
      <w:r>
        <w:rPr>
          <w:sz w:val="24"/>
          <w:szCs w:val="24"/>
          <w:lang w:val="en-GB" w:eastAsia="zh-CN" w:bidi="hi-IN"/>
        </w:rPr>
        <w:t xml:space="preserve"> for </w:t>
      </w:r>
      <w:r>
        <w:rPr>
          <w:sz w:val="24"/>
          <w:szCs w:val="24"/>
          <w:lang w:val="en-GB" w:eastAsia="zh-CN" w:bidi="hi-IN"/>
        </w:rPr>
        <w:t xml:space="preserve">new research methods. The most important mean that should be incorporated into research is the background, which supports or denies the findings. </w:t>
      </w:r>
      <w:r>
        <w:rPr>
          <w:sz w:val="24"/>
          <w:szCs w:val="24"/>
          <w:lang w:val="en-GB" w:eastAsia="zh-CN" w:bidi="hi-IN"/>
        </w:rPr>
        <w:t xml:space="preserve">For complete, fulfilled research, if work is centred not on a certain place, or event, but rather on a reflection of the past in present – I suggest looking at more than one narrative and incorporating it into the work. Largely the use of methods depends on the chosen topic. While some works may enjoy the available methods, other research would require more </w:t>
      </w:r>
      <w:r>
        <w:rPr>
          <w:sz w:val="24"/>
          <w:szCs w:val="24"/>
          <w:lang w:val="en-GB" w:eastAsia="zh-CN" w:bidi="hi-IN"/>
        </w:rPr>
        <w:t>innovative decisions to uncover the subject of the study. The methods should exist in correlation with the main question of the paper and based on the type of the studied subject.</w:t>
      </w:r>
      <w:r>
        <w:br w:type="page"/>
      </w:r>
    </w:p>
    <w:p>
      <w:pPr>
        <w:bidi w:val="0"/>
        <w:spacing w:line="360" w:lineRule="auto"/>
        <w:jc w:val="both"/>
        <w:rPr>
          <w:sz w:val="24"/>
          <w:szCs w:val="24"/>
        </w:rPr>
      </w:pPr>
      <w:r>
        <w:rPr>
          <w:b/>
          <w:bCs/>
          <w:sz w:val="24"/>
          <w:szCs w:val="24"/>
          <w:lang w:val="en-GB" w:eastAsia="zh-CN" w:bidi="hi-IN"/>
        </w:rPr>
        <w:t>Recommended and consulted sources</w:t>
      </w:r>
    </w:p>
    <w:p>
      <w:pPr>
        <w:pStyle w:val="BodyText"/>
        <w:ind w:left="567" w:right="0" w:hanging="567"/>
      </w:pPr>
      <w:r>
        <w:t xml:space="preserve">1. Confino, A. (1997) “Collective memory and cultural history: Problems of method,” </w:t>
      </w:r>
      <w:r>
        <w:rPr>
          <w:i/>
        </w:rPr>
        <w:t>The American Historical Review</w:t>
      </w:r>
      <w:r>
        <w:t xml:space="preserve">, 102(5), pp. 1386–1403. Available at: https://doi.org/10.2307/2171069. </w:t>
      </w:r>
    </w:p>
    <w:p>
      <w:pPr>
        <w:pStyle w:val="BodyText"/>
        <w:ind w:left="567" w:right="0" w:hanging="567"/>
      </w:pPr>
      <w:r>
        <w:t xml:space="preserve">2. Hirst, W. and Manier, D. (2008) “Towards a psychology of collective memory,” </w:t>
      </w:r>
      <w:r>
        <w:rPr>
          <w:i/>
        </w:rPr>
        <w:t>Memory</w:t>
      </w:r>
      <w:r>
        <w:t xml:space="preserve">, 16(3), pp. 183–200. Available at: https://doi.org/10.1080/09658210701811912. </w:t>
      </w:r>
    </w:p>
    <w:p>
      <w:pPr>
        <w:pStyle w:val="BodyText"/>
        <w:ind w:left="567" w:right="0" w:hanging="567"/>
      </w:pPr>
      <w:r>
        <w:t xml:space="preserve">3. Kaźmierska, K. (2002) “Narratives on World War II in Poland,” </w:t>
      </w:r>
      <w:r>
        <w:rPr>
          <w:i/>
        </w:rPr>
        <w:t>The History of the Family</w:t>
      </w:r>
      <w:r>
        <w:t xml:space="preserve">, 7(2), pp. 281–305. Available at: </w:t>
      </w:r>
      <w:hyperlink r:id="rId4">
        <w:r>
          <w:rPr>
            <w:rStyle w:val="Hyperlink"/>
          </w:rPr>
          <w:t>https://doi.org/10.1016/s1081-602x(02)00096-9</w:t>
        </w:r>
      </w:hyperlink>
      <w:hyperlink>
        <w:r>
          <w:t>.</w:t>
        </w:r>
      </w:hyperlink>
    </w:p>
    <w:p>
      <w:pPr>
        <w:pStyle w:val="BodyText"/>
        <w:ind w:left="567" w:right="0" w:hanging="567"/>
      </w:pPr>
      <w:r>
        <w:t xml:space="preserve">4. </w:t>
      </w:r>
      <w:r>
        <w:t xml:space="preserve">Khapaeva, D. (2016) “Triumphant memory of the perpetrators: Putin’s politics of re-stalinization,” </w:t>
      </w:r>
      <w:r>
        <w:rPr>
          <w:i/>
        </w:rPr>
        <w:t>Communist and Post-Communist Studies</w:t>
      </w:r>
      <w:r>
        <w:t xml:space="preserve">, 49(1), pp. 61–73. Available at: https://doi.org/10.1016/j.postcomstud.2015.12.007. </w:t>
      </w:r>
    </w:p>
    <w:p>
      <w:pPr>
        <w:pStyle w:val="BodyText"/>
        <w:ind w:left="567" w:right="0" w:hanging="567"/>
      </w:pPr>
      <w:r>
        <w:t>5</w:t>
      </w:r>
      <w:r>
        <w:t xml:space="preserve">. Norman, A.P. (1991) “Telling it like it was: Historical narratives on their own terms,” </w:t>
      </w:r>
      <w:r>
        <w:rPr>
          <w:i/>
        </w:rPr>
        <w:t>History and Theory</w:t>
      </w:r>
      <w:r>
        <w:t xml:space="preserve">, 30(2), p. 119. Available at: https://doi.org/10.2307/2505536. </w:t>
      </w:r>
    </w:p>
    <w:p>
      <w:pPr>
        <w:pStyle w:val="BodyText"/>
        <w:ind w:left="567" w:right="0" w:hanging="567"/>
      </w:pPr>
      <w:r>
        <w:t>6</w:t>
      </w:r>
      <w:r>
        <w:t xml:space="preserve">. O’Connor, P. (2019) “The unanchored past: Three modes of collective memory,” </w:t>
      </w:r>
      <w:r>
        <w:rPr>
          <w:i/>
        </w:rPr>
        <w:t>Memory Studies</w:t>
      </w:r>
      <w:r>
        <w:t xml:space="preserve">, 15(4), pp. 634–649. Available at: https://doi.org/10.1177/1750698019894694. </w:t>
      </w:r>
    </w:p>
    <w:p>
      <w:pPr>
        <w:pStyle w:val="BodyText"/>
        <w:ind w:left="567" w:right="0" w:hanging="567"/>
      </w:pPr>
      <w:r>
        <w:t>7</w:t>
      </w:r>
      <w:r>
        <w:t xml:space="preserve">. Schacter, D.L., Chiao, J.Y. and Mitchell, J.P. (2003) “The seven sins of memory,” </w:t>
      </w:r>
      <w:r>
        <w:rPr>
          <w:i/>
        </w:rPr>
        <w:t>Annals of the New York Academy of Sciences</w:t>
      </w:r>
      <w:r>
        <w:t xml:space="preserve">, 1001(1), pp. 226–239. Available at: https://doi.org/10.1196/annals.1279.012. </w:t>
      </w:r>
    </w:p>
    <w:p>
      <w:pPr>
        <w:pStyle w:val="BodyText"/>
        <w:ind w:left="567" w:right="0" w:hanging="567"/>
      </w:pPr>
      <w:r>
        <w:t>8</w:t>
      </w:r>
      <w:r>
        <w:t xml:space="preserve">. Wang, Q. (2008) “On the Cultural Constitution of Collective Memory,” </w:t>
      </w:r>
      <w:r>
        <w:rPr>
          <w:i/>
        </w:rPr>
        <w:t>Memory</w:t>
      </w:r>
      <w:r>
        <w:t xml:space="preserve">, 16(3), pp. 305–317. Available at: https://doi.org/10.1080/09658210701801467. </w:t>
      </w:r>
    </w:p>
    <w:p>
      <w:pPr>
        <w:pStyle w:val="BodyText"/>
        <w:ind w:left="567" w:right="0" w:hanging="567"/>
      </w:pPr>
      <w:r>
        <w:rPr>
          <w:sz w:val="24"/>
          <w:szCs w:val="24"/>
        </w:rPr>
        <w:t>9</w:t>
      </w:r>
      <w:r>
        <w:rPr>
          <w:sz w:val="24"/>
          <w:szCs w:val="24"/>
        </w:rPr>
        <w:t xml:space="preserve">. Wood, N. (1994) “Memory's Remains: Les lieux de mémoire”, </w:t>
      </w:r>
      <w:r>
        <w:rPr>
          <w:i/>
          <w:sz w:val="24"/>
          <w:szCs w:val="24"/>
        </w:rPr>
        <w:t>History and Memory</w:t>
      </w:r>
      <w:r>
        <w:rPr>
          <w:sz w:val="24"/>
          <w:szCs w:val="24"/>
        </w:rPr>
        <w:t xml:space="preserve">, 6(1), pp. 123–149. </w:t>
      </w:r>
    </w:p>
    <w:p>
      <w:pPr>
        <w:pStyle w:val="BodyText"/>
        <w:ind w:left="567" w:right="0" w:hanging="567"/>
      </w:pPr>
      <w:r>
        <w:t>10</w:t>
      </w:r>
      <w:r>
        <w:t xml:space="preserve">. Yasseri, T., Gildersleve, P. and David, L. (2022) “Collective memory in the Digital age,” </w:t>
      </w:r>
      <w:r>
        <w:rPr>
          <w:i/>
        </w:rPr>
        <w:t>Progress in Brain Research</w:t>
      </w:r>
      <w:r>
        <w:t xml:space="preserve">, pp. 203–226. Available at: https://doi.org/10.1016/bs.pbr.2022.07.001. </w:t>
      </w:r>
    </w:p>
    <w:p>
      <w:pPr>
        <w:pStyle w:val="BodyText"/>
        <w:ind w:left="567" w:right="0" w:hanging="567"/>
        <w:rPr>
          <w:sz w:val="24"/>
          <w:szCs w:val="24"/>
        </w:rPr>
      </w:pPr>
      <w:r>
        <w:t>1</w:t>
      </w:r>
      <w:r>
        <w:t>1</w:t>
      </w:r>
      <w:r>
        <w:t xml:space="preserve">. Young, J.E. (2006) “The Rhetoric of Ruins,” in </w:t>
      </w:r>
      <w:r>
        <w:rPr>
          <w:i/>
        </w:rPr>
        <w:t>The texture of memory: Holocaust memorials and meaning</w:t>
      </w:r>
      <w:r>
        <w:t xml:space="preserve">. New Haven: Yale University Press, pp. 119–154. </w:t>
      </w:r>
    </w:p>
    <w:p>
      <w:pPr>
        <w:pStyle w:val="BodyText"/>
        <w:spacing w:before="0" w:after="140"/>
        <w:ind w:right="0" w:firstLine="0"/>
      </w:pPr>
    </w:p>
    <w:sectPr>
      <w:type w:val="nextPage"/>
      <w:pgSz w:w="11906" w:h="16838"/>
      <w:pgMar w:top="1134" w:right="1134" w:bottom="1134" w:left="1134" w:header="0" w:footer="0" w:gutter="0"/>
      <w:pgNumType w:fmt="decimal"/>
      <w:cols w:space="708"/>
      <w:formProt w:val="0"/>
      <w:textDirection w:val="lrTb"/>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charset w:val="01"/>
    <w:family w:val="roman"/>
    <w:pitch w:val="variable"/>
    <w:sig w:usb0="00000000" w:usb1="00000000" w:usb2="00000000" w:usb3="00000000" w:csb0="00000000" w:csb1="00000000"/>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09"/>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000"/>
  </w:rsid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NSimSun" w:hAnsi="Times New Roman" w:cs="Lucida Sans"/>
        <w:kern w:val="2"/>
        <w:sz w:val="24"/>
        <w:szCs w:val="24"/>
        <w:lang w:val="en-US" w:eastAsia="zh-CN" w:bidi="hi-IN"/>
      </w:rPr>
    </w:rPrDefault>
    <w:pPrDefault>
      <w:pPr>
        <w:suppressAutoHyphens/>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suppressAutoHyphens/>
      <w:overflowPunct w:val="0"/>
      <w:bidi w:val="0"/>
      <w:spacing w:before="0" w:after="0"/>
      <w:jc w:val="left"/>
    </w:pPr>
    <w:rPr>
      <w:rFonts w:ascii="Times New Roman" w:eastAsia="NSimSun" w:hAnsi="Times New Roman" w:cs="Lucida Sans"/>
      <w:color w:val="auto"/>
      <w:kern w:val="2"/>
      <w:sz w:val="24"/>
      <w:szCs w:val="24"/>
      <w:lang w:val="en-US" w:eastAsia="zh-CN" w:bidi="hi-IN"/>
    </w:rPr>
  </w:style>
  <w:style w:type="character" w:default="1" w:styleId="DefaultParagraphFont">
    <w:name w:val="Default Paragraph Font"/>
    <w:uiPriority w:val="1"/>
    <w:semiHidden/>
    <w:unhideWhenUsed/>
    <w:qFormat/>
  </w:style>
  <w:style w:type="character" w:customStyle="1" w:styleId="NumberingSymbols">
    <w:name w:val="Numbering Symbols"/>
    <w:qFormat/>
  </w:style>
  <w:style w:type="character" w:styleId="Hyperlink">
    <w:name w:val="Hyperlink"/>
    <w:rPr>
      <w:color w:val="000080"/>
      <w:u w:val="single"/>
      <w:lang w:val="" w:eastAsia="" w:bidi=""/>
    </w:rPr>
  </w:style>
  <w:style w:type="paragraph" w:customStyle="1" w:styleId="Heading">
    <w:name w:val="Heading"/>
    <w:basedOn w:val="Normal"/>
    <w:next w:val="BodyText"/>
    <w:qFormat/>
    <w:pPr>
      <w:keepNext/>
      <w:spacing w:before="240" w:after="120"/>
    </w:pPr>
    <w:rPr>
      <w:rFonts w:ascii="Times New Roman" w:eastAsia="Microsoft YaHei" w:hAnsi="Times New Roman" w:cs="Lucida Sans"/>
      <w:sz w:val="28"/>
      <w:szCs w:val="28"/>
    </w:rPr>
  </w:style>
  <w:style w:type="paragraph" w:styleId="BodyText">
    <w:name w:val="Body Text"/>
    <w:basedOn w:val="Normal"/>
    <w:pPr>
      <w:spacing w:before="0" w:after="140" w:line="276" w:lineRule="auto"/>
    </w:pPr>
  </w:style>
  <w:style w:type="paragraph" w:styleId="List">
    <w:name w:val="List"/>
    <w:basedOn w:val="BodyText"/>
    <w:rPr>
      <w:rFonts w:cs="Lucida Sans"/>
    </w:rPr>
  </w:style>
  <w:style w:type="paragraph" w:customStyle="1" w:styleId="Caption">
    <w:name w:val="Caption"/>
    <w:basedOn w:val="Normal"/>
    <w:qFormat/>
    <w:pPr>
      <w:suppressLineNumbers/>
      <w:spacing w:before="120" w:after="120"/>
    </w:pPr>
    <w:rPr>
      <w:rFonts w:cs="Lucida Sans"/>
      <w:i/>
      <w:iCs/>
      <w:sz w:val="24"/>
      <w:szCs w:val="24"/>
    </w:rPr>
  </w:style>
  <w:style w:type="paragraph" w:customStyle="1" w:styleId="Index">
    <w:name w:val="Index"/>
    <w:basedOn w:val="Normal"/>
    <w:qFormat/>
    <w:pPr>
      <w:suppressLineNumbers/>
    </w:pPr>
    <w:rPr>
      <w:rFonts w:cs="Lucida Sans"/>
      <w:lang w:val="en-US"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hyperlink" Target="https://doi.org/10.1016/s1081-602x(02)00096-9" TargetMode="External" /><Relationship Id="rId5" Type="http://schemas.openxmlformats.org/officeDocument/2006/relationships/theme" Target="theme/theme1.xml" /><Relationship Id="rId6"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804</TotalTime>
  <Pages>5</Pages>
  <Words>1946</Words>
  <Characters>10330</Characters>
  <Application>Microsoft Office Word</Application>
  <DocSecurity>0</DocSecurity>
  <Lines>0</Lines>
  <Paragraphs>21</Paragraphs>
  <ScaleCrop>false</ScaleCrop>
  <Company/>
  <LinksUpToDate>false</LinksUpToDate>
  <CharactersWithSpaces>12276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68</cp:revision>
  <dcterms:created xsi:type="dcterms:W3CDTF">2022-11-01T22:25:01Z</dcterms:created>
  <dcterms:modified xsi:type="dcterms:W3CDTF">2023-03-17T22:36:46Z</dcterms:modified>
  <dc:language>en-US</dc:language>
</cp:coreProperties>
</file>